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7F812" w14:textId="77777777" w:rsidR="002C651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5C5C9A2F" wp14:editId="6793DCFB">
            <wp:simplePos x="0" y="0"/>
            <wp:positionH relativeFrom="column">
              <wp:posOffset>-1056037</wp:posOffset>
            </wp:positionH>
            <wp:positionV relativeFrom="paragraph">
              <wp:posOffset>-346306</wp:posOffset>
            </wp:positionV>
            <wp:extent cx="7711147" cy="1037167"/>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CE48EF2" w14:textId="77777777" w:rsidR="002C6510" w:rsidRDefault="002C6510">
      <w:pPr>
        <w:spacing w:line="240" w:lineRule="auto"/>
        <w:jc w:val="right"/>
        <w:rPr>
          <w:rFonts w:ascii="National" w:eastAsia="National" w:hAnsi="National" w:cs="National"/>
          <w:color w:val="303AB2"/>
          <w:sz w:val="36"/>
          <w:szCs w:val="36"/>
        </w:rPr>
      </w:pPr>
    </w:p>
    <w:p w14:paraId="674CD3E5" w14:textId="234141FF" w:rsidR="002C6510" w:rsidRPr="00F40D7F"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rPr>
      </w:pPr>
      <w:r w:rsidRPr="00F40D7F">
        <w:rPr>
          <w:rFonts w:ascii="National" w:eastAsia="National" w:hAnsi="National" w:cs="National"/>
          <w:b/>
          <w:color w:val="303AB2"/>
          <w:sz w:val="52"/>
          <w:szCs w:val="52"/>
        </w:rPr>
        <w:t xml:space="preserve"> </w:t>
      </w:r>
      <w:r w:rsidRPr="00F40D7F">
        <w:rPr>
          <w:rFonts w:ascii="National" w:eastAsia="National" w:hAnsi="National" w:cs="National"/>
          <w:b/>
          <w:color w:val="303AB2"/>
          <w:sz w:val="54"/>
          <w:szCs w:val="54"/>
        </w:rPr>
        <w:t>“</w:t>
      </w:r>
      <w:r w:rsidR="00893233" w:rsidRPr="00F40D7F">
        <w:rPr>
          <w:rFonts w:ascii="National" w:eastAsia="National" w:hAnsi="National" w:cs="National"/>
          <w:b/>
          <w:color w:val="303AB2"/>
          <w:sz w:val="54"/>
          <w:szCs w:val="54"/>
        </w:rPr>
        <w:t>Las hipotecas vuelven a tasas positivas gracias a un Euríbor estable</w:t>
      </w:r>
      <w:r w:rsidRPr="00F40D7F">
        <w:rPr>
          <w:rFonts w:ascii="National" w:eastAsia="National" w:hAnsi="National" w:cs="National"/>
          <w:b/>
          <w:color w:val="303AB2"/>
          <w:sz w:val="54"/>
          <w:szCs w:val="54"/>
        </w:rPr>
        <w:t>"</w:t>
      </w:r>
    </w:p>
    <w:p w14:paraId="0969ED4F" w14:textId="77777777" w:rsidR="002C6510" w:rsidRDefault="002C6510">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3FC19F81" w14:textId="37E20A00" w:rsidR="002C6510" w:rsidRDefault="00000000">
      <w:pPr>
        <w:pBdr>
          <w:top w:val="nil"/>
          <w:left w:val="nil"/>
          <w:bottom w:val="nil"/>
          <w:right w:val="nil"/>
          <w:between w:val="nil"/>
        </w:pBdr>
        <w:shd w:val="clear" w:color="auto" w:fill="FFFFFF"/>
        <w:spacing w:after="225"/>
        <w:jc w:val="both"/>
        <w:rPr>
          <w:rFonts w:ascii="Open Sans" w:eastAsia="Open Sans" w:hAnsi="Open Sans" w:cs="Open Sans"/>
          <w:b/>
          <w:color w:val="303AB2"/>
        </w:rPr>
      </w:pPr>
      <w:r>
        <w:rPr>
          <w:rFonts w:ascii="Open Sans" w:eastAsia="Open Sans" w:hAnsi="Open Sans" w:cs="Open Sans"/>
          <w:b/>
          <w:color w:val="303AB2"/>
        </w:rPr>
        <w:t xml:space="preserve">Madrid, </w:t>
      </w:r>
      <w:r w:rsidR="00893233">
        <w:rPr>
          <w:rFonts w:ascii="Open Sans" w:eastAsia="Open Sans" w:hAnsi="Open Sans" w:cs="Open Sans"/>
          <w:b/>
          <w:color w:val="303AB2"/>
        </w:rPr>
        <w:t>24 de abril</w:t>
      </w:r>
      <w:r>
        <w:rPr>
          <w:rFonts w:ascii="Open Sans" w:eastAsia="Open Sans" w:hAnsi="Open Sans" w:cs="Open Sans"/>
          <w:b/>
          <w:color w:val="303AB2"/>
        </w:rPr>
        <w:t xml:space="preserve"> de 2024</w:t>
      </w:r>
    </w:p>
    <w:p w14:paraId="78BA3A4A" w14:textId="14E4CFEA" w:rsidR="00893233" w:rsidRDefault="00000000">
      <w:pPr>
        <w:pBdr>
          <w:top w:val="nil"/>
          <w:left w:val="nil"/>
          <w:bottom w:val="nil"/>
          <w:right w:val="nil"/>
          <w:between w:val="nil"/>
        </w:pBdr>
        <w:shd w:val="clear" w:color="auto" w:fill="FFFFFF"/>
        <w:spacing w:after="225"/>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w:t>
      </w:r>
      <w:r w:rsidR="00893233">
        <w:rPr>
          <w:rFonts w:ascii="Open Sans" w:eastAsia="Open Sans" w:hAnsi="Open Sans" w:cs="Open Sans"/>
          <w:sz w:val="21"/>
          <w:szCs w:val="21"/>
        </w:rPr>
        <w:t>mes de febrero de</w:t>
      </w:r>
      <w:r>
        <w:rPr>
          <w:rFonts w:ascii="Open Sans" w:eastAsia="Open Sans" w:hAnsi="Open Sans" w:cs="Open Sans"/>
          <w:sz w:val="21"/>
          <w:szCs w:val="21"/>
        </w:rPr>
        <w:t xml:space="preserve"> 2024 dados a conocer hoy por el INE</w:t>
      </w:r>
      <w:r w:rsidR="00AB60E3">
        <w:rPr>
          <w:rFonts w:ascii="Open Sans" w:eastAsia="Open Sans" w:hAnsi="Open Sans" w:cs="Open Sans"/>
          <w:sz w:val="21"/>
          <w:szCs w:val="21"/>
        </w:rPr>
        <w:t xml:space="preserve"> </w:t>
      </w:r>
      <w:r>
        <w:rPr>
          <w:rFonts w:ascii="Open Sans" w:eastAsia="Open Sans" w:hAnsi="Open Sans" w:cs="Open Sans"/>
          <w:sz w:val="21"/>
          <w:szCs w:val="21"/>
        </w:rPr>
        <w:t xml:space="preserve">reflejan un ascenso mensual </w:t>
      </w:r>
      <w:r w:rsidR="00672101">
        <w:rPr>
          <w:rFonts w:ascii="Open Sans" w:eastAsia="Open Sans" w:hAnsi="Open Sans" w:cs="Open Sans"/>
          <w:sz w:val="21"/>
          <w:szCs w:val="21"/>
        </w:rPr>
        <w:t xml:space="preserve">de </w:t>
      </w:r>
      <w:r w:rsidR="00893233">
        <w:rPr>
          <w:rFonts w:ascii="Open Sans" w:eastAsia="Open Sans" w:hAnsi="Open Sans" w:cs="Open Sans"/>
          <w:sz w:val="21"/>
          <w:szCs w:val="21"/>
        </w:rPr>
        <w:t>12,4</w:t>
      </w:r>
      <w:r w:rsidR="00672101">
        <w:rPr>
          <w:rFonts w:ascii="Open Sans" w:eastAsia="Open Sans" w:hAnsi="Open Sans" w:cs="Open Sans"/>
          <w:sz w:val="21"/>
          <w:szCs w:val="21"/>
        </w:rPr>
        <w:t>%</w:t>
      </w:r>
      <w:r>
        <w:rPr>
          <w:rFonts w:ascii="Open Sans" w:eastAsia="Open Sans" w:hAnsi="Open Sans" w:cs="Open Sans"/>
          <w:sz w:val="21"/>
          <w:szCs w:val="21"/>
        </w:rPr>
        <w:t xml:space="preserve"> y </w:t>
      </w:r>
      <w:r w:rsidR="00893233">
        <w:rPr>
          <w:rFonts w:ascii="Open Sans" w:eastAsia="Open Sans" w:hAnsi="Open Sans" w:cs="Open Sans"/>
          <w:sz w:val="21"/>
          <w:szCs w:val="21"/>
        </w:rPr>
        <w:t>un incremento interanual del 3,8%</w:t>
      </w:r>
      <w:r w:rsidRPr="00672101">
        <w:rPr>
          <w:rFonts w:ascii="Open Sans" w:eastAsia="Open Sans" w:hAnsi="Open Sans" w:cs="Open Sans"/>
          <w:sz w:val="21"/>
          <w:szCs w:val="21"/>
        </w:rPr>
        <w:t>.</w:t>
      </w:r>
      <w:r>
        <w:rPr>
          <w:rFonts w:ascii="Open Sans" w:eastAsia="Open Sans" w:hAnsi="Open Sans" w:cs="Open Sans"/>
          <w:sz w:val="21"/>
          <w:szCs w:val="21"/>
        </w:rPr>
        <w:t xml:space="preserve"> </w:t>
      </w:r>
      <w:r w:rsidR="00893233">
        <w:rPr>
          <w:rFonts w:ascii="Open Sans" w:eastAsia="Open Sans" w:hAnsi="Open Sans" w:cs="Open Sans"/>
          <w:sz w:val="21"/>
          <w:szCs w:val="21"/>
        </w:rPr>
        <w:t xml:space="preserve">“Este incremento rompe con 12 meses de descensos encadenados y muestra un pequeño cambio de tendencia en las hipotecas debido a la estabilidad que está mostrando el Euríbor en los últimos meses, después de que el BCE no haya realizado más subidas de tipos recientemente”, </w:t>
      </w:r>
      <w:r w:rsidR="00893233" w:rsidRPr="00AB60E3">
        <w:rPr>
          <w:rFonts w:ascii="Open Sans" w:eastAsia="Open Sans" w:hAnsi="Open Sans" w:cs="Open Sans"/>
          <w:b/>
          <w:bCs/>
          <w:sz w:val="21"/>
          <w:szCs w:val="21"/>
        </w:rPr>
        <w:t xml:space="preserve">comenta María Matos, directora de Estudios de </w:t>
      </w:r>
      <w:hyperlink r:id="rId8">
        <w:r w:rsidR="00893233" w:rsidRPr="00AB60E3">
          <w:rPr>
            <w:rFonts w:ascii="Open Sans" w:eastAsia="Open Sans" w:hAnsi="Open Sans" w:cs="Open Sans"/>
            <w:b/>
            <w:bCs/>
            <w:color w:val="1155CC"/>
            <w:sz w:val="21"/>
            <w:szCs w:val="21"/>
            <w:u w:val="single"/>
          </w:rPr>
          <w:t>Fotocasa</w:t>
        </w:r>
      </w:hyperlink>
      <w:r w:rsidR="00893233" w:rsidRPr="00AB60E3">
        <w:rPr>
          <w:rFonts w:ascii="Open Sans" w:eastAsia="Open Sans" w:hAnsi="Open Sans" w:cs="Open Sans"/>
          <w:b/>
          <w:bCs/>
          <w:sz w:val="21"/>
          <w:szCs w:val="21"/>
        </w:rPr>
        <w:t>.</w:t>
      </w:r>
    </w:p>
    <w:p w14:paraId="1A68F085" w14:textId="56783173" w:rsidR="005E2584" w:rsidRDefault="00893233">
      <w:pPr>
        <w:pBdr>
          <w:top w:val="nil"/>
          <w:left w:val="nil"/>
          <w:bottom w:val="nil"/>
          <w:right w:val="nil"/>
          <w:between w:val="nil"/>
        </w:pBdr>
        <w:shd w:val="clear" w:color="auto" w:fill="FFFFFF"/>
        <w:spacing w:after="225"/>
        <w:jc w:val="both"/>
        <w:rPr>
          <w:rFonts w:ascii="Open Sans" w:eastAsia="Open Sans" w:hAnsi="Open Sans" w:cs="Open Sans"/>
          <w:sz w:val="21"/>
          <w:szCs w:val="21"/>
        </w:rPr>
      </w:pPr>
      <w:r>
        <w:rPr>
          <w:rFonts w:ascii="Open Sans" w:eastAsia="Open Sans" w:hAnsi="Open Sans" w:cs="Open Sans"/>
          <w:sz w:val="21"/>
          <w:szCs w:val="21"/>
        </w:rPr>
        <w:t>En febrero se han firmado 37.232 hipotecas, una cifra que pone de manifiesto que las entidades financieras ya están empezando a mostrar mejores hipotecas y que incluso algunas ya descuentan rebajas de tipos de interés. “Estos datos muestran si el Euríbor sigue estable o incluso si empieza a bajar en los próximos meses vamos a estar frente a un buen año en la concesión de hipotecas ya que existe un número muy importante de ciudadanos que están esperando que el Euríbor baje para lanzarse a la compra de vivienda. Los bancos tendrán que volver a adaptar sus ofertas hipotecarias para que sean atractivas para los futuros compradores”</w:t>
      </w:r>
      <w:r w:rsidR="005E2584">
        <w:rPr>
          <w:rFonts w:ascii="Open Sans" w:eastAsia="Open Sans" w:hAnsi="Open Sans" w:cs="Open Sans"/>
          <w:sz w:val="21"/>
          <w:szCs w:val="21"/>
        </w:rPr>
        <w:t>, apunta la directora de Estudios.</w:t>
      </w:r>
    </w:p>
    <w:p w14:paraId="632EF1B7" w14:textId="6DFA5F4C" w:rsidR="005E2584" w:rsidRDefault="005E2584">
      <w:pPr>
        <w:pBdr>
          <w:top w:val="nil"/>
          <w:left w:val="nil"/>
          <w:bottom w:val="nil"/>
          <w:right w:val="nil"/>
          <w:between w:val="nil"/>
        </w:pBdr>
        <w:shd w:val="clear" w:color="auto" w:fill="FFFFFF"/>
        <w:spacing w:after="225"/>
        <w:jc w:val="both"/>
        <w:rPr>
          <w:rFonts w:ascii="Open Sans" w:eastAsia="Open Sans" w:hAnsi="Open Sans" w:cs="Open Sans"/>
          <w:sz w:val="21"/>
          <w:szCs w:val="21"/>
        </w:rPr>
      </w:pPr>
      <w:r>
        <w:rPr>
          <w:rFonts w:ascii="Open Sans" w:eastAsia="Open Sans" w:hAnsi="Open Sans" w:cs="Open Sans"/>
          <w:sz w:val="21"/>
          <w:szCs w:val="21"/>
        </w:rPr>
        <w:t>Los datos de febrero de hipotecas junto con los datos de compraventas que también se conocieron esta semana muestran que todavía hay cerca del 40% de ciudadanos que está comprando vivienda sin necesidad de hipoteca. Y es que e</w:t>
      </w:r>
      <w:r w:rsidR="00000000">
        <w:rPr>
          <w:rFonts w:ascii="Open Sans" w:eastAsia="Open Sans" w:hAnsi="Open Sans" w:cs="Open Sans"/>
          <w:sz w:val="21"/>
          <w:szCs w:val="21"/>
        </w:rPr>
        <w:t xml:space="preserve">n los últimos meses se ha dejado entrever una bifurcación entre el ritmo de compra y el de solicitud de hipoteca. Mientras que las </w:t>
      </w:r>
      <w:r w:rsidR="00000000">
        <w:rPr>
          <w:rFonts w:ascii="Open Sans" w:eastAsia="Open Sans" w:hAnsi="Open Sans" w:cs="Open Sans"/>
          <w:b/>
          <w:sz w:val="21"/>
          <w:szCs w:val="21"/>
        </w:rPr>
        <w:t>operaciones de compra y venta parecen resistir por el cambio en el perfil del comprador, la firma de hipotecas se está viendo más afectada</w:t>
      </w:r>
      <w:r w:rsidR="00000000">
        <w:rPr>
          <w:rFonts w:ascii="Open Sans" w:eastAsia="Open Sans" w:hAnsi="Open Sans" w:cs="Open Sans"/>
          <w:sz w:val="21"/>
          <w:szCs w:val="21"/>
        </w:rPr>
        <w:t xml:space="preserve"> por el nuevo precio del dinero. </w:t>
      </w:r>
      <w:r w:rsidR="00AC2287">
        <w:rPr>
          <w:rFonts w:ascii="Open Sans" w:eastAsia="Open Sans" w:hAnsi="Open Sans" w:cs="Open Sans"/>
          <w:sz w:val="21"/>
          <w:szCs w:val="21"/>
        </w:rPr>
        <w:t xml:space="preserve">De hecho, según los datos de Fotocasa </w:t>
      </w:r>
      <w:proofErr w:type="spellStart"/>
      <w:r w:rsidR="00AC2287">
        <w:rPr>
          <w:rFonts w:ascii="Open Sans" w:eastAsia="Open Sans" w:hAnsi="Open Sans" w:cs="Open Sans"/>
          <w:sz w:val="21"/>
          <w:szCs w:val="21"/>
        </w:rPr>
        <w:t>Research</w:t>
      </w:r>
      <w:proofErr w:type="spellEnd"/>
      <w:r w:rsidR="00AC2287">
        <w:rPr>
          <w:rFonts w:ascii="Open Sans" w:eastAsia="Open Sans" w:hAnsi="Open Sans" w:cs="Open Sans"/>
          <w:sz w:val="21"/>
          <w:szCs w:val="21"/>
        </w:rPr>
        <w:t xml:space="preserve">, </w:t>
      </w:r>
      <w:hyperlink r:id="rId9" w:history="1">
        <w:r w:rsidR="00AC2287" w:rsidRPr="00AC2287">
          <w:rPr>
            <w:rStyle w:val="Hipervnculo"/>
            <w:rFonts w:ascii="Open Sans" w:eastAsia="Open Sans" w:hAnsi="Open Sans" w:cs="Open Sans"/>
            <w:b/>
            <w:bCs/>
            <w:sz w:val="21"/>
            <w:szCs w:val="21"/>
          </w:rPr>
          <w:t>el perfil del comprador que no necesita hipoteca ha aumentado en 8 puntos porcentuales</w:t>
        </w:r>
      </w:hyperlink>
      <w:r w:rsidR="00AC2287">
        <w:rPr>
          <w:rFonts w:ascii="Open Sans" w:eastAsia="Open Sans" w:hAnsi="Open Sans" w:cs="Open Sans"/>
          <w:sz w:val="21"/>
          <w:szCs w:val="21"/>
        </w:rPr>
        <w:t xml:space="preserve"> desde la subida de tipos de interés. </w:t>
      </w:r>
    </w:p>
    <w:p w14:paraId="4B0355A8" w14:textId="77777777" w:rsidR="005E2584" w:rsidRDefault="005E2584">
      <w:pPr>
        <w:pBdr>
          <w:top w:val="nil"/>
          <w:left w:val="nil"/>
          <w:bottom w:val="nil"/>
          <w:right w:val="nil"/>
          <w:between w:val="nil"/>
        </w:pBdr>
        <w:shd w:val="clear" w:color="auto" w:fill="FFFFFF"/>
        <w:spacing w:after="225"/>
        <w:jc w:val="both"/>
        <w:rPr>
          <w:rFonts w:ascii="Open Sans" w:eastAsia="Open Sans" w:hAnsi="Open Sans" w:cs="Open Sans"/>
          <w:sz w:val="21"/>
          <w:szCs w:val="21"/>
        </w:rPr>
      </w:pPr>
    </w:p>
    <w:p w14:paraId="18160FFD" w14:textId="0FF4F76F" w:rsidR="00B30633"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figura con alta solvencia económica, con conocimiento en el sector inmobiliario y un alza de la demanda extranjera. Este perfil necesita menos ayuda financiera que el español medio porque cuenta con un poder adquisitivo mayor. Este nuevo demandante comienza a asentarse atraído por el valor refugio del ladrillo en nuestro país que frente a momentos de incertidumbre financiera busca invertir para sobrellevar la posible recesión económica”, </w:t>
      </w:r>
      <w:r w:rsidRPr="00EC0C96">
        <w:rPr>
          <w:rFonts w:ascii="Open Sans" w:eastAsia="Open Sans" w:hAnsi="Open Sans" w:cs="Open Sans"/>
          <w:b/>
          <w:bCs/>
          <w:sz w:val="21"/>
          <w:szCs w:val="21"/>
        </w:rPr>
        <w:t>comenta la portavoz del portal.</w:t>
      </w:r>
    </w:p>
    <w:p w14:paraId="14EABB8D" w14:textId="77777777" w:rsidR="002C6510" w:rsidRDefault="00000000">
      <w:pPr>
        <w:shd w:val="clear" w:color="auto" w:fill="FFFFFF"/>
        <w:spacing w:before="280" w:after="280"/>
        <w:jc w:val="both"/>
        <w:rPr>
          <w:rFonts w:ascii="Open Sans" w:eastAsia="Open Sans" w:hAnsi="Open Sans" w:cs="Open Sans"/>
        </w:rPr>
      </w:pPr>
      <w:r>
        <w:rPr>
          <w:rFonts w:ascii="Open Sans" w:eastAsia="Open Sans" w:hAnsi="Open Sans" w:cs="Open Sans"/>
          <w:b/>
          <w:color w:val="303AB2"/>
          <w:sz w:val="24"/>
          <w:szCs w:val="24"/>
        </w:rPr>
        <w:t>Previsiones de actividad para 2024</w:t>
      </w:r>
    </w:p>
    <w:p w14:paraId="0B9C0C9A" w14:textId="40680783" w:rsidR="009703CA" w:rsidRDefault="009703CA" w:rsidP="009703CA">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“Probablemente el año se diferenciará entre dos etapas marcadas, la de antes de que los tipos de interés bajen y la de después. Si las previsiones de desescalada en los tipos por parte del BCE se confirman y comienzan en junio, </w:t>
      </w:r>
      <w:r w:rsidRPr="009703CA">
        <w:rPr>
          <w:rFonts w:ascii="Open Sans" w:eastAsia="Open Sans" w:hAnsi="Open Sans" w:cs="Open Sans"/>
          <w:b/>
          <w:bCs/>
          <w:sz w:val="21"/>
          <w:szCs w:val="21"/>
        </w:rPr>
        <w:t>volveremos a ver como el acceso a la vivienda mejora al rebajarse las condiciones de acceso al crédito hipotecario</w:t>
      </w:r>
      <w:r>
        <w:rPr>
          <w:rFonts w:ascii="Open Sans" w:eastAsia="Open Sans" w:hAnsi="Open Sans" w:cs="Open Sans"/>
          <w:sz w:val="21"/>
          <w:szCs w:val="21"/>
        </w:rPr>
        <w:t xml:space="preserve"> y cómo la demanda que se mantenía a la espera volverá al mercado con fuerza</w:t>
      </w:r>
      <w:r>
        <w:rPr>
          <w:rFonts w:ascii="Open Sans" w:eastAsia="Open Sans" w:hAnsi="Open Sans" w:cs="Open Sans"/>
          <w:sz w:val="21"/>
          <w:szCs w:val="21"/>
        </w:rPr>
        <w:t>”</w:t>
      </w:r>
      <w:r>
        <w:rPr>
          <w:rFonts w:ascii="Open Sans" w:eastAsia="Open Sans" w:hAnsi="Open Sans" w:cs="Open Sans"/>
          <w:sz w:val="21"/>
          <w:szCs w:val="21"/>
        </w:rPr>
        <w:t xml:space="preserve">. </w:t>
      </w:r>
    </w:p>
    <w:p w14:paraId="69C1ECAF" w14:textId="723C3A78" w:rsidR="009703CA" w:rsidRDefault="009703CA" w:rsidP="009703CA">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2024 será un año que prevemos que irá de menos a más y en el que volveremos a ver cómo el mercado estará muy estimulado por la lucha hipotecaria que librarán los bancos. “Ahora que el Euríbor ya lleva estable unos meses los datos han vuelto a tasas positivas por lo que si el Euríbor empieza a dar señales de bajadas muchos ciudadanos se lanzarán a la compra de vivienda después de un tiempo esperando a que los tipos se redujeran. Se </w:t>
      </w:r>
      <w:r>
        <w:rPr>
          <w:rFonts w:ascii="Open Sans" w:eastAsia="Open Sans" w:hAnsi="Open Sans" w:cs="Open Sans"/>
          <w:sz w:val="21"/>
          <w:szCs w:val="21"/>
        </w:rPr>
        <w:t xml:space="preserve">prevé una </w:t>
      </w:r>
      <w:r>
        <w:rPr>
          <w:rFonts w:ascii="Open Sans" w:eastAsia="Open Sans" w:hAnsi="Open Sans" w:cs="Open Sans"/>
          <w:b/>
          <w:sz w:val="21"/>
          <w:szCs w:val="21"/>
        </w:rPr>
        <w:t>nueva guerra hipotecaria entre las entidades financieras para conseguir el mayor número de ventas posible</w:t>
      </w:r>
      <w:r>
        <w:rPr>
          <w:rFonts w:ascii="Open Sans" w:eastAsia="Open Sans" w:hAnsi="Open Sans" w:cs="Open Sans"/>
          <w:sz w:val="21"/>
          <w:szCs w:val="21"/>
        </w:rPr>
        <w:t>, así como la vuelta de las hipotecas fijas al escaparate bancario. Aun así, veremos cómo las firmas hipotecarias experimentarán una desaceleración más pronunciada en comparación con las transacciones de compraventa porque el perfil inversor seguirá teniendo gran peso en el mercado”, concluye la directora de Estudios.</w:t>
      </w:r>
    </w:p>
    <w:p w14:paraId="1C20011D" w14:textId="4FA1E883" w:rsidR="00E56192" w:rsidRDefault="00E56192">
      <w:pPr>
        <w:shd w:val="clear" w:color="auto" w:fill="FFFFFF"/>
        <w:spacing w:before="280" w:after="280"/>
        <w:jc w:val="both"/>
        <w:rPr>
          <w:rFonts w:ascii="Open Sans" w:eastAsia="Open Sans" w:hAnsi="Open Sans" w:cs="Open Sans"/>
          <w:sz w:val="21"/>
          <w:szCs w:val="21"/>
        </w:rPr>
      </w:pPr>
    </w:p>
    <w:p w14:paraId="27CCD2A2" w14:textId="77777777" w:rsidR="002C6510" w:rsidRDefault="00000000">
      <w:pPr>
        <w:shd w:val="clear" w:color="auto" w:fill="FFFFFF"/>
        <w:spacing w:before="280" w:after="280"/>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77B95568" w14:textId="77777777" w:rsidR="002C6510"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1C0E7EB4" w14:textId="77777777" w:rsidR="002C6510"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731F860C" w14:textId="77777777" w:rsidR="002C6510"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comunicacion@fotocasa.es</w:t>
        </w:r>
      </w:hyperlink>
    </w:p>
    <w:p w14:paraId="1B665F37" w14:textId="77777777" w:rsidR="002C6510" w:rsidRDefault="00000000">
      <w:pPr>
        <w:shd w:val="clear" w:color="auto" w:fill="FFFFFF"/>
        <w:ind w:right="-7"/>
        <w:jc w:val="right"/>
        <w:rPr>
          <w:rFonts w:ascii="Open Sans" w:eastAsia="Open Sans" w:hAnsi="Open Sans" w:cs="Open Sans"/>
          <w:sz w:val="21"/>
          <w:szCs w:val="21"/>
        </w:rPr>
      </w:pPr>
      <w:hyperlink r:id="rId11">
        <w:r>
          <w:rPr>
            <w:rFonts w:ascii="Open Sans" w:eastAsia="Open Sans" w:hAnsi="Open Sans" w:cs="Open Sans"/>
            <w:color w:val="0563C1"/>
            <w:sz w:val="21"/>
            <w:szCs w:val="21"/>
            <w:u w:val="single"/>
          </w:rPr>
          <w:t>http://prensa.fotocasa.es</w:t>
        </w:r>
      </w:hyperlink>
    </w:p>
    <w:p w14:paraId="415F8757" w14:textId="77777777" w:rsidR="002C6510"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08D7DD97" w14:textId="77777777" w:rsidR="002C6510" w:rsidRDefault="002C6510"/>
    <w:sectPr w:rsidR="002C6510">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73CAA" w14:textId="77777777" w:rsidR="00E123D6" w:rsidRDefault="00E123D6">
      <w:pPr>
        <w:spacing w:line="240" w:lineRule="auto"/>
      </w:pPr>
      <w:r>
        <w:separator/>
      </w:r>
    </w:p>
  </w:endnote>
  <w:endnote w:type="continuationSeparator" w:id="0">
    <w:p w14:paraId="3A8C8930" w14:textId="77777777" w:rsidR="00E123D6" w:rsidRDefault="00E12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4599" w14:textId="77777777" w:rsidR="002C6510" w:rsidRDefault="00000000">
    <w:r>
      <w:rPr>
        <w:noProof/>
      </w:rPr>
      <w:drawing>
        <wp:anchor distT="0" distB="0" distL="0" distR="0" simplePos="0" relativeHeight="251658240" behindDoc="0" locked="0" layoutInCell="1" hidden="0" allowOverlap="1" wp14:anchorId="69C8FCBC" wp14:editId="5E94A0F8">
          <wp:simplePos x="0" y="0"/>
          <wp:positionH relativeFrom="column">
            <wp:posOffset>-1916412</wp:posOffset>
          </wp:positionH>
          <wp:positionV relativeFrom="paragraph">
            <wp:posOffset>304800</wp:posOffset>
          </wp:positionV>
          <wp:extent cx="8620125" cy="44767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0298A" w14:textId="77777777" w:rsidR="00E123D6" w:rsidRDefault="00E123D6">
      <w:pPr>
        <w:spacing w:line="240" w:lineRule="auto"/>
      </w:pPr>
      <w:r>
        <w:separator/>
      </w:r>
    </w:p>
  </w:footnote>
  <w:footnote w:type="continuationSeparator" w:id="0">
    <w:p w14:paraId="23A2B621" w14:textId="77777777" w:rsidR="00E123D6" w:rsidRDefault="00E123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10"/>
    <w:rsid w:val="002C6510"/>
    <w:rsid w:val="005E2584"/>
    <w:rsid w:val="00672101"/>
    <w:rsid w:val="00825B55"/>
    <w:rsid w:val="00893233"/>
    <w:rsid w:val="009703CA"/>
    <w:rsid w:val="00AB60E3"/>
    <w:rsid w:val="00AC2287"/>
    <w:rsid w:val="00B30633"/>
    <w:rsid w:val="00D106C1"/>
    <w:rsid w:val="00E123D6"/>
    <w:rsid w:val="00E56192"/>
    <w:rsid w:val="00EC0C96"/>
    <w:rsid w:val="00F40D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7B5"/>
  <w15:docId w15:val="{86834673-188E-46F7-9A8B-C209667B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AC2287"/>
    <w:rPr>
      <w:color w:val="0000FF" w:themeColor="hyperlink"/>
      <w:u w:val="single"/>
    </w:rPr>
  </w:style>
  <w:style w:type="character" w:styleId="Mencinsinresolver">
    <w:name w:val="Unresolved Mention"/>
    <w:basedOn w:val="Fuentedeprrafopredeter"/>
    <w:uiPriority w:val="99"/>
    <w:semiHidden/>
    <w:unhideWhenUsed/>
    <w:rsid w:val="00AC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http://comunicacion@fotocasa.es" TargetMode="External"/><Relationship Id="rId4" Type="http://schemas.openxmlformats.org/officeDocument/2006/relationships/webSettings" Target="webSettings.xml"/><Relationship Id="rId9" Type="http://schemas.openxmlformats.org/officeDocument/2006/relationships/hyperlink" Target="https://prensa.fotocasa.es/el-porcentaje-de-compradores-que-no-solicita-hipoteca-aumenta-8-puntos-desde-la-subida-de-tip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MUTpED+Il2J9BBJRIsw0o+QADQ==">CgMxLjA4AHIhMVBPWWNnakg4MmQ0NzdMMDZ2djZYLWtwS3pEUmVGNmVY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8</cp:revision>
  <dcterms:created xsi:type="dcterms:W3CDTF">2024-02-22T08:44:00Z</dcterms:created>
  <dcterms:modified xsi:type="dcterms:W3CDTF">2024-04-24T07:46:00Z</dcterms:modified>
</cp:coreProperties>
</file>