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9B188" w14:textId="77777777" w:rsidR="007933D2" w:rsidRDefault="00000000">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62F5BFC7" wp14:editId="08CB1042">
            <wp:simplePos x="0" y="0"/>
            <wp:positionH relativeFrom="column">
              <wp:posOffset>-1080134</wp:posOffset>
            </wp:positionH>
            <wp:positionV relativeFrom="paragraph">
              <wp:posOffset>-447674</wp:posOffset>
            </wp:positionV>
            <wp:extent cx="7581265" cy="1019175"/>
            <wp:effectExtent l="0" t="0" r="0" b="0"/>
            <wp:wrapNone/>
            <wp:docPr id="197182126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BCC76C9" w14:textId="77777777" w:rsidR="007933D2" w:rsidRDefault="007933D2">
      <w:pPr>
        <w:ind w:right="-574"/>
        <w:jc w:val="right"/>
        <w:rPr>
          <w:rFonts w:ascii="National" w:eastAsia="National" w:hAnsi="National" w:cs="National"/>
          <w:color w:val="303AB2"/>
          <w:sz w:val="36"/>
          <w:szCs w:val="36"/>
        </w:rPr>
      </w:pPr>
    </w:p>
    <w:p w14:paraId="7DF5E8B0" w14:textId="77777777" w:rsidR="007933D2" w:rsidRDefault="007933D2">
      <w:pPr>
        <w:ind w:right="-574"/>
        <w:jc w:val="right"/>
        <w:rPr>
          <w:rFonts w:ascii="National" w:eastAsia="National" w:hAnsi="National" w:cs="National"/>
          <w:color w:val="303AB2"/>
          <w:sz w:val="26"/>
          <w:szCs w:val="26"/>
        </w:rPr>
      </w:pPr>
    </w:p>
    <w:p w14:paraId="5DECA8D0" w14:textId="77777777" w:rsidR="007933D2" w:rsidRDefault="007933D2">
      <w:pPr>
        <w:ind w:right="-574"/>
        <w:rPr>
          <w:rFonts w:ascii="National" w:eastAsia="National" w:hAnsi="National" w:cs="National"/>
          <w:color w:val="303AB2"/>
          <w:sz w:val="16"/>
          <w:szCs w:val="16"/>
        </w:rPr>
      </w:pPr>
    </w:p>
    <w:p w14:paraId="5B151D96" w14:textId="77777777" w:rsidR="007933D2"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PRIMER TRIMESTRE 2024: VIVIENDA EN ALQUILER</w:t>
      </w:r>
    </w:p>
    <w:p w14:paraId="541CDE28" w14:textId="21C85860" w:rsidR="007933D2" w:rsidRDefault="00000000">
      <w:pPr>
        <w:spacing w:line="276" w:lineRule="auto"/>
        <w:ind w:right="-574"/>
        <w:jc w:val="center"/>
        <w:rPr>
          <w:rFonts w:ascii="National" w:eastAsia="National" w:hAnsi="National" w:cs="National"/>
          <w:b/>
          <w:color w:val="303AB2"/>
          <w:sz w:val="50"/>
          <w:szCs w:val="50"/>
        </w:rPr>
      </w:pPr>
      <w:bookmarkStart w:id="0" w:name="_heading=h.gjdgxs" w:colFirst="0" w:colLast="0"/>
      <w:bookmarkEnd w:id="0"/>
      <w:r>
        <w:rPr>
          <w:rFonts w:ascii="National" w:eastAsia="National" w:hAnsi="National" w:cs="National"/>
          <w:b/>
          <w:color w:val="303AB2"/>
          <w:sz w:val="50"/>
          <w:szCs w:val="50"/>
        </w:rPr>
        <w:t xml:space="preserve">El alquiler sube un 6% trimestral y un 7% interanual en marzo </w:t>
      </w:r>
      <w:r w:rsidR="000C5AD7">
        <w:rPr>
          <w:rFonts w:ascii="National" w:eastAsia="National" w:hAnsi="National" w:cs="National"/>
          <w:b/>
          <w:color w:val="303AB2"/>
          <w:sz w:val="50"/>
          <w:szCs w:val="50"/>
        </w:rPr>
        <w:t>y vuelve</w:t>
      </w:r>
      <w:r>
        <w:rPr>
          <w:rFonts w:ascii="National" w:eastAsia="National" w:hAnsi="National" w:cs="National"/>
          <w:b/>
          <w:color w:val="303AB2"/>
          <w:sz w:val="50"/>
          <w:szCs w:val="50"/>
        </w:rPr>
        <w:t xml:space="preserve"> a marcar máximos en España</w:t>
      </w:r>
    </w:p>
    <w:p w14:paraId="72837620" w14:textId="77777777" w:rsidR="007933D2" w:rsidRDefault="007933D2">
      <w:pPr>
        <w:ind w:right="-574"/>
        <w:rPr>
          <w:rFonts w:ascii="National" w:eastAsia="National" w:hAnsi="National" w:cs="National"/>
          <w:b/>
          <w:color w:val="303AB2"/>
          <w:sz w:val="16"/>
          <w:szCs w:val="16"/>
        </w:rPr>
      </w:pPr>
    </w:p>
    <w:p w14:paraId="3857A269" w14:textId="77777777" w:rsidR="007933D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1" w:name="_heading=h.30j0zll" w:colFirst="0" w:colLast="0"/>
      <w:bookmarkEnd w:id="1"/>
      <w:r>
        <w:rPr>
          <w:rFonts w:ascii="Open Sans" w:eastAsia="Open Sans" w:hAnsi="Open Sans" w:cs="Open Sans"/>
          <w:color w:val="303AB2"/>
        </w:rPr>
        <w:t>En marzo el precio trimestral de la vivienda en alquiler en España sube un 6% y sitúa su precio en 12,36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p>
    <w:p w14:paraId="14FE687E" w14:textId="77777777" w:rsidR="007933D2"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Los precios del alquiler llegan a máximos en diez comunidades y en 16 se producen incrementos trimestrales</w:t>
      </w:r>
    </w:p>
    <w:p w14:paraId="0FCA28AC" w14:textId="2D48E897" w:rsidR="007933D2" w:rsidRPr="000C5AD7" w:rsidRDefault="000C5AD7">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303AB2"/>
        </w:rPr>
      </w:pPr>
      <w:hyperlink r:id="rId9" w:history="1">
        <w:r w:rsidR="00000000" w:rsidRPr="000C5AD7">
          <w:rPr>
            <w:rStyle w:val="Hipervnculo"/>
            <w:rFonts w:ascii="Open Sans" w:eastAsia="Open Sans" w:hAnsi="Open Sans" w:cs="Open Sans"/>
            <w:b/>
            <w:bCs/>
          </w:rPr>
          <w:t>Aquí se puede ver un vídeo de la directora de Estudios de Fotocasa</w:t>
        </w:r>
      </w:hyperlink>
    </w:p>
    <w:p w14:paraId="5986F752" w14:textId="77777777" w:rsidR="007933D2" w:rsidRDefault="007933D2">
      <w:pPr>
        <w:spacing w:line="276" w:lineRule="auto"/>
        <w:ind w:right="-574"/>
        <w:rPr>
          <w:rFonts w:ascii="Open Sans" w:eastAsia="Open Sans" w:hAnsi="Open Sans" w:cs="Open Sans"/>
          <w:color w:val="303AB2"/>
          <w:sz w:val="12"/>
          <w:szCs w:val="12"/>
        </w:rPr>
      </w:pPr>
    </w:p>
    <w:p w14:paraId="29CADE68" w14:textId="77777777" w:rsidR="007933D2" w:rsidRDefault="0000000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15 de abril de 2024</w:t>
      </w:r>
    </w:p>
    <w:p w14:paraId="60C5F89C" w14:textId="77777777" w:rsidR="007933D2" w:rsidRDefault="00000000">
      <w:pPr>
        <w:spacing w:line="276" w:lineRule="auto"/>
        <w:ind w:right="-574"/>
        <w:jc w:val="both"/>
        <w:rPr>
          <w:color w:val="000000"/>
        </w:rPr>
      </w:pPr>
      <w:r>
        <w:rPr>
          <w:rFonts w:ascii="Open Sans" w:eastAsia="Open Sans" w:hAnsi="Open Sans" w:cs="Open Sans"/>
          <w:color w:val="000000"/>
        </w:rPr>
        <w:t xml:space="preserve">En los primeros tres meses, España ha experimentado variaciones positivas en el precio trimestral de la vivienda en alquiler, pero en concreto, cierra el primer trimestre del año 2024 con un incremento trimestral del 6% y un interanual del 7%,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Estos incrementos detectados en marzo sitúan el precio de la vivienda en alquiler en 12,36 euros por metro cuadrado al mes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5DF6C23" w14:textId="77777777" w:rsidR="007933D2" w:rsidRDefault="007933D2">
      <w:pPr>
        <w:spacing w:line="276" w:lineRule="auto"/>
        <w:ind w:right="-574"/>
        <w:jc w:val="both"/>
        <w:rPr>
          <w:rFonts w:ascii="Open Sans" w:eastAsia="Open Sans" w:hAnsi="Open Sans" w:cs="Open Sans"/>
          <w:color w:val="000000"/>
          <w:sz w:val="16"/>
          <w:szCs w:val="16"/>
        </w:rPr>
      </w:pPr>
    </w:p>
    <w:p w14:paraId="07445109" w14:textId="77777777" w:rsidR="007933D2"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trimestral e interanual en España por trimestres</w:t>
      </w:r>
    </w:p>
    <w:p w14:paraId="62E58356" w14:textId="77777777" w:rsidR="007933D2" w:rsidRDefault="007933D2">
      <w:pPr>
        <w:spacing w:line="276" w:lineRule="auto"/>
        <w:ind w:right="-574"/>
        <w:jc w:val="center"/>
        <w:rPr>
          <w:rFonts w:ascii="Open Sans" w:eastAsia="Open Sans" w:hAnsi="Open Sans" w:cs="Open Sans"/>
          <w:color w:val="000000"/>
          <w:sz w:val="8"/>
          <w:szCs w:val="8"/>
        </w:rPr>
      </w:pPr>
    </w:p>
    <w:p w14:paraId="19EC5582" w14:textId="77777777" w:rsidR="007933D2" w:rsidRDefault="00000000">
      <w:pPr>
        <w:spacing w:line="276" w:lineRule="auto"/>
        <w:ind w:right="-574"/>
        <w:jc w:val="center"/>
        <w:rPr>
          <w:rFonts w:ascii="Open Sans" w:eastAsia="Open Sans" w:hAnsi="Open Sans" w:cs="Open Sans"/>
          <w:color w:val="000000"/>
        </w:rPr>
      </w:pPr>
      <w:r>
        <w:t xml:space="preserve"> </w:t>
      </w:r>
      <w:r>
        <w:rPr>
          <w:noProof/>
        </w:rPr>
        <w:drawing>
          <wp:inline distT="0" distB="0" distL="0" distR="0" wp14:anchorId="713B7B15" wp14:editId="11EDBCEF">
            <wp:extent cx="5448300" cy="2613660"/>
            <wp:effectExtent l="0" t="0" r="0" b="0"/>
            <wp:docPr id="1971821266" name="Gráfico 1971821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5AEE48" w14:textId="77777777" w:rsidR="007933D2" w:rsidRDefault="00000000">
      <w:pPr>
        <w:spacing w:line="276" w:lineRule="auto"/>
        <w:ind w:right="-574"/>
        <w:jc w:val="both"/>
        <w:rPr>
          <w:rFonts w:ascii="Open Sans" w:eastAsia="Open Sans" w:hAnsi="Open Sans" w:cs="Open Sans"/>
          <w:b/>
          <w:bCs/>
        </w:rPr>
      </w:pPr>
      <w:r>
        <w:rPr>
          <w:rFonts w:ascii="Open Sans" w:eastAsia="Open Sans" w:hAnsi="Open Sans" w:cs="Open Sans"/>
        </w:rPr>
        <w:lastRenderedPageBreak/>
        <w:t xml:space="preserve">“El precio del alquiler vuelve a marcar un nuevo máximo histórico a nivel nacional, también en más de la mitad de las comunidades autónomas y en 14 de las 50 capitales de provincia. La situación es alarmante porque casi dos años después de superar el precio registrado en la burbuja de 2007, continúa subiendo con fuerza sin vistas a moderarse. La razón principal de este calentamiento es el desequilibrio existente entre oferta y demanda. En estos momentos el stock de vivienda disponible está atravesando su peor etapa debido al traspaso de arrendamientos residenciales a alquiler de temporada o habitaciones, mientras que la demanda continúa intensa y concentrada en los grandes núcleos urbanos, por lo que los precios se tensionan al alza”, </w:t>
      </w:r>
      <w:r w:rsidRPr="000C5AD7">
        <w:rPr>
          <w:rFonts w:ascii="Open Sans" w:eastAsia="Open Sans" w:hAnsi="Open Sans" w:cs="Open Sans"/>
          <w:b/>
          <w:bCs/>
        </w:rPr>
        <w:t xml:space="preserve">explica María Matos, directora de Estudios y portavoz de </w:t>
      </w:r>
      <w:hyperlink r:id="rId12">
        <w:r w:rsidRPr="000C5AD7">
          <w:rPr>
            <w:rFonts w:ascii="Open Sans" w:eastAsia="Open Sans" w:hAnsi="Open Sans" w:cs="Open Sans"/>
            <w:b/>
            <w:bCs/>
            <w:color w:val="1155CC"/>
            <w:u w:val="single"/>
          </w:rPr>
          <w:t>Fotocasa</w:t>
        </w:r>
      </w:hyperlink>
      <w:r w:rsidRPr="000C5AD7">
        <w:rPr>
          <w:rFonts w:ascii="Open Sans" w:eastAsia="Open Sans" w:hAnsi="Open Sans" w:cs="Open Sans"/>
          <w:b/>
          <w:bCs/>
        </w:rPr>
        <w:t xml:space="preserve">. </w:t>
      </w:r>
    </w:p>
    <w:p w14:paraId="31E9D827" w14:textId="77777777" w:rsidR="000C5AD7" w:rsidRDefault="000C5AD7">
      <w:pPr>
        <w:spacing w:line="276" w:lineRule="auto"/>
        <w:ind w:right="-574"/>
        <w:jc w:val="both"/>
        <w:rPr>
          <w:rFonts w:ascii="Open Sans" w:eastAsia="Open Sans" w:hAnsi="Open Sans" w:cs="Open Sans"/>
          <w:b/>
          <w:bCs/>
        </w:rPr>
      </w:pPr>
    </w:p>
    <w:p w14:paraId="01743BDE" w14:textId="5AEB1A95" w:rsidR="007933D2" w:rsidRPr="000C5AD7" w:rsidRDefault="000C5AD7" w:rsidP="000C5AD7">
      <w:pPr>
        <w:spacing w:line="276" w:lineRule="auto"/>
        <w:ind w:right="-574"/>
        <w:jc w:val="center"/>
        <w:rPr>
          <w:rFonts w:ascii="Open Sans" w:eastAsia="Open Sans" w:hAnsi="Open Sans" w:cs="Open Sans"/>
          <w:b/>
          <w:bCs/>
        </w:rPr>
      </w:pPr>
      <w:hyperlink r:id="rId13" w:history="1">
        <w:r w:rsidRPr="000C5AD7">
          <w:rPr>
            <w:rStyle w:val="Hipervnculo"/>
            <w:rFonts w:ascii="Open Sans" w:eastAsia="Open Sans" w:hAnsi="Open Sans" w:cs="Open Sans"/>
            <w:b/>
            <w:bCs/>
          </w:rPr>
          <w:t>Declaraciones de María Matos, directora de Estudios de Fotocasa</w:t>
        </w:r>
      </w:hyperlink>
    </w:p>
    <w:p w14:paraId="343F98CF" w14:textId="1B12E90A" w:rsidR="000C5AD7" w:rsidRDefault="000C5AD7" w:rsidP="000C5AD7">
      <w:pPr>
        <w:pStyle w:val="NormalWeb"/>
      </w:pPr>
      <w:r>
        <w:rPr>
          <w:noProof/>
        </w:rPr>
        <w:drawing>
          <wp:inline distT="0" distB="0" distL="0" distR="0" wp14:anchorId="4A5183F1" wp14:editId="5D80775A">
            <wp:extent cx="5829300" cy="2999023"/>
            <wp:effectExtent l="0" t="0" r="0" b="0"/>
            <wp:docPr id="1728569092" name="Imagen 1" descr="Mujer con blusa azul&#10;&#10;Descripción generada automáticamente con confianza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69092" name="Imagen 1" descr="Mujer con blusa azul&#10;&#10;Descripción generada automáticamente con confianza media">
                      <a:hlinkClick r:id="rId9"/>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6260" cy="3002604"/>
                    </a:xfrm>
                    <a:prstGeom prst="rect">
                      <a:avLst/>
                    </a:prstGeom>
                    <a:noFill/>
                    <a:ln>
                      <a:noFill/>
                    </a:ln>
                  </pic:spPr>
                </pic:pic>
              </a:graphicData>
            </a:graphic>
          </wp:inline>
        </w:drawing>
      </w:r>
    </w:p>
    <w:p w14:paraId="1C628B43" w14:textId="77777777" w:rsidR="000C5AD7" w:rsidRDefault="000C5AD7">
      <w:pPr>
        <w:spacing w:line="276" w:lineRule="auto"/>
        <w:ind w:right="-574"/>
        <w:jc w:val="both"/>
        <w:rPr>
          <w:rFonts w:ascii="Open Sans" w:eastAsia="Open Sans" w:hAnsi="Open Sans" w:cs="Open Sans"/>
          <w:color w:val="000000"/>
        </w:rPr>
      </w:pPr>
    </w:p>
    <w:p w14:paraId="632962ED" w14:textId="17FE9338"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Comunidades Autónomas este primer trimestre de 2024 se presenta con 16 incrementos trimestrales y 17 incrementos interanuales. En marzo diez de ellas han superado sus precios máximos y son: Madrid con 18,32 €/m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11,59 €/m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13,45 €/m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9,04 €/m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17,54 €/m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con 10,48 €/m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9,71 €/m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con 16,49 €/m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con 11,93 €/m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Castilla y León con 8,80 €/m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5C50F8A" w14:textId="77777777" w:rsidR="007933D2" w:rsidRDefault="007933D2">
      <w:pPr>
        <w:spacing w:line="276" w:lineRule="auto"/>
        <w:ind w:right="-574"/>
        <w:jc w:val="both"/>
        <w:rPr>
          <w:rFonts w:ascii="Open Sans" w:eastAsia="Open Sans" w:hAnsi="Open Sans" w:cs="Open Sans"/>
          <w:color w:val="000000"/>
        </w:rPr>
      </w:pPr>
    </w:p>
    <w:p w14:paraId="33F20696"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El orden de los incrementos trimestrales es:</w:t>
      </w:r>
      <w:r>
        <w:t xml:space="preserve"> </w:t>
      </w:r>
      <w:r>
        <w:rPr>
          <w:rFonts w:ascii="Open Sans" w:eastAsia="Open Sans" w:hAnsi="Open Sans" w:cs="Open Sans"/>
          <w:color w:val="000000"/>
        </w:rPr>
        <w:t>Castilla-La Mancha</w:t>
      </w:r>
      <w:r>
        <w:rPr>
          <w:rFonts w:ascii="Open Sans" w:eastAsia="Open Sans" w:hAnsi="Open Sans" w:cs="Open Sans"/>
          <w:color w:val="000000"/>
        </w:rPr>
        <w:tab/>
        <w:t>10,7%), La Rioja (8,9%), Región de Murcia (7,9%), Madrid (5,4%), Navarra (5,2%), Canarias (5,2%), Galicia (4,8%), Baleares (3,8%), Andalucía (3,8%), Extremadura (3,7%), Asturias (3,6%), Cataluña (3,4%), Cantabria (3,1%), Comunitat Valenciana (2,8%), Aragón (2,8%) y Castilla y León (2,2%).</w:t>
      </w:r>
    </w:p>
    <w:p w14:paraId="66F38015" w14:textId="77777777" w:rsidR="007933D2" w:rsidRDefault="007933D2">
      <w:pPr>
        <w:spacing w:line="276" w:lineRule="auto"/>
        <w:ind w:right="-574"/>
        <w:jc w:val="both"/>
        <w:rPr>
          <w:rFonts w:ascii="Open Sans" w:eastAsia="Open Sans" w:hAnsi="Open Sans" w:cs="Open Sans"/>
          <w:color w:val="000000"/>
        </w:rPr>
      </w:pPr>
    </w:p>
    <w:p w14:paraId="26858C6F" w14:textId="77777777" w:rsidR="007933D2"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por CCAA en el primer trimestre de 2024</w:t>
      </w:r>
    </w:p>
    <w:p w14:paraId="6C6939E4" w14:textId="77777777" w:rsidR="007933D2"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6875CA4E" wp14:editId="09DEF5FF">
            <wp:extent cx="5396230" cy="3889375"/>
            <wp:effectExtent l="0" t="0" r="0" b="0"/>
            <wp:docPr id="1971821268" name="image1.png" descr="Imagen que contiene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 de burbujas&#10;&#10;Descripción generada automáticamente"/>
                    <pic:cNvPicPr preferRelativeResize="0"/>
                  </pic:nvPicPr>
                  <pic:blipFill>
                    <a:blip r:embed="rId15"/>
                    <a:srcRect/>
                    <a:stretch>
                      <a:fillRect/>
                    </a:stretch>
                  </pic:blipFill>
                  <pic:spPr>
                    <a:xfrm>
                      <a:off x="0" y="0"/>
                      <a:ext cx="5396230" cy="3889375"/>
                    </a:xfrm>
                    <a:prstGeom prst="rect">
                      <a:avLst/>
                    </a:prstGeom>
                    <a:ln/>
                  </pic:spPr>
                </pic:pic>
              </a:graphicData>
            </a:graphic>
          </wp:inline>
        </w:drawing>
      </w:r>
    </w:p>
    <w:p w14:paraId="1BDEC92E" w14:textId="77777777" w:rsidR="007933D2" w:rsidRDefault="007933D2">
      <w:pPr>
        <w:spacing w:line="276" w:lineRule="auto"/>
        <w:ind w:right="-574"/>
        <w:jc w:val="center"/>
        <w:rPr>
          <w:rFonts w:ascii="Open Sans" w:eastAsia="Open Sans" w:hAnsi="Open Sans" w:cs="Open Sans"/>
          <w:color w:val="000000"/>
        </w:rPr>
      </w:pPr>
    </w:p>
    <w:p w14:paraId="665058E8" w14:textId="77777777" w:rsidR="000C5AD7" w:rsidRDefault="000C5AD7">
      <w:pPr>
        <w:spacing w:line="276" w:lineRule="auto"/>
        <w:ind w:right="-574"/>
        <w:jc w:val="both"/>
        <w:rPr>
          <w:rFonts w:ascii="Open Sans" w:eastAsia="Open Sans" w:hAnsi="Open Sans" w:cs="Open Sans"/>
          <w:color w:val="000000"/>
        </w:rPr>
      </w:pPr>
    </w:p>
    <w:p w14:paraId="4CD8AC2C" w14:textId="311DFBC4"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por Madrid se paga por metro cuadrado 18,32 euros. Le siguen las comunidades de Baleares con 17,54 €/m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con 16,49 €/m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con 15,35 €/m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13,45 €/m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12,07 €/m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con 11,93 €/m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11,59 €/m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con 10,48 €/m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9,71 €/m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con 9,49 €/m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9,04 €/m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con 8,90 €/m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con 8,80 €/m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con 8,65 €/m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con 6,95 €/m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con 6,53 €/m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5B6BCE98" w14:textId="77777777" w:rsidR="000C5AD7" w:rsidRDefault="000C5AD7">
      <w:pPr>
        <w:spacing w:line="276" w:lineRule="auto"/>
        <w:ind w:right="-574"/>
        <w:jc w:val="both"/>
        <w:rPr>
          <w:rFonts w:ascii="Open Sans" w:eastAsia="Open Sans" w:hAnsi="Open Sans" w:cs="Open Sans"/>
          <w:color w:val="000000"/>
        </w:rPr>
      </w:pPr>
    </w:p>
    <w:p w14:paraId="2F51F23F" w14:textId="77777777" w:rsidR="007933D2" w:rsidRDefault="007933D2">
      <w:pPr>
        <w:spacing w:line="276" w:lineRule="auto"/>
        <w:ind w:right="-574"/>
        <w:jc w:val="center"/>
        <w:rPr>
          <w:rFonts w:ascii="Open Sans Light" w:eastAsia="Open Sans Light" w:hAnsi="Open Sans Light" w:cs="Open Sans Light"/>
          <w:b/>
          <w:color w:val="303AB2"/>
          <w:sz w:val="28"/>
          <w:szCs w:val="28"/>
        </w:rPr>
      </w:pPr>
    </w:p>
    <w:p w14:paraId="75C721B1" w14:textId="77777777" w:rsidR="007933D2"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por CCAA en el primer trimestre de 2024</w:t>
      </w:r>
    </w:p>
    <w:p w14:paraId="73647617" w14:textId="77777777" w:rsidR="007933D2"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498FDB14" wp14:editId="2ED464E2">
            <wp:extent cx="5396230" cy="3871595"/>
            <wp:effectExtent l="0" t="0" r="0" b="0"/>
            <wp:docPr id="1971821270" name="image3.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Gráfico&#10;&#10;Descripción generada automáticamente"/>
                    <pic:cNvPicPr preferRelativeResize="0"/>
                  </pic:nvPicPr>
                  <pic:blipFill>
                    <a:blip r:embed="rId16"/>
                    <a:srcRect/>
                    <a:stretch>
                      <a:fillRect/>
                    </a:stretch>
                  </pic:blipFill>
                  <pic:spPr>
                    <a:xfrm>
                      <a:off x="0" y="0"/>
                      <a:ext cx="5396230" cy="3871595"/>
                    </a:xfrm>
                    <a:prstGeom prst="rect">
                      <a:avLst/>
                    </a:prstGeom>
                    <a:ln/>
                  </pic:spPr>
                </pic:pic>
              </a:graphicData>
            </a:graphic>
          </wp:inline>
        </w:drawing>
      </w:r>
    </w:p>
    <w:p w14:paraId="701334AF" w14:textId="77777777" w:rsidR="007933D2" w:rsidRDefault="007933D2">
      <w:pPr>
        <w:spacing w:line="276" w:lineRule="auto"/>
        <w:ind w:right="-574"/>
        <w:jc w:val="both"/>
        <w:rPr>
          <w:rFonts w:ascii="Open Sans" w:eastAsia="Open Sans" w:hAnsi="Open Sans" w:cs="Open Sans"/>
          <w:color w:val="000000"/>
        </w:rPr>
      </w:pPr>
    </w:p>
    <w:p w14:paraId="2BD8FFCF" w14:textId="77777777" w:rsidR="007933D2"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3EDA60C5"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primer trimestre de 2024 se presenta con 37 subidas trimestrales y 43 interanuales. Las tres provincias con incrementos trimestrales son: Cáceres</w:t>
      </w:r>
      <w:r>
        <w:rPr>
          <w:rFonts w:ascii="Open Sans" w:eastAsia="Open Sans" w:hAnsi="Open Sans" w:cs="Open Sans"/>
          <w:color w:val="000000"/>
        </w:rPr>
        <w:tab/>
        <w:t xml:space="preserve"> (11,8%), La Rioja (8,9%) y A Coruña (8,6%). Por otro lado, diez provincias presentan descensos trimestrales y son Araba - Álava (-8,4%), Jaén (-5,0%), Palencia (-4,4%), Ourense (-4,2%), Guadalajara (-3,8%), León (-2,4%), Badajoz (-0,9%), Teruel (-0,8%), Lugo (-0,3%) y Bizkaia (-0,1%).</w:t>
      </w:r>
    </w:p>
    <w:p w14:paraId="5ABF44B9" w14:textId="77777777" w:rsidR="007933D2" w:rsidRDefault="007933D2">
      <w:pPr>
        <w:spacing w:line="276" w:lineRule="auto"/>
        <w:ind w:right="-574"/>
        <w:jc w:val="both"/>
        <w:rPr>
          <w:rFonts w:ascii="Open Sans" w:eastAsia="Open Sans" w:hAnsi="Open Sans" w:cs="Open Sans"/>
          <w:color w:val="000000"/>
        </w:rPr>
      </w:pPr>
    </w:p>
    <w:p w14:paraId="76BC6145"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Barcelona, Madrid, Gipuzkoa y Illes Balears son las CCAA que superan la barrera de los 17,00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En cuanto al ranking de precios por provincias, por Barcelona se paga por metro cuadrado 18,42 euros. Le siguen las provincias de Madrid con 18,32 €/m</w:t>
      </w:r>
      <w:r>
        <w:rPr>
          <w:rFonts w:ascii="Open Sans" w:eastAsia="Open Sans" w:hAnsi="Open Sans" w:cs="Open Sans"/>
          <w:color w:val="000000"/>
          <w:vertAlign w:val="superscript"/>
        </w:rPr>
        <w:t xml:space="preserve">2 </w:t>
      </w:r>
      <w:r>
        <w:rPr>
          <w:rFonts w:ascii="Open Sans" w:eastAsia="Open Sans" w:hAnsi="Open Sans" w:cs="Open Sans"/>
          <w:color w:val="000000"/>
        </w:rPr>
        <w:t>al mes, Gipuzkoa con 18,00 €/m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Illes Balears con 17,54 €/m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55CBBC24" w14:textId="77777777" w:rsidR="000C5AD7" w:rsidRDefault="000C5AD7">
      <w:pPr>
        <w:spacing w:line="276" w:lineRule="auto"/>
        <w:ind w:right="-574"/>
        <w:jc w:val="both"/>
        <w:rPr>
          <w:rFonts w:ascii="Open Sans" w:eastAsia="Open Sans" w:hAnsi="Open Sans" w:cs="Open Sans"/>
          <w:color w:val="000000"/>
        </w:rPr>
      </w:pPr>
    </w:p>
    <w:p w14:paraId="318D821F" w14:textId="77777777" w:rsidR="000C5AD7" w:rsidRDefault="000C5AD7">
      <w:pPr>
        <w:spacing w:line="276" w:lineRule="auto"/>
        <w:ind w:right="-574"/>
        <w:jc w:val="both"/>
        <w:rPr>
          <w:rFonts w:ascii="Open Sans" w:eastAsia="Open Sans" w:hAnsi="Open Sans" w:cs="Open Sans"/>
          <w:color w:val="000000"/>
        </w:rPr>
      </w:pPr>
    </w:p>
    <w:p w14:paraId="65EB282E" w14:textId="77777777" w:rsidR="000C5AD7" w:rsidRDefault="000C5AD7">
      <w:pPr>
        <w:spacing w:line="276" w:lineRule="auto"/>
        <w:ind w:right="-574"/>
        <w:jc w:val="both"/>
        <w:rPr>
          <w:rFonts w:ascii="Open Sans" w:eastAsia="Open Sans" w:hAnsi="Open Sans" w:cs="Open Sans"/>
          <w:color w:val="000000"/>
        </w:rPr>
      </w:pPr>
    </w:p>
    <w:p w14:paraId="33EC7BC5" w14:textId="77777777" w:rsidR="007933D2" w:rsidRDefault="007933D2">
      <w:pPr>
        <w:spacing w:line="276" w:lineRule="auto"/>
        <w:ind w:right="-574"/>
        <w:jc w:val="both"/>
        <w:rPr>
          <w:rFonts w:ascii="Open Sans" w:eastAsia="Open Sans" w:hAnsi="Open Sans" w:cs="Open Sans"/>
          <w:color w:val="000000"/>
        </w:rPr>
      </w:pPr>
    </w:p>
    <w:p w14:paraId="6095A5CD" w14:textId="09715205" w:rsidR="007933D2" w:rsidRDefault="00000000" w:rsidP="000C5AD7">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primer trimestre de 2024 por provincias</w:t>
      </w:r>
    </w:p>
    <w:p w14:paraId="680696A4" w14:textId="77777777" w:rsidR="007933D2"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252F0B0B" wp14:editId="3341A3AF">
            <wp:extent cx="5234940" cy="4130040"/>
            <wp:effectExtent l="0" t="0" r="3810" b="3810"/>
            <wp:docPr id="1971821269" name="image2.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Gráfico&#10;&#10;Descripción generada automáticamente con confianza media"/>
                    <pic:cNvPicPr preferRelativeResize="0"/>
                  </pic:nvPicPr>
                  <pic:blipFill>
                    <a:blip r:embed="rId17"/>
                    <a:srcRect/>
                    <a:stretch>
                      <a:fillRect/>
                    </a:stretch>
                  </pic:blipFill>
                  <pic:spPr>
                    <a:xfrm>
                      <a:off x="0" y="0"/>
                      <a:ext cx="5234940" cy="4130040"/>
                    </a:xfrm>
                    <a:prstGeom prst="rect">
                      <a:avLst/>
                    </a:prstGeom>
                    <a:ln/>
                  </pic:spPr>
                </pic:pic>
              </a:graphicData>
            </a:graphic>
          </wp:inline>
        </w:drawing>
      </w:r>
    </w:p>
    <w:p w14:paraId="5FCE045E" w14:textId="77777777" w:rsidR="007933D2" w:rsidRDefault="007933D2">
      <w:pPr>
        <w:spacing w:line="276" w:lineRule="auto"/>
        <w:ind w:right="-574"/>
        <w:jc w:val="both"/>
        <w:rPr>
          <w:rFonts w:ascii="Open Sans" w:eastAsia="Open Sans" w:hAnsi="Open Sans" w:cs="Open Sans"/>
          <w:color w:val="000000"/>
        </w:rPr>
      </w:pPr>
    </w:p>
    <w:p w14:paraId="42BD207A" w14:textId="5B642D1B" w:rsidR="007933D2" w:rsidRDefault="00000000" w:rsidP="000C5AD7">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primer trimestre de 2024 por provincias</w:t>
      </w:r>
    </w:p>
    <w:p w14:paraId="6C93C05C" w14:textId="77777777" w:rsidR="007933D2"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3617E369" wp14:editId="797B3D27">
            <wp:extent cx="5219700" cy="3878580"/>
            <wp:effectExtent l="0" t="0" r="0" b="7620"/>
            <wp:docPr id="1971821272" name="image4.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cono&#10;&#10;Descripción generada automáticamente"/>
                    <pic:cNvPicPr preferRelativeResize="0"/>
                  </pic:nvPicPr>
                  <pic:blipFill>
                    <a:blip r:embed="rId18"/>
                    <a:srcRect/>
                    <a:stretch>
                      <a:fillRect/>
                    </a:stretch>
                  </pic:blipFill>
                  <pic:spPr>
                    <a:xfrm>
                      <a:off x="0" y="0"/>
                      <a:ext cx="5219700" cy="3878580"/>
                    </a:xfrm>
                    <a:prstGeom prst="rect">
                      <a:avLst/>
                    </a:prstGeom>
                    <a:ln/>
                  </pic:spPr>
                </pic:pic>
              </a:graphicData>
            </a:graphic>
          </wp:inline>
        </w:drawing>
      </w:r>
    </w:p>
    <w:p w14:paraId="7B4773AB" w14:textId="77777777" w:rsidR="007933D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Municipios de España</w:t>
      </w:r>
    </w:p>
    <w:p w14:paraId="7F2D56D6"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104 ciudades españolas analizadas por </w:t>
      </w:r>
      <w:hyperlink r:id="rId19">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marzo de 2024, en el 80% de ellas el precio de la vivienda en alquiler por metro cuadrado sube. </w:t>
      </w:r>
    </w:p>
    <w:p w14:paraId="0969495B" w14:textId="77777777" w:rsidR="007933D2" w:rsidRDefault="007933D2">
      <w:pPr>
        <w:spacing w:line="276" w:lineRule="auto"/>
        <w:ind w:right="-574"/>
        <w:jc w:val="both"/>
        <w:rPr>
          <w:rFonts w:ascii="Open Sans" w:eastAsia="Open Sans" w:hAnsi="Open Sans" w:cs="Open Sans"/>
          <w:color w:val="000000"/>
        </w:rPr>
      </w:pPr>
    </w:p>
    <w:p w14:paraId="70E6755F" w14:textId="1EEEDE54"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el 10% de las ciudades el precio de la vivienda trimestral sube por encima del 10%. Las ciudades con estos incrementos son: Sanlúcar de Barrameda (54,8%), Punta Umbría (49,6%), Águilas (46,7%), Ciudad Real capital (29,4%), El Ejido (28,1%), La Manga del Mar Menor (23,9%), Castro-Urdiales (17,7%), Chiclana de la Frontera (14,3%), Santa Pola (12,0%) y Oropesa del Mar / Orpesa (11,2%). Por otro lado, las tres ciudades que presentan los mayores descensos trimestrales son Canet d'En Berenguer (-17,0%), Orihuela (-12,1%) y Chipiona (-7,9%).</w:t>
      </w:r>
    </w:p>
    <w:p w14:paraId="11BB3914" w14:textId="77777777" w:rsidR="007933D2" w:rsidRDefault="007933D2">
      <w:pPr>
        <w:spacing w:line="276" w:lineRule="auto"/>
        <w:ind w:right="-574"/>
        <w:jc w:val="both"/>
        <w:rPr>
          <w:rFonts w:ascii="Open Sans" w:eastAsia="Open Sans" w:hAnsi="Open Sans" w:cs="Open Sans"/>
          <w:color w:val="000000"/>
        </w:rPr>
      </w:pPr>
    </w:p>
    <w:p w14:paraId="56896784" w14:textId="77777777" w:rsidR="007933D2"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Variación interanual en el primer trimestre de 2024 por capitales </w:t>
      </w:r>
    </w:p>
    <w:p w14:paraId="70551615" w14:textId="77777777" w:rsidR="007933D2"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28A0ED07" wp14:editId="40B1DC3E">
            <wp:extent cx="5396230" cy="4089400"/>
            <wp:effectExtent l="0" t="0" r="0" b="0"/>
            <wp:docPr id="1971821271" name="image5.png" descr="Gráfic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con confianza baja"/>
                    <pic:cNvPicPr preferRelativeResize="0"/>
                  </pic:nvPicPr>
                  <pic:blipFill>
                    <a:blip r:embed="rId20"/>
                    <a:srcRect/>
                    <a:stretch>
                      <a:fillRect/>
                    </a:stretch>
                  </pic:blipFill>
                  <pic:spPr>
                    <a:xfrm>
                      <a:off x="0" y="0"/>
                      <a:ext cx="5396230" cy="4089400"/>
                    </a:xfrm>
                    <a:prstGeom prst="rect">
                      <a:avLst/>
                    </a:prstGeom>
                    <a:ln/>
                  </pic:spPr>
                </pic:pic>
              </a:graphicData>
            </a:graphic>
          </wp:inline>
        </w:drawing>
      </w:r>
    </w:p>
    <w:p w14:paraId="0B3D0963" w14:textId="77777777" w:rsidR="007933D2" w:rsidRDefault="007933D2">
      <w:pPr>
        <w:spacing w:line="276" w:lineRule="auto"/>
        <w:ind w:right="-574"/>
        <w:jc w:val="center"/>
        <w:rPr>
          <w:rFonts w:ascii="Open Sans Light" w:eastAsia="Open Sans Light" w:hAnsi="Open Sans Light" w:cs="Open Sans Light"/>
          <w:b/>
          <w:color w:val="303AB2"/>
          <w:sz w:val="28"/>
          <w:szCs w:val="28"/>
        </w:rPr>
      </w:pPr>
    </w:p>
    <w:p w14:paraId="1942ACF4" w14:textId="77777777" w:rsidR="000C5AD7" w:rsidRDefault="000C5AD7" w:rsidP="000C5AD7">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municipios, son 19 las ciudades que superan la barrera de los 15,00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y en concreto, se paga por Barcelona capital con 21,33 €/m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por Calvià con 20,79 €/m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Le siguen, Madrid </w:t>
      </w:r>
      <w:r>
        <w:rPr>
          <w:rFonts w:ascii="Open Sans" w:eastAsia="Open Sans" w:hAnsi="Open Sans" w:cs="Open Sans"/>
          <w:color w:val="000000"/>
        </w:rPr>
        <w:lastRenderedPageBreak/>
        <w:t>capital con 19,66 €/m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con 19,44 €/m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w:t>
      </w:r>
      <w:r>
        <w:rPr>
          <w:rFonts w:ascii="Open Sans" w:eastAsia="Open Sans" w:hAnsi="Open Sans" w:cs="Open Sans"/>
          <w:color w:val="000000"/>
        </w:rPr>
        <w:tab/>
        <w:t>con 19,33 €/m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con 19,26 €/m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con 18,88 €/m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con 18,67 €/m</w:t>
      </w:r>
      <w:r>
        <w:rPr>
          <w:rFonts w:ascii="Open Sans" w:eastAsia="Open Sans" w:hAnsi="Open Sans" w:cs="Open Sans"/>
          <w:color w:val="000000"/>
          <w:vertAlign w:val="superscript"/>
        </w:rPr>
        <w:t xml:space="preserve">2 </w:t>
      </w:r>
      <w:r>
        <w:rPr>
          <w:rFonts w:ascii="Open Sans" w:eastAsia="Open Sans" w:hAnsi="Open Sans" w:cs="Open Sans"/>
          <w:color w:val="000000"/>
        </w:rPr>
        <w:t>al mes, Palma de Mallorca</w:t>
      </w:r>
      <w:r>
        <w:rPr>
          <w:rFonts w:ascii="Open Sans" w:eastAsia="Open Sans" w:hAnsi="Open Sans" w:cs="Open Sans"/>
          <w:color w:val="000000"/>
        </w:rPr>
        <w:tab/>
        <w:t>con 17,52 €/m</w:t>
      </w:r>
      <w:r>
        <w:rPr>
          <w:rFonts w:ascii="Open Sans" w:eastAsia="Open Sans" w:hAnsi="Open Sans" w:cs="Open Sans"/>
          <w:color w:val="000000"/>
          <w:vertAlign w:val="superscript"/>
        </w:rPr>
        <w:t xml:space="preserve">2 </w:t>
      </w:r>
      <w:r>
        <w:rPr>
          <w:rFonts w:ascii="Open Sans" w:eastAsia="Open Sans" w:hAnsi="Open Sans" w:cs="Open Sans"/>
          <w:color w:val="000000"/>
        </w:rPr>
        <w:t>al mes, Marbella con 17,38 €/m</w:t>
      </w:r>
      <w:r>
        <w:rPr>
          <w:rFonts w:ascii="Open Sans" w:eastAsia="Open Sans" w:hAnsi="Open Sans" w:cs="Open Sans"/>
          <w:color w:val="000000"/>
          <w:vertAlign w:val="superscript"/>
        </w:rPr>
        <w:t xml:space="preserve">2 </w:t>
      </w:r>
      <w:r>
        <w:rPr>
          <w:rFonts w:ascii="Open Sans" w:eastAsia="Open Sans" w:hAnsi="Open Sans" w:cs="Open Sans"/>
          <w:color w:val="000000"/>
        </w:rPr>
        <w:t>al mes, Benidorm con 16,76 €/m</w:t>
      </w:r>
      <w:r>
        <w:rPr>
          <w:rFonts w:ascii="Open Sans" w:eastAsia="Open Sans" w:hAnsi="Open Sans" w:cs="Open Sans"/>
          <w:color w:val="000000"/>
          <w:vertAlign w:val="superscript"/>
        </w:rPr>
        <w:t xml:space="preserve">2 </w:t>
      </w:r>
      <w:r>
        <w:rPr>
          <w:rFonts w:ascii="Open Sans" w:eastAsia="Open Sans" w:hAnsi="Open Sans" w:cs="Open Sans"/>
          <w:color w:val="000000"/>
        </w:rPr>
        <w:t>al mes, Benahavís con 16,68 €/m</w:t>
      </w:r>
      <w:r>
        <w:rPr>
          <w:rFonts w:ascii="Open Sans" w:eastAsia="Open Sans" w:hAnsi="Open Sans" w:cs="Open Sans"/>
          <w:color w:val="000000"/>
          <w:vertAlign w:val="superscript"/>
        </w:rPr>
        <w:t xml:space="preserve">2 </w:t>
      </w:r>
      <w:r>
        <w:rPr>
          <w:rFonts w:ascii="Open Sans" w:eastAsia="Open Sans" w:hAnsi="Open Sans" w:cs="Open Sans"/>
          <w:color w:val="000000"/>
        </w:rPr>
        <w:t>al mes, Badalona con 16,56 €/m</w:t>
      </w:r>
      <w:r>
        <w:rPr>
          <w:rFonts w:ascii="Open Sans" w:eastAsia="Open Sans" w:hAnsi="Open Sans" w:cs="Open Sans"/>
          <w:color w:val="000000"/>
          <w:vertAlign w:val="superscript"/>
        </w:rPr>
        <w:t xml:space="preserve">2 </w:t>
      </w:r>
      <w:r>
        <w:rPr>
          <w:rFonts w:ascii="Open Sans" w:eastAsia="Open Sans" w:hAnsi="Open Sans" w:cs="Open Sans"/>
          <w:color w:val="000000"/>
        </w:rPr>
        <w:t>al mes, Torremolinos con 16,25 €/m</w:t>
      </w:r>
      <w:r>
        <w:rPr>
          <w:rFonts w:ascii="Open Sans" w:eastAsia="Open Sans" w:hAnsi="Open Sans" w:cs="Open Sans"/>
          <w:color w:val="000000"/>
          <w:vertAlign w:val="superscript"/>
        </w:rPr>
        <w:t xml:space="preserve">2 </w:t>
      </w:r>
      <w:r>
        <w:rPr>
          <w:rFonts w:ascii="Open Sans" w:eastAsia="Open Sans" w:hAnsi="Open Sans" w:cs="Open Sans"/>
          <w:color w:val="000000"/>
        </w:rPr>
        <w:t>al mes, Estepona con 15,86 €/m</w:t>
      </w:r>
      <w:r>
        <w:rPr>
          <w:rFonts w:ascii="Open Sans" w:eastAsia="Open Sans" w:hAnsi="Open Sans" w:cs="Open Sans"/>
          <w:color w:val="000000"/>
          <w:vertAlign w:val="superscript"/>
        </w:rPr>
        <w:t xml:space="preserve">2 </w:t>
      </w:r>
      <w:r>
        <w:rPr>
          <w:rFonts w:ascii="Open Sans" w:eastAsia="Open Sans" w:hAnsi="Open Sans" w:cs="Open Sans"/>
          <w:color w:val="000000"/>
        </w:rPr>
        <w:t>al mes, Benalmádena con 15,65 €/m</w:t>
      </w:r>
      <w:r>
        <w:rPr>
          <w:rFonts w:ascii="Open Sans" w:eastAsia="Open Sans" w:hAnsi="Open Sans" w:cs="Open Sans"/>
          <w:color w:val="000000"/>
          <w:vertAlign w:val="superscript"/>
        </w:rPr>
        <w:t xml:space="preserve">2 </w:t>
      </w:r>
      <w:r>
        <w:rPr>
          <w:rFonts w:ascii="Open Sans" w:eastAsia="Open Sans" w:hAnsi="Open Sans" w:cs="Open Sans"/>
          <w:color w:val="000000"/>
        </w:rPr>
        <w:t>al mes, Mijas</w:t>
      </w:r>
      <w:r>
        <w:rPr>
          <w:rFonts w:ascii="Open Sans" w:eastAsia="Open Sans" w:hAnsi="Open Sans" w:cs="Open Sans"/>
          <w:color w:val="000000"/>
        </w:rPr>
        <w:tab/>
        <w:t>con 15,53 €/m</w:t>
      </w:r>
      <w:r>
        <w:rPr>
          <w:rFonts w:ascii="Open Sans" w:eastAsia="Open Sans" w:hAnsi="Open Sans" w:cs="Open Sans"/>
          <w:color w:val="000000"/>
          <w:vertAlign w:val="superscript"/>
        </w:rPr>
        <w:t xml:space="preserve">2 </w:t>
      </w:r>
      <w:r>
        <w:rPr>
          <w:rFonts w:ascii="Open Sans" w:eastAsia="Open Sans" w:hAnsi="Open Sans" w:cs="Open Sans"/>
          <w:color w:val="000000"/>
        </w:rPr>
        <w:t>al mes, Bilbao con 15,44 €/m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Fuengirola con 15,03 €/m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7271F7F7" w14:textId="77777777" w:rsidR="000C5AD7" w:rsidRDefault="000C5AD7">
      <w:pPr>
        <w:spacing w:line="276" w:lineRule="auto"/>
        <w:ind w:right="-574"/>
        <w:jc w:val="center"/>
        <w:rPr>
          <w:rFonts w:ascii="Open Sans Light" w:eastAsia="Open Sans Light" w:hAnsi="Open Sans Light" w:cs="Open Sans Light"/>
          <w:b/>
          <w:color w:val="303AB2"/>
          <w:sz w:val="28"/>
          <w:szCs w:val="28"/>
        </w:rPr>
      </w:pPr>
    </w:p>
    <w:p w14:paraId="3F9DC1DA" w14:textId="7B29175B" w:rsidR="007933D2"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primer trimestre de 2024 por capitales</w:t>
      </w:r>
    </w:p>
    <w:p w14:paraId="2222AC74" w14:textId="77777777" w:rsidR="007933D2"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025B00EE" wp14:editId="783F6C18">
            <wp:extent cx="5396230" cy="4102735"/>
            <wp:effectExtent l="0" t="0" r="0" b="0"/>
            <wp:docPr id="1971821273" name="image7.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Icono&#10;&#10;Descripción generada automáticamente"/>
                    <pic:cNvPicPr preferRelativeResize="0"/>
                  </pic:nvPicPr>
                  <pic:blipFill>
                    <a:blip r:embed="rId21"/>
                    <a:srcRect/>
                    <a:stretch>
                      <a:fillRect/>
                    </a:stretch>
                  </pic:blipFill>
                  <pic:spPr>
                    <a:xfrm>
                      <a:off x="0" y="0"/>
                      <a:ext cx="5396230" cy="4102735"/>
                    </a:xfrm>
                    <a:prstGeom prst="rect">
                      <a:avLst/>
                    </a:prstGeom>
                    <a:ln/>
                  </pic:spPr>
                </pic:pic>
              </a:graphicData>
            </a:graphic>
          </wp:inline>
        </w:drawing>
      </w:r>
    </w:p>
    <w:p w14:paraId="273E92F8" w14:textId="77777777" w:rsidR="007933D2" w:rsidRDefault="007933D2">
      <w:pPr>
        <w:spacing w:line="276" w:lineRule="auto"/>
        <w:ind w:right="-574"/>
        <w:jc w:val="both"/>
        <w:rPr>
          <w:rFonts w:ascii="Open Sans" w:eastAsia="Open Sans" w:hAnsi="Open Sans" w:cs="Open Sans"/>
          <w:color w:val="000000"/>
        </w:rPr>
      </w:pPr>
    </w:p>
    <w:p w14:paraId="2698E9BF" w14:textId="77777777" w:rsidR="007933D2" w:rsidRDefault="007933D2">
      <w:pPr>
        <w:spacing w:line="276" w:lineRule="auto"/>
        <w:ind w:right="-574"/>
        <w:jc w:val="both"/>
        <w:rPr>
          <w:rFonts w:ascii="Open Sans Light" w:eastAsia="Open Sans Light" w:hAnsi="Open Sans Light" w:cs="Open Sans Light"/>
          <w:b/>
          <w:color w:val="303AB2"/>
        </w:rPr>
      </w:pPr>
    </w:p>
    <w:p w14:paraId="534BF9F6" w14:textId="77777777" w:rsidR="007933D2" w:rsidRDefault="00000000">
      <w:pPr>
        <w:spacing w:line="276" w:lineRule="auto"/>
        <w:ind w:right="-574"/>
        <w:rPr>
          <w:rFonts w:ascii="Open Sans Light" w:eastAsia="Open Sans Light" w:hAnsi="Open Sans Light" w:cs="Open Sans Light"/>
          <w:b/>
          <w:color w:val="303AB2"/>
          <w:sz w:val="28"/>
          <w:szCs w:val="28"/>
        </w:rPr>
      </w:pPr>
      <w:bookmarkStart w:id="2" w:name="_heading=h.1fob9te" w:colFirst="0" w:colLast="0"/>
      <w:bookmarkEnd w:id="2"/>
      <w:r>
        <w:rPr>
          <w:rFonts w:ascii="Open Sans Light" w:eastAsia="Open Sans Light" w:hAnsi="Open Sans Light" w:cs="Open Sans Light"/>
          <w:b/>
          <w:color w:val="303AB2"/>
          <w:sz w:val="28"/>
          <w:szCs w:val="28"/>
        </w:rPr>
        <w:t xml:space="preserve">Distritos de Madrid </w:t>
      </w:r>
    </w:p>
    <w:p w14:paraId="24C12756" w14:textId="77777777" w:rsidR="007933D2" w:rsidRDefault="007933D2">
      <w:pPr>
        <w:ind w:right="-574"/>
        <w:rPr>
          <w:rFonts w:ascii="Open Sans Light" w:eastAsia="Open Sans Light" w:hAnsi="Open Sans Light" w:cs="Open Sans Light"/>
          <w:b/>
          <w:color w:val="303AB2"/>
          <w:sz w:val="28"/>
          <w:szCs w:val="28"/>
        </w:rPr>
      </w:pPr>
    </w:p>
    <w:p w14:paraId="210EE756"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trimestral sube en 14 distritos en marzo respecto al trimestre anterior. El orden de los distritos con los incrementos de mayor a menor es: Vicálvaro (13,1%), Puente de Vallecas (8,5%), San Blas (8,0%), Carabanchel (7,0%), Tetuán (5,8%), Fuencarral - El Pardo (5,2%), Arganzuela (4,6%), Chamartín (4,5%), </w:t>
      </w:r>
      <w:r>
        <w:rPr>
          <w:rFonts w:ascii="Open Sans" w:eastAsia="Open Sans" w:hAnsi="Open Sans" w:cs="Open Sans"/>
          <w:color w:val="000000"/>
        </w:rPr>
        <w:lastRenderedPageBreak/>
        <w:t>Ciudad Lineal (3,5%), Chamberí (2,8%), Moncloa - Aravaca (2,6%), Barrio de Salamanca (2,5%), Villaverde (1,6%) y Retiro (0,3%).</w:t>
      </w:r>
    </w:p>
    <w:p w14:paraId="53CD8098" w14:textId="77777777" w:rsidR="007933D2" w:rsidRDefault="007933D2">
      <w:pPr>
        <w:spacing w:line="276" w:lineRule="auto"/>
        <w:ind w:right="-574"/>
        <w:jc w:val="both"/>
        <w:rPr>
          <w:rFonts w:ascii="Open Sans" w:eastAsia="Open Sans" w:hAnsi="Open Sans" w:cs="Open Sans"/>
          <w:color w:val="000000"/>
        </w:rPr>
      </w:pPr>
    </w:p>
    <w:p w14:paraId="0DCB2375"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ocho distritos se alcanzan precios máximos en el primer trimestre de 2024 y son:</w:t>
      </w:r>
      <w:r>
        <w:t xml:space="preserve"> </w:t>
      </w:r>
      <w:r>
        <w:rPr>
          <w:rFonts w:ascii="Open Sans" w:eastAsia="Open Sans" w:hAnsi="Open Sans" w:cs="Open Sans"/>
          <w:color w:val="000000"/>
        </w:rPr>
        <w:t>Tetuán con 20,91</w:t>
      </w:r>
      <w:r>
        <w:t xml:space="preserve"> </w:t>
      </w:r>
      <w:r>
        <w:rPr>
          <w:rFonts w:ascii="Open Sans" w:eastAsia="Open Sans" w:hAnsi="Open Sans" w:cs="Open Sans"/>
          <w:color w:val="000000"/>
        </w:rPr>
        <w:t>€/m</w:t>
      </w:r>
      <w:r>
        <w:rPr>
          <w:rFonts w:ascii="Open Sans" w:eastAsia="Open Sans" w:hAnsi="Open Sans" w:cs="Open Sans"/>
          <w:color w:val="000000"/>
          <w:vertAlign w:val="superscript"/>
        </w:rPr>
        <w:t xml:space="preserve">2 </w:t>
      </w:r>
      <w:r>
        <w:rPr>
          <w:rFonts w:ascii="Open Sans" w:eastAsia="Open Sans" w:hAnsi="Open Sans" w:cs="Open Sans"/>
          <w:color w:val="000000"/>
        </w:rPr>
        <w:t>al mes, Arganzuela con 19,88 €/m</w:t>
      </w:r>
      <w:r>
        <w:rPr>
          <w:rFonts w:ascii="Open Sans" w:eastAsia="Open Sans" w:hAnsi="Open Sans" w:cs="Open Sans"/>
          <w:color w:val="000000"/>
          <w:vertAlign w:val="superscript"/>
        </w:rPr>
        <w:t xml:space="preserve">2 </w:t>
      </w:r>
      <w:r>
        <w:rPr>
          <w:rFonts w:ascii="Open Sans" w:eastAsia="Open Sans" w:hAnsi="Open Sans" w:cs="Open Sans"/>
          <w:color w:val="000000"/>
        </w:rPr>
        <w:t>al mes, Moncloa - Aravaca con 19,16 €/m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Lineal con 17,00 €/m</w:t>
      </w:r>
      <w:r>
        <w:rPr>
          <w:rFonts w:ascii="Open Sans" w:eastAsia="Open Sans" w:hAnsi="Open Sans" w:cs="Open Sans"/>
          <w:color w:val="000000"/>
          <w:vertAlign w:val="superscript"/>
        </w:rPr>
        <w:t xml:space="preserve">2 </w:t>
      </w:r>
      <w:r>
        <w:rPr>
          <w:rFonts w:ascii="Open Sans" w:eastAsia="Open Sans" w:hAnsi="Open Sans" w:cs="Open Sans"/>
          <w:color w:val="000000"/>
        </w:rPr>
        <w:t>al mes, Puente de Vallecas con 16,87 €/m</w:t>
      </w:r>
      <w:r>
        <w:rPr>
          <w:rFonts w:ascii="Open Sans" w:eastAsia="Open Sans" w:hAnsi="Open Sans" w:cs="Open Sans"/>
          <w:color w:val="000000"/>
          <w:vertAlign w:val="superscript"/>
        </w:rPr>
        <w:t xml:space="preserve">2 </w:t>
      </w:r>
      <w:r>
        <w:rPr>
          <w:rFonts w:ascii="Open Sans" w:eastAsia="Open Sans" w:hAnsi="Open Sans" w:cs="Open Sans"/>
          <w:color w:val="000000"/>
        </w:rPr>
        <w:t>al mes, Carabanchel con 16,14 €/m</w:t>
      </w:r>
      <w:r>
        <w:rPr>
          <w:rFonts w:ascii="Open Sans" w:eastAsia="Open Sans" w:hAnsi="Open Sans" w:cs="Open Sans"/>
          <w:color w:val="000000"/>
          <w:vertAlign w:val="superscript"/>
        </w:rPr>
        <w:t xml:space="preserve">2 </w:t>
      </w:r>
      <w:r>
        <w:rPr>
          <w:rFonts w:ascii="Open Sans" w:eastAsia="Open Sans" w:hAnsi="Open Sans" w:cs="Open Sans"/>
          <w:color w:val="000000"/>
        </w:rPr>
        <w:t>al mes, Vicálvaro con 15,75 €/m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Villaverde con 14,99 €/m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451C09FC" w14:textId="77777777" w:rsidR="007933D2" w:rsidRDefault="007933D2">
      <w:pPr>
        <w:spacing w:line="276" w:lineRule="auto"/>
        <w:ind w:right="-574"/>
        <w:jc w:val="both"/>
        <w:rPr>
          <w:rFonts w:ascii="Open Sans" w:eastAsia="Open Sans" w:hAnsi="Open Sans" w:cs="Open Sans"/>
          <w:color w:val="000000"/>
        </w:rPr>
      </w:pPr>
    </w:p>
    <w:p w14:paraId="5FB7D127"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seis distritos analizados tienen un precio por encima de los 20,00 €/m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22,48 €/m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Chamberí con 22,05 €/m</w:t>
      </w:r>
      <w:r>
        <w:rPr>
          <w:rFonts w:ascii="Open Sans" w:eastAsia="Open Sans" w:hAnsi="Open Sans" w:cs="Open Sans"/>
          <w:color w:val="000000"/>
          <w:vertAlign w:val="superscript"/>
        </w:rPr>
        <w:t xml:space="preserve">2 </w:t>
      </w:r>
      <w:r>
        <w:rPr>
          <w:rFonts w:ascii="Open Sans" w:eastAsia="Open Sans" w:hAnsi="Open Sans" w:cs="Open Sans"/>
          <w:color w:val="000000"/>
        </w:rPr>
        <w:t>al mes, Centro con 21,82 €/m</w:t>
      </w:r>
      <w:r>
        <w:rPr>
          <w:rFonts w:ascii="Open Sans" w:eastAsia="Open Sans" w:hAnsi="Open Sans" w:cs="Open Sans"/>
          <w:color w:val="000000"/>
          <w:vertAlign w:val="superscript"/>
        </w:rPr>
        <w:t xml:space="preserve">2 </w:t>
      </w:r>
      <w:r>
        <w:rPr>
          <w:rFonts w:ascii="Open Sans" w:eastAsia="Open Sans" w:hAnsi="Open Sans" w:cs="Open Sans"/>
          <w:color w:val="000000"/>
        </w:rPr>
        <w:t>al mes, Tetuán con 20,91 €/m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Chamartín con 20,80 €/m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Retiro con 20,10 €/m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29DF9F62" w14:textId="77777777" w:rsidR="007933D2" w:rsidRDefault="007933D2">
      <w:pPr>
        <w:spacing w:line="276" w:lineRule="auto"/>
        <w:ind w:right="-574"/>
        <w:jc w:val="both"/>
        <w:rPr>
          <w:rFonts w:ascii="Open Sans" w:eastAsia="Open Sans" w:hAnsi="Open Sans" w:cs="Open Sans"/>
          <w:color w:val="000000"/>
        </w:rPr>
      </w:pPr>
    </w:p>
    <w:p w14:paraId="02F240C1" w14:textId="77777777" w:rsidR="007933D2"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22AAF0E6" w14:textId="77777777" w:rsidR="007933D2" w:rsidRDefault="007933D2">
      <w:pPr>
        <w:spacing w:line="276" w:lineRule="auto"/>
        <w:ind w:right="-574"/>
        <w:jc w:val="both"/>
        <w:rPr>
          <w:rFonts w:ascii="Open Sans" w:eastAsia="Open Sans" w:hAnsi="Open Sans" w:cs="Open Sans"/>
          <w:color w:val="000000"/>
        </w:rPr>
      </w:pPr>
    </w:p>
    <w:p w14:paraId="12E877A9"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trimestral sube en marzo en ocho de los distritos respecto al trimestre anterior. En tres de los diez distritos analizados por </w:t>
      </w:r>
      <w:hyperlink r:id="rId22">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marzo y son: Sarrià - Sant Gervasi con 21,92 €/m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 Martí con 22,98 €/m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Horta - Guinardó con 18,14 €/m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B43392D" w14:textId="77777777" w:rsidR="007933D2" w:rsidRDefault="007933D2">
      <w:pPr>
        <w:spacing w:line="276" w:lineRule="auto"/>
        <w:ind w:right="-574"/>
        <w:jc w:val="both"/>
        <w:rPr>
          <w:rFonts w:ascii="Open Sans" w:eastAsia="Open Sans" w:hAnsi="Open Sans" w:cs="Open Sans"/>
          <w:color w:val="000000"/>
        </w:rPr>
      </w:pPr>
    </w:p>
    <w:p w14:paraId="5CF568AF"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ocho de los diez distritos incrementan el precio de la vivienda trimestral. Los distritos con incremento son</w:t>
      </w:r>
      <w:r>
        <w:t xml:space="preserve"> </w:t>
      </w:r>
      <w:r>
        <w:rPr>
          <w:rFonts w:ascii="Open Sans" w:eastAsia="Open Sans" w:hAnsi="Open Sans" w:cs="Open Sans"/>
          <w:color w:val="000000"/>
        </w:rPr>
        <w:t>Sarrià - Sant Gervasi</w:t>
      </w:r>
      <w:r>
        <w:rPr>
          <w:rFonts w:ascii="Open Sans" w:eastAsia="Open Sans" w:hAnsi="Open Sans" w:cs="Open Sans"/>
          <w:color w:val="000000"/>
        </w:rPr>
        <w:tab/>
        <w:t>(6,5%), Sant Martí (5,9%), Gràcia (4,5%), Sant Andreu (4,2%), Horta - Guinardó (1,2%), Sants - Montjuïc (0,9%) y Ciutat Vella (0,7%).</w:t>
      </w:r>
    </w:p>
    <w:p w14:paraId="4DBDECCC" w14:textId="77777777" w:rsidR="007933D2" w:rsidRDefault="007933D2">
      <w:pPr>
        <w:spacing w:line="276" w:lineRule="auto"/>
        <w:ind w:right="-574"/>
        <w:jc w:val="both"/>
        <w:rPr>
          <w:rFonts w:ascii="Open Sans" w:eastAsia="Open Sans" w:hAnsi="Open Sans" w:cs="Open Sans"/>
          <w:color w:val="000000"/>
        </w:rPr>
      </w:pPr>
    </w:p>
    <w:p w14:paraId="0A32252E" w14:textId="77777777" w:rsidR="007933D2"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cinco distritos superan los 20,00 euros el metro cuadrado al mes y son: Sant Martí con 22,98 €/m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Ciutat Vella con 22,28 €/m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21,92 €/m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21,69 €/m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Eixample con 21,43 €/m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2F8383A4" w14:textId="77777777" w:rsidR="000C5AD7" w:rsidRDefault="000C5AD7">
      <w:pPr>
        <w:spacing w:line="276" w:lineRule="auto"/>
        <w:ind w:right="-574"/>
        <w:jc w:val="both"/>
        <w:rPr>
          <w:rFonts w:ascii="Open Sans" w:eastAsia="Open Sans" w:hAnsi="Open Sans" w:cs="Open Sans"/>
          <w:color w:val="000000"/>
        </w:rPr>
      </w:pPr>
    </w:p>
    <w:p w14:paraId="2486C077" w14:textId="77777777" w:rsidR="000C5AD7" w:rsidRDefault="000C5AD7">
      <w:pPr>
        <w:spacing w:line="276" w:lineRule="auto"/>
        <w:ind w:right="-574"/>
        <w:jc w:val="both"/>
        <w:rPr>
          <w:rFonts w:ascii="Open Sans" w:eastAsia="Open Sans" w:hAnsi="Open Sans" w:cs="Open Sans"/>
          <w:color w:val="000000"/>
        </w:rPr>
      </w:pPr>
    </w:p>
    <w:p w14:paraId="6996FB6C" w14:textId="77777777" w:rsidR="000C5AD7" w:rsidRDefault="000C5AD7">
      <w:pPr>
        <w:spacing w:line="276" w:lineRule="auto"/>
        <w:ind w:right="-574"/>
        <w:jc w:val="both"/>
        <w:rPr>
          <w:rFonts w:ascii="Open Sans" w:eastAsia="Open Sans" w:hAnsi="Open Sans" w:cs="Open Sans"/>
          <w:color w:val="000000"/>
        </w:rPr>
      </w:pPr>
    </w:p>
    <w:p w14:paraId="682DBE2D" w14:textId="77777777" w:rsidR="000C5AD7" w:rsidRDefault="000C5AD7">
      <w:pPr>
        <w:spacing w:line="276" w:lineRule="auto"/>
        <w:ind w:right="-574"/>
        <w:jc w:val="both"/>
        <w:rPr>
          <w:rFonts w:ascii="Open Sans" w:eastAsia="Open Sans" w:hAnsi="Open Sans" w:cs="Open Sans"/>
          <w:color w:val="000000"/>
        </w:rPr>
      </w:pPr>
    </w:p>
    <w:p w14:paraId="40C90BBC" w14:textId="77777777" w:rsidR="007933D2" w:rsidRDefault="007933D2">
      <w:pPr>
        <w:spacing w:line="276" w:lineRule="auto"/>
        <w:ind w:right="-574"/>
        <w:jc w:val="both"/>
        <w:rPr>
          <w:rFonts w:ascii="Open Sans Light" w:eastAsia="Open Sans Light" w:hAnsi="Open Sans Light" w:cs="Open Sans Light"/>
          <w:b/>
          <w:color w:val="303AB2"/>
        </w:rPr>
      </w:pPr>
    </w:p>
    <w:p w14:paraId="7BD403B5" w14:textId="77777777" w:rsidR="007933D2"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TABLAS DE PRECIOS Y DE EVOLUCIONES (7)</w:t>
      </w:r>
    </w:p>
    <w:p w14:paraId="0F9F43D9" w14:textId="77777777" w:rsidR="007933D2"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interanual y precio</w:t>
      </w:r>
    </w:p>
    <w:tbl>
      <w:tblPr>
        <w:tblStyle w:val="a"/>
        <w:tblW w:w="888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1984"/>
        <w:gridCol w:w="2172"/>
        <w:gridCol w:w="2044"/>
      </w:tblGrid>
      <w:tr w:rsidR="007933D2" w14:paraId="4EE0BBF3" w14:textId="77777777" w:rsidTr="007933D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6BFA9081"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984" w:type="dxa"/>
            <w:shd w:val="clear" w:color="auto" w:fill="1DBDC5"/>
          </w:tcPr>
          <w:p w14:paraId="0686994E"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2024 (€/m²)</w:t>
            </w:r>
          </w:p>
        </w:tc>
        <w:tc>
          <w:tcPr>
            <w:tcW w:w="2172" w:type="dxa"/>
            <w:shd w:val="clear" w:color="auto" w:fill="1DBDC5"/>
          </w:tcPr>
          <w:p w14:paraId="74B4034C"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38EF8321"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2044" w:type="dxa"/>
            <w:shd w:val="clear" w:color="auto" w:fill="1DBDC5"/>
          </w:tcPr>
          <w:p w14:paraId="57866107"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94533CA"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933D2" w14:paraId="54FD7EA4"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E9744E0"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984" w:type="dxa"/>
            <w:vAlign w:val="bottom"/>
          </w:tcPr>
          <w:p w14:paraId="2C3A18E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6,95 €</w:t>
            </w:r>
          </w:p>
        </w:tc>
        <w:tc>
          <w:tcPr>
            <w:tcW w:w="2172" w:type="dxa"/>
            <w:vAlign w:val="bottom"/>
          </w:tcPr>
          <w:p w14:paraId="4BDADD8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10,7%</w:t>
            </w:r>
          </w:p>
        </w:tc>
        <w:tc>
          <w:tcPr>
            <w:tcW w:w="2044" w:type="dxa"/>
            <w:vAlign w:val="bottom"/>
          </w:tcPr>
          <w:p w14:paraId="2670EB3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13,9%</w:t>
            </w:r>
          </w:p>
        </w:tc>
      </w:tr>
      <w:tr w:rsidR="007933D2" w14:paraId="4D9546DE"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BF0409B"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84" w:type="dxa"/>
            <w:vAlign w:val="bottom"/>
          </w:tcPr>
          <w:p w14:paraId="6AEB4AC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8,90 €</w:t>
            </w:r>
          </w:p>
        </w:tc>
        <w:tc>
          <w:tcPr>
            <w:tcW w:w="2172" w:type="dxa"/>
            <w:vAlign w:val="bottom"/>
          </w:tcPr>
          <w:p w14:paraId="5FA0B7A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8,9%</w:t>
            </w:r>
          </w:p>
        </w:tc>
        <w:tc>
          <w:tcPr>
            <w:tcW w:w="2044" w:type="dxa"/>
            <w:vAlign w:val="bottom"/>
          </w:tcPr>
          <w:p w14:paraId="33B1F87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16,5%</w:t>
            </w:r>
          </w:p>
        </w:tc>
      </w:tr>
      <w:tr w:rsidR="007933D2" w14:paraId="08861F89"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2CC8C7C"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984" w:type="dxa"/>
            <w:vAlign w:val="bottom"/>
          </w:tcPr>
          <w:p w14:paraId="2C36691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8,65 €</w:t>
            </w:r>
          </w:p>
        </w:tc>
        <w:tc>
          <w:tcPr>
            <w:tcW w:w="2172" w:type="dxa"/>
            <w:vAlign w:val="bottom"/>
          </w:tcPr>
          <w:p w14:paraId="3E6A242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7,9%</w:t>
            </w:r>
          </w:p>
        </w:tc>
        <w:tc>
          <w:tcPr>
            <w:tcW w:w="2044" w:type="dxa"/>
            <w:vAlign w:val="bottom"/>
          </w:tcPr>
          <w:p w14:paraId="08FA61C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9,6%</w:t>
            </w:r>
          </w:p>
        </w:tc>
      </w:tr>
      <w:tr w:rsidR="007933D2" w14:paraId="01A77F90"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C747123"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3A24FF3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18,32 €</w:t>
            </w:r>
          </w:p>
        </w:tc>
        <w:tc>
          <w:tcPr>
            <w:tcW w:w="2172" w:type="dxa"/>
            <w:vAlign w:val="bottom"/>
          </w:tcPr>
          <w:p w14:paraId="385ECC7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5,4%</w:t>
            </w:r>
          </w:p>
        </w:tc>
        <w:tc>
          <w:tcPr>
            <w:tcW w:w="2044" w:type="dxa"/>
            <w:vAlign w:val="bottom"/>
          </w:tcPr>
          <w:p w14:paraId="27D7175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12,7%</w:t>
            </w:r>
          </w:p>
        </w:tc>
      </w:tr>
      <w:tr w:rsidR="007933D2" w14:paraId="7CE38864"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1D55CB4"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84" w:type="dxa"/>
            <w:vAlign w:val="bottom"/>
          </w:tcPr>
          <w:p w14:paraId="4152315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11,59 €</w:t>
            </w:r>
          </w:p>
        </w:tc>
        <w:tc>
          <w:tcPr>
            <w:tcW w:w="2172" w:type="dxa"/>
            <w:vAlign w:val="bottom"/>
          </w:tcPr>
          <w:p w14:paraId="093CCF8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2044" w:type="dxa"/>
            <w:vAlign w:val="bottom"/>
          </w:tcPr>
          <w:p w14:paraId="7CF2779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8,2%</w:t>
            </w:r>
          </w:p>
        </w:tc>
      </w:tr>
      <w:tr w:rsidR="007933D2" w14:paraId="76DCF746"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FF453BF"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984" w:type="dxa"/>
            <w:vAlign w:val="bottom"/>
          </w:tcPr>
          <w:p w14:paraId="1B3DA42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13,45 €</w:t>
            </w:r>
          </w:p>
        </w:tc>
        <w:tc>
          <w:tcPr>
            <w:tcW w:w="2172" w:type="dxa"/>
            <w:vAlign w:val="bottom"/>
          </w:tcPr>
          <w:p w14:paraId="26CE1C0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5,2%</w:t>
            </w:r>
          </w:p>
        </w:tc>
        <w:tc>
          <w:tcPr>
            <w:tcW w:w="2044" w:type="dxa"/>
            <w:vAlign w:val="bottom"/>
          </w:tcPr>
          <w:p w14:paraId="4C15AEB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13,0%</w:t>
            </w:r>
          </w:p>
        </w:tc>
      </w:tr>
      <w:tr w:rsidR="007933D2" w14:paraId="3F527697"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607333D"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984" w:type="dxa"/>
            <w:vAlign w:val="bottom"/>
          </w:tcPr>
          <w:p w14:paraId="2D4579E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9,04 €</w:t>
            </w:r>
          </w:p>
        </w:tc>
        <w:tc>
          <w:tcPr>
            <w:tcW w:w="2172" w:type="dxa"/>
            <w:vAlign w:val="bottom"/>
          </w:tcPr>
          <w:p w14:paraId="5D62B5D0"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2044" w:type="dxa"/>
            <w:vAlign w:val="bottom"/>
          </w:tcPr>
          <w:p w14:paraId="2EE5C20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11,3%</w:t>
            </w:r>
          </w:p>
        </w:tc>
      </w:tr>
      <w:tr w:rsidR="007933D2" w14:paraId="36468F59"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99C6116"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984" w:type="dxa"/>
            <w:vAlign w:val="bottom"/>
          </w:tcPr>
          <w:p w14:paraId="5F4567D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17,54 €</w:t>
            </w:r>
          </w:p>
        </w:tc>
        <w:tc>
          <w:tcPr>
            <w:tcW w:w="2172" w:type="dxa"/>
            <w:vAlign w:val="bottom"/>
          </w:tcPr>
          <w:p w14:paraId="04ADEE6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3,8%</w:t>
            </w:r>
          </w:p>
        </w:tc>
        <w:tc>
          <w:tcPr>
            <w:tcW w:w="2044" w:type="dxa"/>
            <w:vAlign w:val="bottom"/>
          </w:tcPr>
          <w:p w14:paraId="1F9F1DC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9,9%</w:t>
            </w:r>
          </w:p>
        </w:tc>
      </w:tr>
      <w:tr w:rsidR="007933D2" w14:paraId="6B6EC8D5"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BF60F51"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984" w:type="dxa"/>
            <w:vAlign w:val="bottom"/>
          </w:tcPr>
          <w:p w14:paraId="39B662E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10,48 €</w:t>
            </w:r>
          </w:p>
        </w:tc>
        <w:tc>
          <w:tcPr>
            <w:tcW w:w="2172" w:type="dxa"/>
            <w:vAlign w:val="bottom"/>
          </w:tcPr>
          <w:p w14:paraId="24FE096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c>
          <w:tcPr>
            <w:tcW w:w="2044" w:type="dxa"/>
            <w:vAlign w:val="bottom"/>
          </w:tcPr>
          <w:p w14:paraId="40BB45B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10,2%</w:t>
            </w:r>
          </w:p>
        </w:tc>
      </w:tr>
      <w:tr w:rsidR="007933D2" w14:paraId="7ED952FD"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41B9289"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984" w:type="dxa"/>
            <w:vAlign w:val="bottom"/>
          </w:tcPr>
          <w:p w14:paraId="00D14EB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6,53 €</w:t>
            </w:r>
          </w:p>
        </w:tc>
        <w:tc>
          <w:tcPr>
            <w:tcW w:w="2172" w:type="dxa"/>
            <w:vAlign w:val="bottom"/>
          </w:tcPr>
          <w:p w14:paraId="78C4834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c>
          <w:tcPr>
            <w:tcW w:w="2044" w:type="dxa"/>
            <w:vAlign w:val="bottom"/>
          </w:tcPr>
          <w:p w14:paraId="25EC8C9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r>
      <w:tr w:rsidR="007933D2" w14:paraId="79E57FF5"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251BC94"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44BC5F9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9,71 €</w:t>
            </w:r>
          </w:p>
        </w:tc>
        <w:tc>
          <w:tcPr>
            <w:tcW w:w="2172" w:type="dxa"/>
            <w:vAlign w:val="bottom"/>
          </w:tcPr>
          <w:p w14:paraId="09AC1E5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c>
          <w:tcPr>
            <w:tcW w:w="2044" w:type="dxa"/>
            <w:vAlign w:val="bottom"/>
          </w:tcPr>
          <w:p w14:paraId="2B15AEF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13,2%</w:t>
            </w:r>
          </w:p>
        </w:tc>
      </w:tr>
      <w:tr w:rsidR="007933D2" w14:paraId="584ED75F"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46AD87B"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984" w:type="dxa"/>
            <w:vAlign w:val="bottom"/>
          </w:tcPr>
          <w:p w14:paraId="41FFD7E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16,49 €</w:t>
            </w:r>
          </w:p>
        </w:tc>
        <w:tc>
          <w:tcPr>
            <w:tcW w:w="2172" w:type="dxa"/>
            <w:vAlign w:val="bottom"/>
          </w:tcPr>
          <w:p w14:paraId="0F0A7E1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3,4%</w:t>
            </w:r>
          </w:p>
        </w:tc>
        <w:tc>
          <w:tcPr>
            <w:tcW w:w="2044" w:type="dxa"/>
            <w:vAlign w:val="bottom"/>
          </w:tcPr>
          <w:p w14:paraId="209391D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r>
      <w:tr w:rsidR="007933D2" w14:paraId="5F376649"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3A9316C"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84" w:type="dxa"/>
            <w:vAlign w:val="bottom"/>
          </w:tcPr>
          <w:p w14:paraId="6CD9FB3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12,07 €</w:t>
            </w:r>
          </w:p>
        </w:tc>
        <w:tc>
          <w:tcPr>
            <w:tcW w:w="2172" w:type="dxa"/>
            <w:vAlign w:val="bottom"/>
          </w:tcPr>
          <w:p w14:paraId="0188286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3,1%</w:t>
            </w:r>
          </w:p>
        </w:tc>
        <w:tc>
          <w:tcPr>
            <w:tcW w:w="2044" w:type="dxa"/>
            <w:vAlign w:val="bottom"/>
          </w:tcPr>
          <w:p w14:paraId="5F83D2B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9,9%</w:t>
            </w:r>
          </w:p>
        </w:tc>
      </w:tr>
      <w:tr w:rsidR="007933D2" w14:paraId="77D34BC0"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B5BDF79"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984" w:type="dxa"/>
            <w:vAlign w:val="bottom"/>
          </w:tcPr>
          <w:p w14:paraId="3E9926C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11,93 €</w:t>
            </w:r>
          </w:p>
        </w:tc>
        <w:tc>
          <w:tcPr>
            <w:tcW w:w="2172" w:type="dxa"/>
            <w:vAlign w:val="bottom"/>
          </w:tcPr>
          <w:p w14:paraId="1472A4C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2044" w:type="dxa"/>
            <w:vAlign w:val="bottom"/>
          </w:tcPr>
          <w:p w14:paraId="0D28F88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12,4%</w:t>
            </w:r>
          </w:p>
        </w:tc>
      </w:tr>
      <w:tr w:rsidR="007933D2" w14:paraId="51A5F08D"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00DF67F"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984" w:type="dxa"/>
            <w:vAlign w:val="bottom"/>
          </w:tcPr>
          <w:p w14:paraId="32B60F6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9,49 €</w:t>
            </w:r>
          </w:p>
        </w:tc>
        <w:tc>
          <w:tcPr>
            <w:tcW w:w="2172" w:type="dxa"/>
            <w:vAlign w:val="bottom"/>
          </w:tcPr>
          <w:p w14:paraId="0D7A7F4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2044" w:type="dxa"/>
            <w:vAlign w:val="bottom"/>
          </w:tcPr>
          <w:p w14:paraId="2F725EA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7,5%</w:t>
            </w:r>
          </w:p>
        </w:tc>
      </w:tr>
      <w:tr w:rsidR="007933D2" w14:paraId="7228DFC4"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60A40CA"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984" w:type="dxa"/>
            <w:vAlign w:val="bottom"/>
          </w:tcPr>
          <w:p w14:paraId="326470F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8,80 €</w:t>
            </w:r>
          </w:p>
        </w:tc>
        <w:tc>
          <w:tcPr>
            <w:tcW w:w="2172" w:type="dxa"/>
            <w:vAlign w:val="bottom"/>
          </w:tcPr>
          <w:p w14:paraId="524F20B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c>
          <w:tcPr>
            <w:tcW w:w="2044" w:type="dxa"/>
            <w:vAlign w:val="bottom"/>
          </w:tcPr>
          <w:p w14:paraId="40A76DB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7,1%</w:t>
            </w:r>
          </w:p>
        </w:tc>
      </w:tr>
      <w:tr w:rsidR="007933D2" w14:paraId="5F5A3D2C" w14:textId="77777777" w:rsidTr="007933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51D5DB0"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984" w:type="dxa"/>
            <w:vAlign w:val="bottom"/>
          </w:tcPr>
          <w:p w14:paraId="729FE99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15,35 €</w:t>
            </w:r>
          </w:p>
        </w:tc>
        <w:tc>
          <w:tcPr>
            <w:tcW w:w="2172" w:type="dxa"/>
            <w:vAlign w:val="bottom"/>
          </w:tcPr>
          <w:p w14:paraId="7BD1896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-0,1%</w:t>
            </w:r>
          </w:p>
        </w:tc>
        <w:tc>
          <w:tcPr>
            <w:tcW w:w="2044" w:type="dxa"/>
            <w:vAlign w:val="bottom"/>
          </w:tcPr>
          <w:p w14:paraId="3091AB0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11,4%</w:t>
            </w:r>
          </w:p>
        </w:tc>
      </w:tr>
      <w:tr w:rsidR="007933D2" w14:paraId="5BD592B8" w14:textId="77777777" w:rsidTr="007933D2">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3E9ABD6"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984" w:type="dxa"/>
            <w:vAlign w:val="bottom"/>
          </w:tcPr>
          <w:p w14:paraId="5671E4F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12,36 €</w:t>
            </w:r>
          </w:p>
        </w:tc>
        <w:tc>
          <w:tcPr>
            <w:tcW w:w="2172" w:type="dxa"/>
            <w:vAlign w:val="bottom"/>
          </w:tcPr>
          <w:p w14:paraId="6A69C8B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6,0%</w:t>
            </w:r>
          </w:p>
        </w:tc>
        <w:tc>
          <w:tcPr>
            <w:tcW w:w="2044" w:type="dxa"/>
            <w:vAlign w:val="bottom"/>
          </w:tcPr>
          <w:p w14:paraId="774637B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7,0%</w:t>
            </w:r>
          </w:p>
        </w:tc>
      </w:tr>
    </w:tbl>
    <w:p w14:paraId="2B6A9242" w14:textId="77777777" w:rsidR="007933D2"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trimestral, interanual y precio</w:t>
      </w:r>
    </w:p>
    <w:tbl>
      <w:tblPr>
        <w:tblStyle w:val="a0"/>
        <w:tblW w:w="890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6"/>
        <w:gridCol w:w="2126"/>
        <w:gridCol w:w="2268"/>
        <w:gridCol w:w="1963"/>
      </w:tblGrid>
      <w:tr w:rsidR="007933D2" w14:paraId="47C57AE6" w14:textId="77777777" w:rsidTr="007933D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center"/>
          </w:tcPr>
          <w:p w14:paraId="3279B9A8"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shd w:val="clear" w:color="auto" w:fill="1DBDC5"/>
          </w:tcPr>
          <w:p w14:paraId="02D4270B"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2024 (€/m²)</w:t>
            </w:r>
          </w:p>
        </w:tc>
        <w:tc>
          <w:tcPr>
            <w:tcW w:w="2268" w:type="dxa"/>
            <w:shd w:val="clear" w:color="auto" w:fill="1DBDC5"/>
          </w:tcPr>
          <w:p w14:paraId="1FEA8FA3"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495345E"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963" w:type="dxa"/>
            <w:shd w:val="clear" w:color="auto" w:fill="1DBDC5"/>
          </w:tcPr>
          <w:p w14:paraId="6B069D96"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7D88078"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933D2" w14:paraId="4523E923"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E089468"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126" w:type="dxa"/>
            <w:vAlign w:val="bottom"/>
          </w:tcPr>
          <w:p w14:paraId="2A32453B" w14:textId="77777777" w:rsidR="007933D2"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6,81 €</w:t>
            </w:r>
          </w:p>
        </w:tc>
        <w:tc>
          <w:tcPr>
            <w:tcW w:w="2268" w:type="dxa"/>
            <w:vAlign w:val="bottom"/>
          </w:tcPr>
          <w:p w14:paraId="6596AE3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11,8%</w:t>
            </w:r>
          </w:p>
        </w:tc>
        <w:tc>
          <w:tcPr>
            <w:tcW w:w="1963" w:type="dxa"/>
            <w:vAlign w:val="bottom"/>
          </w:tcPr>
          <w:p w14:paraId="60A56BC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25,9%</w:t>
            </w:r>
          </w:p>
        </w:tc>
      </w:tr>
      <w:tr w:rsidR="007933D2" w14:paraId="79D8AFC1"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DB3C0A1"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126" w:type="dxa"/>
            <w:vAlign w:val="bottom"/>
          </w:tcPr>
          <w:p w14:paraId="43F19CF5" w14:textId="77777777" w:rsidR="007933D2"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8,90 €</w:t>
            </w:r>
          </w:p>
        </w:tc>
        <w:tc>
          <w:tcPr>
            <w:tcW w:w="2268" w:type="dxa"/>
            <w:vAlign w:val="bottom"/>
          </w:tcPr>
          <w:p w14:paraId="271F2CE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8,9%</w:t>
            </w:r>
          </w:p>
        </w:tc>
        <w:tc>
          <w:tcPr>
            <w:tcW w:w="1963" w:type="dxa"/>
            <w:vAlign w:val="bottom"/>
          </w:tcPr>
          <w:p w14:paraId="7209B7A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16,5%</w:t>
            </w:r>
          </w:p>
        </w:tc>
      </w:tr>
      <w:tr w:rsidR="007933D2" w14:paraId="468842C8"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8DB70A2"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126" w:type="dxa"/>
            <w:vAlign w:val="bottom"/>
          </w:tcPr>
          <w:p w14:paraId="657CB185" w14:textId="77777777" w:rsidR="007933D2"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9,13 €</w:t>
            </w:r>
          </w:p>
        </w:tc>
        <w:tc>
          <w:tcPr>
            <w:tcW w:w="2268" w:type="dxa"/>
            <w:vAlign w:val="bottom"/>
          </w:tcPr>
          <w:p w14:paraId="7BB31DC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8,6%</w:t>
            </w:r>
          </w:p>
        </w:tc>
        <w:tc>
          <w:tcPr>
            <w:tcW w:w="1963" w:type="dxa"/>
            <w:vAlign w:val="bottom"/>
          </w:tcPr>
          <w:p w14:paraId="218A025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12,2%</w:t>
            </w:r>
          </w:p>
        </w:tc>
      </w:tr>
      <w:tr w:rsidR="007933D2" w14:paraId="2DDF9CCB"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476CC91"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126" w:type="dxa"/>
            <w:vAlign w:val="bottom"/>
          </w:tcPr>
          <w:p w14:paraId="0C92D5AF" w14:textId="77777777" w:rsidR="007933D2"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8,65 €</w:t>
            </w:r>
          </w:p>
        </w:tc>
        <w:tc>
          <w:tcPr>
            <w:tcW w:w="2268" w:type="dxa"/>
            <w:vAlign w:val="bottom"/>
          </w:tcPr>
          <w:p w14:paraId="781C498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7,9%</w:t>
            </w:r>
          </w:p>
        </w:tc>
        <w:tc>
          <w:tcPr>
            <w:tcW w:w="1963" w:type="dxa"/>
            <w:vAlign w:val="bottom"/>
          </w:tcPr>
          <w:p w14:paraId="703EA22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9,6%</w:t>
            </w:r>
          </w:p>
        </w:tc>
      </w:tr>
      <w:tr w:rsidR="007933D2" w14:paraId="6826410C"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68EDD80"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126" w:type="dxa"/>
            <w:vAlign w:val="bottom"/>
          </w:tcPr>
          <w:p w14:paraId="61D47BD2" w14:textId="77777777" w:rsidR="007933D2"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13,69 €</w:t>
            </w:r>
          </w:p>
        </w:tc>
        <w:tc>
          <w:tcPr>
            <w:tcW w:w="2268" w:type="dxa"/>
            <w:vAlign w:val="bottom"/>
          </w:tcPr>
          <w:p w14:paraId="2F9F1F1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7,5%</w:t>
            </w:r>
          </w:p>
        </w:tc>
        <w:tc>
          <w:tcPr>
            <w:tcW w:w="1963" w:type="dxa"/>
            <w:vAlign w:val="bottom"/>
          </w:tcPr>
          <w:p w14:paraId="0678ECE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17,2%</w:t>
            </w:r>
          </w:p>
        </w:tc>
      </w:tr>
      <w:tr w:rsidR="007933D2" w14:paraId="7552A56D"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E9A5A5B"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126" w:type="dxa"/>
            <w:vAlign w:val="bottom"/>
          </w:tcPr>
          <w:p w14:paraId="2289053D" w14:textId="77777777" w:rsidR="007933D2"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10,65 €</w:t>
            </w:r>
          </w:p>
        </w:tc>
        <w:tc>
          <w:tcPr>
            <w:tcW w:w="2268" w:type="dxa"/>
            <w:vAlign w:val="bottom"/>
          </w:tcPr>
          <w:p w14:paraId="7D9AC72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6,8%</w:t>
            </w:r>
          </w:p>
        </w:tc>
        <w:tc>
          <w:tcPr>
            <w:tcW w:w="1963" w:type="dxa"/>
            <w:vAlign w:val="bottom"/>
          </w:tcPr>
          <w:p w14:paraId="35D6324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2"/>
                <w:szCs w:val="22"/>
              </w:rPr>
              <w:t>-7,7%</w:t>
            </w:r>
          </w:p>
        </w:tc>
      </w:tr>
      <w:tr w:rsidR="007933D2" w14:paraId="5AC2E847"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EA1412D"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126" w:type="dxa"/>
            <w:vAlign w:val="bottom"/>
          </w:tcPr>
          <w:p w14:paraId="0B4E61D9" w14:textId="77777777" w:rsidR="007933D2"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6,98 €</w:t>
            </w:r>
          </w:p>
        </w:tc>
        <w:tc>
          <w:tcPr>
            <w:tcW w:w="2268" w:type="dxa"/>
            <w:vAlign w:val="bottom"/>
          </w:tcPr>
          <w:p w14:paraId="590C771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6,7%</w:t>
            </w:r>
          </w:p>
        </w:tc>
        <w:tc>
          <w:tcPr>
            <w:tcW w:w="1963" w:type="dxa"/>
            <w:vAlign w:val="bottom"/>
          </w:tcPr>
          <w:p w14:paraId="4E42264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4,8%</w:t>
            </w:r>
          </w:p>
        </w:tc>
      </w:tr>
      <w:tr w:rsidR="007933D2" w14:paraId="5B93DC56"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255C303"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126" w:type="dxa"/>
            <w:vAlign w:val="bottom"/>
          </w:tcPr>
          <w:p w14:paraId="2F270E0D" w14:textId="77777777" w:rsidR="007933D2"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11,69 €</w:t>
            </w:r>
          </w:p>
        </w:tc>
        <w:tc>
          <w:tcPr>
            <w:tcW w:w="2268" w:type="dxa"/>
            <w:vAlign w:val="bottom"/>
          </w:tcPr>
          <w:p w14:paraId="0852D8E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6,6%</w:t>
            </w:r>
          </w:p>
        </w:tc>
        <w:tc>
          <w:tcPr>
            <w:tcW w:w="1963" w:type="dxa"/>
            <w:vAlign w:val="bottom"/>
          </w:tcPr>
          <w:p w14:paraId="6D57C7A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12,2%</w:t>
            </w:r>
          </w:p>
        </w:tc>
      </w:tr>
      <w:tr w:rsidR="007933D2" w14:paraId="424736CC"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278BAC3"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126" w:type="dxa"/>
            <w:vAlign w:val="bottom"/>
          </w:tcPr>
          <w:p w14:paraId="7CA1BDC7" w14:textId="77777777" w:rsidR="007933D2"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6,03 €</w:t>
            </w:r>
          </w:p>
        </w:tc>
        <w:tc>
          <w:tcPr>
            <w:tcW w:w="2268" w:type="dxa"/>
            <w:vAlign w:val="bottom"/>
          </w:tcPr>
          <w:p w14:paraId="63FA6D8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5,8%</w:t>
            </w:r>
          </w:p>
        </w:tc>
        <w:tc>
          <w:tcPr>
            <w:tcW w:w="1963" w:type="dxa"/>
            <w:vAlign w:val="bottom"/>
          </w:tcPr>
          <w:p w14:paraId="1949E0F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10,2%</w:t>
            </w:r>
          </w:p>
        </w:tc>
      </w:tr>
      <w:tr w:rsidR="007933D2" w14:paraId="61C99C48"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10E0142"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126" w:type="dxa"/>
            <w:vAlign w:val="bottom"/>
          </w:tcPr>
          <w:p w14:paraId="51530FF3" w14:textId="77777777" w:rsidR="007933D2"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9,19 €</w:t>
            </w:r>
          </w:p>
        </w:tc>
        <w:tc>
          <w:tcPr>
            <w:tcW w:w="2268" w:type="dxa"/>
            <w:vAlign w:val="bottom"/>
          </w:tcPr>
          <w:p w14:paraId="7A97C85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5,6%</w:t>
            </w:r>
          </w:p>
        </w:tc>
        <w:tc>
          <w:tcPr>
            <w:tcW w:w="1963" w:type="dxa"/>
            <w:vAlign w:val="bottom"/>
          </w:tcPr>
          <w:p w14:paraId="2BEDEDD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19,7%</w:t>
            </w:r>
          </w:p>
        </w:tc>
      </w:tr>
      <w:tr w:rsidR="007933D2" w14:paraId="06F9D12F"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E7D4DD3"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126" w:type="dxa"/>
            <w:vAlign w:val="bottom"/>
          </w:tcPr>
          <w:p w14:paraId="781F5F0E" w14:textId="77777777" w:rsidR="007933D2"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13,63 €</w:t>
            </w:r>
          </w:p>
        </w:tc>
        <w:tc>
          <w:tcPr>
            <w:tcW w:w="2268" w:type="dxa"/>
            <w:vAlign w:val="bottom"/>
          </w:tcPr>
          <w:p w14:paraId="668EA04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5,6%</w:t>
            </w:r>
          </w:p>
        </w:tc>
        <w:tc>
          <w:tcPr>
            <w:tcW w:w="1963" w:type="dxa"/>
            <w:vAlign w:val="bottom"/>
          </w:tcPr>
          <w:p w14:paraId="08A6EDB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11,7%</w:t>
            </w:r>
          </w:p>
        </w:tc>
      </w:tr>
      <w:tr w:rsidR="007933D2" w14:paraId="4F1CA266"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8DAB3CB"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Cuenca</w:t>
            </w:r>
          </w:p>
        </w:tc>
        <w:tc>
          <w:tcPr>
            <w:tcW w:w="2126" w:type="dxa"/>
            <w:vAlign w:val="bottom"/>
          </w:tcPr>
          <w:p w14:paraId="393043AB" w14:textId="77777777" w:rsidR="007933D2"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7,16 €</w:t>
            </w:r>
          </w:p>
        </w:tc>
        <w:tc>
          <w:tcPr>
            <w:tcW w:w="2268" w:type="dxa"/>
            <w:vAlign w:val="bottom"/>
          </w:tcPr>
          <w:p w14:paraId="0BA0D78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5,4%</w:t>
            </w:r>
          </w:p>
        </w:tc>
        <w:tc>
          <w:tcPr>
            <w:tcW w:w="1963" w:type="dxa"/>
            <w:vAlign w:val="bottom"/>
          </w:tcPr>
          <w:p w14:paraId="347A33A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0,4%</w:t>
            </w:r>
          </w:p>
        </w:tc>
      </w:tr>
      <w:tr w:rsidR="007933D2" w14:paraId="1D00ACD2"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88F1240"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126" w:type="dxa"/>
            <w:vAlign w:val="bottom"/>
          </w:tcPr>
          <w:p w14:paraId="43BBEA0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18,32 €</w:t>
            </w:r>
          </w:p>
        </w:tc>
        <w:tc>
          <w:tcPr>
            <w:tcW w:w="2268" w:type="dxa"/>
            <w:vAlign w:val="bottom"/>
          </w:tcPr>
          <w:p w14:paraId="1B0D108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5,4%</w:t>
            </w:r>
          </w:p>
        </w:tc>
        <w:tc>
          <w:tcPr>
            <w:tcW w:w="1963" w:type="dxa"/>
            <w:vAlign w:val="bottom"/>
          </w:tcPr>
          <w:p w14:paraId="5F3F5DD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12,7%</w:t>
            </w:r>
          </w:p>
        </w:tc>
      </w:tr>
      <w:tr w:rsidR="007933D2" w14:paraId="04616BFD"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DF2BD58"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126" w:type="dxa"/>
            <w:vAlign w:val="bottom"/>
          </w:tcPr>
          <w:p w14:paraId="2456B6A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14,67 €</w:t>
            </w:r>
          </w:p>
        </w:tc>
        <w:tc>
          <w:tcPr>
            <w:tcW w:w="2268" w:type="dxa"/>
            <w:vAlign w:val="bottom"/>
          </w:tcPr>
          <w:p w14:paraId="2DA91A4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5,4%</w:t>
            </w:r>
          </w:p>
        </w:tc>
        <w:tc>
          <w:tcPr>
            <w:tcW w:w="1963" w:type="dxa"/>
            <w:vAlign w:val="bottom"/>
          </w:tcPr>
          <w:p w14:paraId="4B61DCD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12,6%</w:t>
            </w:r>
          </w:p>
        </w:tc>
      </w:tr>
      <w:tr w:rsidR="007933D2" w14:paraId="04E8A84D"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8787A84"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126" w:type="dxa"/>
            <w:vAlign w:val="bottom"/>
          </w:tcPr>
          <w:p w14:paraId="3100D6D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10,25 €</w:t>
            </w:r>
          </w:p>
        </w:tc>
        <w:tc>
          <w:tcPr>
            <w:tcW w:w="2268" w:type="dxa"/>
            <w:vAlign w:val="bottom"/>
          </w:tcPr>
          <w:p w14:paraId="083FF65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5,2%</w:t>
            </w:r>
          </w:p>
        </w:tc>
        <w:tc>
          <w:tcPr>
            <w:tcW w:w="1963" w:type="dxa"/>
            <w:vAlign w:val="bottom"/>
          </w:tcPr>
          <w:p w14:paraId="18DA2C7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10,2%</w:t>
            </w:r>
          </w:p>
        </w:tc>
      </w:tr>
      <w:tr w:rsidR="007933D2" w14:paraId="27D7F823"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C8D47FE"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Navarra</w:t>
            </w:r>
          </w:p>
        </w:tc>
        <w:tc>
          <w:tcPr>
            <w:tcW w:w="2126" w:type="dxa"/>
            <w:vAlign w:val="bottom"/>
          </w:tcPr>
          <w:p w14:paraId="030FDA0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11,59 €</w:t>
            </w:r>
          </w:p>
        </w:tc>
        <w:tc>
          <w:tcPr>
            <w:tcW w:w="2268" w:type="dxa"/>
            <w:vAlign w:val="bottom"/>
          </w:tcPr>
          <w:p w14:paraId="122D0B7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5,2%</w:t>
            </w:r>
          </w:p>
        </w:tc>
        <w:tc>
          <w:tcPr>
            <w:tcW w:w="1963" w:type="dxa"/>
            <w:vAlign w:val="bottom"/>
          </w:tcPr>
          <w:p w14:paraId="651D15B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8,2%</w:t>
            </w:r>
          </w:p>
        </w:tc>
      </w:tr>
      <w:tr w:rsidR="007933D2" w14:paraId="5359EA45"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3570F96"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126" w:type="dxa"/>
            <w:vAlign w:val="bottom"/>
          </w:tcPr>
          <w:p w14:paraId="5DFDC22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13,25 €</w:t>
            </w:r>
          </w:p>
        </w:tc>
        <w:tc>
          <w:tcPr>
            <w:tcW w:w="2268" w:type="dxa"/>
            <w:vAlign w:val="bottom"/>
          </w:tcPr>
          <w:p w14:paraId="6B0E827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5,0%</w:t>
            </w:r>
          </w:p>
        </w:tc>
        <w:tc>
          <w:tcPr>
            <w:tcW w:w="1963" w:type="dxa"/>
            <w:vAlign w:val="bottom"/>
          </w:tcPr>
          <w:p w14:paraId="26B0452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15,0%</w:t>
            </w:r>
          </w:p>
        </w:tc>
      </w:tr>
      <w:tr w:rsidR="007933D2" w14:paraId="3157E8D5"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B7D31A2"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126" w:type="dxa"/>
            <w:vAlign w:val="bottom"/>
          </w:tcPr>
          <w:p w14:paraId="4CE5E22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8,54 €</w:t>
            </w:r>
          </w:p>
        </w:tc>
        <w:tc>
          <w:tcPr>
            <w:tcW w:w="2268" w:type="dxa"/>
            <w:vAlign w:val="bottom"/>
          </w:tcPr>
          <w:p w14:paraId="2A21C4E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4,0%</w:t>
            </w:r>
          </w:p>
        </w:tc>
        <w:tc>
          <w:tcPr>
            <w:tcW w:w="1963" w:type="dxa"/>
            <w:vAlign w:val="bottom"/>
          </w:tcPr>
          <w:p w14:paraId="6C8B26A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4,3%</w:t>
            </w:r>
          </w:p>
        </w:tc>
      </w:tr>
      <w:tr w:rsidR="007933D2" w14:paraId="421B0A9D"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48C0487"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126" w:type="dxa"/>
            <w:vAlign w:val="bottom"/>
          </w:tcPr>
          <w:p w14:paraId="5A967E0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17,54 €</w:t>
            </w:r>
          </w:p>
        </w:tc>
        <w:tc>
          <w:tcPr>
            <w:tcW w:w="2268" w:type="dxa"/>
            <w:vAlign w:val="bottom"/>
          </w:tcPr>
          <w:p w14:paraId="5A6D4A8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3,8%</w:t>
            </w:r>
          </w:p>
        </w:tc>
        <w:tc>
          <w:tcPr>
            <w:tcW w:w="1963" w:type="dxa"/>
            <w:vAlign w:val="bottom"/>
          </w:tcPr>
          <w:p w14:paraId="2DD0E62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9,9%</w:t>
            </w:r>
          </w:p>
        </w:tc>
      </w:tr>
      <w:tr w:rsidR="007933D2" w14:paraId="122961E0"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27300B4"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126" w:type="dxa"/>
            <w:vAlign w:val="bottom"/>
          </w:tcPr>
          <w:p w14:paraId="30EEC0C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18,42 €</w:t>
            </w:r>
          </w:p>
        </w:tc>
        <w:tc>
          <w:tcPr>
            <w:tcW w:w="2268" w:type="dxa"/>
            <w:vAlign w:val="bottom"/>
          </w:tcPr>
          <w:p w14:paraId="52672FE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3,7%</w:t>
            </w:r>
          </w:p>
        </w:tc>
        <w:tc>
          <w:tcPr>
            <w:tcW w:w="1963" w:type="dxa"/>
            <w:vAlign w:val="bottom"/>
          </w:tcPr>
          <w:p w14:paraId="5BA6341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8,9%</w:t>
            </w:r>
          </w:p>
        </w:tc>
      </w:tr>
      <w:tr w:rsidR="007933D2" w14:paraId="61B59269"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89C8A17"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126" w:type="dxa"/>
            <w:vAlign w:val="bottom"/>
          </w:tcPr>
          <w:p w14:paraId="086A8BA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9,71 €</w:t>
            </w:r>
          </w:p>
        </w:tc>
        <w:tc>
          <w:tcPr>
            <w:tcW w:w="2268" w:type="dxa"/>
            <w:vAlign w:val="bottom"/>
          </w:tcPr>
          <w:p w14:paraId="7A7BF30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3,6%</w:t>
            </w:r>
          </w:p>
        </w:tc>
        <w:tc>
          <w:tcPr>
            <w:tcW w:w="1963" w:type="dxa"/>
            <w:vAlign w:val="bottom"/>
          </w:tcPr>
          <w:p w14:paraId="00268B2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13,2%</w:t>
            </w:r>
          </w:p>
        </w:tc>
      </w:tr>
      <w:tr w:rsidR="007933D2" w14:paraId="53FBB529"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DBEC348"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126" w:type="dxa"/>
            <w:vAlign w:val="bottom"/>
          </w:tcPr>
          <w:p w14:paraId="6A5649B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8,14 €</w:t>
            </w:r>
          </w:p>
        </w:tc>
        <w:tc>
          <w:tcPr>
            <w:tcW w:w="2268" w:type="dxa"/>
            <w:vAlign w:val="bottom"/>
          </w:tcPr>
          <w:p w14:paraId="0B55EF6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3,2%</w:t>
            </w:r>
          </w:p>
        </w:tc>
        <w:tc>
          <w:tcPr>
            <w:tcW w:w="1963" w:type="dxa"/>
            <w:vAlign w:val="bottom"/>
          </w:tcPr>
          <w:p w14:paraId="7ACE360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13,7%</w:t>
            </w:r>
          </w:p>
        </w:tc>
      </w:tr>
      <w:tr w:rsidR="007933D2" w14:paraId="34E4227F"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A61C13B"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126" w:type="dxa"/>
            <w:vAlign w:val="bottom"/>
          </w:tcPr>
          <w:p w14:paraId="133EDE6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12,07 €</w:t>
            </w:r>
          </w:p>
        </w:tc>
        <w:tc>
          <w:tcPr>
            <w:tcW w:w="2268" w:type="dxa"/>
            <w:vAlign w:val="bottom"/>
          </w:tcPr>
          <w:p w14:paraId="6DE6297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3,1%</w:t>
            </w:r>
          </w:p>
        </w:tc>
        <w:tc>
          <w:tcPr>
            <w:tcW w:w="1963" w:type="dxa"/>
            <w:vAlign w:val="bottom"/>
          </w:tcPr>
          <w:p w14:paraId="31D0DE1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9,9%</w:t>
            </w:r>
          </w:p>
        </w:tc>
      </w:tr>
      <w:tr w:rsidR="007933D2" w14:paraId="53DC6CB7"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F0C2054"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126" w:type="dxa"/>
            <w:vAlign w:val="bottom"/>
          </w:tcPr>
          <w:p w14:paraId="7F41073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8,48 €</w:t>
            </w:r>
          </w:p>
        </w:tc>
        <w:tc>
          <w:tcPr>
            <w:tcW w:w="2268" w:type="dxa"/>
            <w:vAlign w:val="bottom"/>
          </w:tcPr>
          <w:p w14:paraId="7CBE948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3,0%</w:t>
            </w:r>
          </w:p>
        </w:tc>
        <w:tc>
          <w:tcPr>
            <w:tcW w:w="1963" w:type="dxa"/>
            <w:vAlign w:val="bottom"/>
          </w:tcPr>
          <w:p w14:paraId="36541CA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9,1%</w:t>
            </w:r>
          </w:p>
        </w:tc>
      </w:tr>
      <w:tr w:rsidR="007933D2" w14:paraId="3C86953A"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A4382D8"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126" w:type="dxa"/>
            <w:vAlign w:val="bottom"/>
          </w:tcPr>
          <w:p w14:paraId="1AFF748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10,24 €</w:t>
            </w:r>
          </w:p>
        </w:tc>
        <w:tc>
          <w:tcPr>
            <w:tcW w:w="2268" w:type="dxa"/>
            <w:vAlign w:val="bottom"/>
          </w:tcPr>
          <w:p w14:paraId="55274E7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3,0%</w:t>
            </w:r>
          </w:p>
        </w:tc>
        <w:tc>
          <w:tcPr>
            <w:tcW w:w="1963" w:type="dxa"/>
            <w:vAlign w:val="bottom"/>
          </w:tcPr>
          <w:p w14:paraId="5FFB089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11,9%</w:t>
            </w:r>
          </w:p>
        </w:tc>
      </w:tr>
      <w:tr w:rsidR="007933D2" w14:paraId="1A7E3E0C"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217A744"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126" w:type="dxa"/>
            <w:vAlign w:val="bottom"/>
          </w:tcPr>
          <w:p w14:paraId="3078A35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9,37 €</w:t>
            </w:r>
          </w:p>
        </w:tc>
        <w:tc>
          <w:tcPr>
            <w:tcW w:w="2268" w:type="dxa"/>
            <w:vAlign w:val="bottom"/>
          </w:tcPr>
          <w:p w14:paraId="1F1EE69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2,6%</w:t>
            </w:r>
          </w:p>
        </w:tc>
        <w:tc>
          <w:tcPr>
            <w:tcW w:w="1963" w:type="dxa"/>
            <w:vAlign w:val="bottom"/>
          </w:tcPr>
          <w:p w14:paraId="7F81329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3,7%</w:t>
            </w:r>
          </w:p>
        </w:tc>
      </w:tr>
      <w:tr w:rsidR="007933D2" w14:paraId="1BE7EF57"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81F0396"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126" w:type="dxa"/>
            <w:vAlign w:val="bottom"/>
          </w:tcPr>
          <w:p w14:paraId="58D9784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10,06 €</w:t>
            </w:r>
          </w:p>
        </w:tc>
        <w:tc>
          <w:tcPr>
            <w:tcW w:w="2268" w:type="dxa"/>
            <w:vAlign w:val="bottom"/>
          </w:tcPr>
          <w:p w14:paraId="29E8B72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2,5%</w:t>
            </w:r>
          </w:p>
        </w:tc>
        <w:tc>
          <w:tcPr>
            <w:tcW w:w="1963" w:type="dxa"/>
            <w:vAlign w:val="bottom"/>
          </w:tcPr>
          <w:p w14:paraId="5FC822B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6,1%</w:t>
            </w:r>
          </w:p>
        </w:tc>
      </w:tr>
      <w:tr w:rsidR="007933D2" w14:paraId="53AB47E8"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BD5ACEE"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126" w:type="dxa"/>
            <w:vAlign w:val="bottom"/>
          </w:tcPr>
          <w:p w14:paraId="3F57F58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13,22 €</w:t>
            </w:r>
          </w:p>
        </w:tc>
        <w:tc>
          <w:tcPr>
            <w:tcW w:w="2268" w:type="dxa"/>
            <w:vAlign w:val="bottom"/>
          </w:tcPr>
          <w:p w14:paraId="2C726E4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2,3%</w:t>
            </w:r>
          </w:p>
        </w:tc>
        <w:tc>
          <w:tcPr>
            <w:tcW w:w="1963" w:type="dxa"/>
            <w:vAlign w:val="bottom"/>
          </w:tcPr>
          <w:p w14:paraId="3CFD121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14,6%</w:t>
            </w:r>
          </w:p>
        </w:tc>
      </w:tr>
      <w:tr w:rsidR="007933D2" w14:paraId="1AB47DBF"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CF2636C"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126" w:type="dxa"/>
            <w:vAlign w:val="bottom"/>
          </w:tcPr>
          <w:p w14:paraId="29DD25C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9,88 €</w:t>
            </w:r>
          </w:p>
        </w:tc>
        <w:tc>
          <w:tcPr>
            <w:tcW w:w="2268" w:type="dxa"/>
            <w:vAlign w:val="bottom"/>
          </w:tcPr>
          <w:p w14:paraId="23FE89A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2,1%</w:t>
            </w:r>
          </w:p>
        </w:tc>
        <w:tc>
          <w:tcPr>
            <w:tcW w:w="1963" w:type="dxa"/>
            <w:vAlign w:val="bottom"/>
          </w:tcPr>
          <w:p w14:paraId="76F4718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7,4%</w:t>
            </w:r>
          </w:p>
        </w:tc>
      </w:tr>
      <w:tr w:rsidR="007933D2" w14:paraId="08FA8DE6"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948CE4C"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126" w:type="dxa"/>
            <w:vAlign w:val="bottom"/>
          </w:tcPr>
          <w:p w14:paraId="191EFF2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9,25 €</w:t>
            </w:r>
          </w:p>
        </w:tc>
        <w:tc>
          <w:tcPr>
            <w:tcW w:w="2268" w:type="dxa"/>
            <w:vAlign w:val="bottom"/>
          </w:tcPr>
          <w:p w14:paraId="552EF77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2,0%</w:t>
            </w:r>
          </w:p>
        </w:tc>
        <w:tc>
          <w:tcPr>
            <w:tcW w:w="1963" w:type="dxa"/>
            <w:vAlign w:val="bottom"/>
          </w:tcPr>
          <w:p w14:paraId="05D9A0C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7,6%</w:t>
            </w:r>
          </w:p>
        </w:tc>
      </w:tr>
      <w:tr w:rsidR="007933D2" w14:paraId="58A2C489"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F227797"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126" w:type="dxa"/>
            <w:vAlign w:val="bottom"/>
          </w:tcPr>
          <w:p w14:paraId="385296D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8,08 €</w:t>
            </w:r>
          </w:p>
        </w:tc>
        <w:tc>
          <w:tcPr>
            <w:tcW w:w="2268" w:type="dxa"/>
            <w:vAlign w:val="bottom"/>
          </w:tcPr>
          <w:p w14:paraId="5370F49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1,6%</w:t>
            </w:r>
          </w:p>
        </w:tc>
        <w:tc>
          <w:tcPr>
            <w:tcW w:w="1963" w:type="dxa"/>
            <w:vAlign w:val="bottom"/>
          </w:tcPr>
          <w:p w14:paraId="2F6534A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5,6%</w:t>
            </w:r>
          </w:p>
        </w:tc>
      </w:tr>
      <w:tr w:rsidR="007933D2" w14:paraId="034D1852"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75AA6FD"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126" w:type="dxa"/>
            <w:vAlign w:val="bottom"/>
          </w:tcPr>
          <w:p w14:paraId="6BC5355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18,00 €</w:t>
            </w:r>
          </w:p>
        </w:tc>
        <w:tc>
          <w:tcPr>
            <w:tcW w:w="2268" w:type="dxa"/>
            <w:vAlign w:val="bottom"/>
          </w:tcPr>
          <w:p w14:paraId="079C272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1,6%</w:t>
            </w:r>
          </w:p>
        </w:tc>
        <w:tc>
          <w:tcPr>
            <w:tcW w:w="1963" w:type="dxa"/>
            <w:vAlign w:val="bottom"/>
          </w:tcPr>
          <w:p w14:paraId="0C96768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12,6%</w:t>
            </w:r>
          </w:p>
        </w:tc>
      </w:tr>
      <w:tr w:rsidR="007933D2" w14:paraId="6BB86694"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FAAB304"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126" w:type="dxa"/>
            <w:vAlign w:val="bottom"/>
          </w:tcPr>
          <w:p w14:paraId="12A2874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8,78 €</w:t>
            </w:r>
          </w:p>
        </w:tc>
        <w:tc>
          <w:tcPr>
            <w:tcW w:w="2268" w:type="dxa"/>
            <w:vAlign w:val="bottom"/>
          </w:tcPr>
          <w:p w14:paraId="002BC18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1,5%</w:t>
            </w:r>
          </w:p>
        </w:tc>
        <w:tc>
          <w:tcPr>
            <w:tcW w:w="1963" w:type="dxa"/>
            <w:vAlign w:val="bottom"/>
          </w:tcPr>
          <w:p w14:paraId="29ACF82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6,2%</w:t>
            </w:r>
          </w:p>
        </w:tc>
      </w:tr>
      <w:tr w:rsidR="007933D2" w14:paraId="4D0336CD"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C441A67"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126" w:type="dxa"/>
            <w:vAlign w:val="bottom"/>
          </w:tcPr>
          <w:p w14:paraId="7BB5A4C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7,68 €</w:t>
            </w:r>
          </w:p>
        </w:tc>
        <w:tc>
          <w:tcPr>
            <w:tcW w:w="2268" w:type="dxa"/>
            <w:vAlign w:val="bottom"/>
          </w:tcPr>
          <w:p w14:paraId="027F4B7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1,5%</w:t>
            </w:r>
          </w:p>
        </w:tc>
        <w:tc>
          <w:tcPr>
            <w:tcW w:w="1963" w:type="dxa"/>
            <w:vAlign w:val="bottom"/>
          </w:tcPr>
          <w:p w14:paraId="687E36A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6,8%</w:t>
            </w:r>
          </w:p>
        </w:tc>
      </w:tr>
      <w:tr w:rsidR="007933D2" w14:paraId="0575B42E"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F5A45AB"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126" w:type="dxa"/>
            <w:vAlign w:val="bottom"/>
          </w:tcPr>
          <w:p w14:paraId="152F79E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10,30 €</w:t>
            </w:r>
          </w:p>
        </w:tc>
        <w:tc>
          <w:tcPr>
            <w:tcW w:w="2268" w:type="dxa"/>
            <w:vAlign w:val="bottom"/>
          </w:tcPr>
          <w:p w14:paraId="59636E8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1,4%</w:t>
            </w:r>
          </w:p>
        </w:tc>
        <w:tc>
          <w:tcPr>
            <w:tcW w:w="1963" w:type="dxa"/>
            <w:vAlign w:val="bottom"/>
          </w:tcPr>
          <w:p w14:paraId="5693F6F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10,8%</w:t>
            </w:r>
          </w:p>
        </w:tc>
      </w:tr>
      <w:tr w:rsidR="007933D2" w14:paraId="44FA0F3B"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F8DEB68"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126" w:type="dxa"/>
            <w:vAlign w:val="bottom"/>
          </w:tcPr>
          <w:p w14:paraId="528CAC1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7,71 €</w:t>
            </w:r>
          </w:p>
        </w:tc>
        <w:tc>
          <w:tcPr>
            <w:tcW w:w="2268" w:type="dxa"/>
            <w:vAlign w:val="bottom"/>
          </w:tcPr>
          <w:p w14:paraId="79B2570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0,9%</w:t>
            </w:r>
          </w:p>
        </w:tc>
        <w:tc>
          <w:tcPr>
            <w:tcW w:w="1963" w:type="dxa"/>
            <w:vAlign w:val="bottom"/>
          </w:tcPr>
          <w:p w14:paraId="49C27B1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2"/>
                <w:szCs w:val="22"/>
              </w:rPr>
              <w:t>-0,1%</w:t>
            </w:r>
          </w:p>
        </w:tc>
      </w:tr>
      <w:tr w:rsidR="007933D2" w14:paraId="5DEC0D9F"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8272266"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126" w:type="dxa"/>
            <w:vAlign w:val="bottom"/>
          </w:tcPr>
          <w:p w14:paraId="205F865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11,12 €</w:t>
            </w:r>
          </w:p>
        </w:tc>
        <w:tc>
          <w:tcPr>
            <w:tcW w:w="2268" w:type="dxa"/>
            <w:vAlign w:val="bottom"/>
          </w:tcPr>
          <w:p w14:paraId="0BB15E9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2"/>
                <w:szCs w:val="22"/>
              </w:rPr>
              <w:t>0,9%</w:t>
            </w:r>
          </w:p>
        </w:tc>
        <w:tc>
          <w:tcPr>
            <w:tcW w:w="1963" w:type="dxa"/>
            <w:vAlign w:val="bottom"/>
          </w:tcPr>
          <w:p w14:paraId="2E85CBE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11,5%</w:t>
            </w:r>
          </w:p>
        </w:tc>
      </w:tr>
      <w:tr w:rsidR="007933D2" w14:paraId="7FCFA2F7"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3D36926"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126" w:type="dxa"/>
            <w:vAlign w:val="bottom"/>
          </w:tcPr>
          <w:p w14:paraId="2075AF3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14,77 €</w:t>
            </w:r>
          </w:p>
        </w:tc>
        <w:tc>
          <w:tcPr>
            <w:tcW w:w="2268" w:type="dxa"/>
            <w:vAlign w:val="bottom"/>
          </w:tcPr>
          <w:p w14:paraId="5DCFDE1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9C0006"/>
                <w:sz w:val="22"/>
                <w:szCs w:val="22"/>
              </w:rPr>
              <w:t>-0,1%</w:t>
            </w:r>
          </w:p>
        </w:tc>
        <w:tc>
          <w:tcPr>
            <w:tcW w:w="1963" w:type="dxa"/>
            <w:vAlign w:val="bottom"/>
          </w:tcPr>
          <w:p w14:paraId="0A87338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10,8%</w:t>
            </w:r>
          </w:p>
        </w:tc>
      </w:tr>
      <w:tr w:rsidR="007933D2" w14:paraId="3A97C5C7"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BABEC64"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126" w:type="dxa"/>
            <w:vAlign w:val="bottom"/>
          </w:tcPr>
          <w:p w14:paraId="6D98B28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6,84 €</w:t>
            </w:r>
          </w:p>
        </w:tc>
        <w:tc>
          <w:tcPr>
            <w:tcW w:w="2268" w:type="dxa"/>
            <w:vAlign w:val="bottom"/>
          </w:tcPr>
          <w:p w14:paraId="1606156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9C0006"/>
                <w:sz w:val="22"/>
                <w:szCs w:val="22"/>
              </w:rPr>
              <w:t>-0,3%</w:t>
            </w:r>
          </w:p>
        </w:tc>
        <w:tc>
          <w:tcPr>
            <w:tcW w:w="1963" w:type="dxa"/>
            <w:vAlign w:val="bottom"/>
          </w:tcPr>
          <w:p w14:paraId="0270C08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2"/>
                <w:szCs w:val="22"/>
              </w:rPr>
              <w:t>-1,6%</w:t>
            </w:r>
          </w:p>
        </w:tc>
      </w:tr>
      <w:tr w:rsidR="007933D2" w14:paraId="11FDDA95"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B8B33FE"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Teruel</w:t>
            </w:r>
          </w:p>
        </w:tc>
        <w:tc>
          <w:tcPr>
            <w:tcW w:w="2126" w:type="dxa"/>
            <w:vAlign w:val="bottom"/>
          </w:tcPr>
          <w:p w14:paraId="565679C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6,60 €</w:t>
            </w:r>
          </w:p>
        </w:tc>
        <w:tc>
          <w:tcPr>
            <w:tcW w:w="2268" w:type="dxa"/>
            <w:vAlign w:val="bottom"/>
          </w:tcPr>
          <w:p w14:paraId="4E8BA84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9C0006"/>
                <w:sz w:val="22"/>
                <w:szCs w:val="22"/>
              </w:rPr>
              <w:t>-0,8%</w:t>
            </w:r>
          </w:p>
        </w:tc>
        <w:tc>
          <w:tcPr>
            <w:tcW w:w="1963" w:type="dxa"/>
            <w:vAlign w:val="bottom"/>
          </w:tcPr>
          <w:p w14:paraId="5EC3A0D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14,2%</w:t>
            </w:r>
          </w:p>
        </w:tc>
      </w:tr>
      <w:tr w:rsidR="007933D2" w14:paraId="55152D22"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2B73961"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126" w:type="dxa"/>
            <w:vAlign w:val="bottom"/>
          </w:tcPr>
          <w:p w14:paraId="5A21215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6,36 €</w:t>
            </w:r>
          </w:p>
        </w:tc>
        <w:tc>
          <w:tcPr>
            <w:tcW w:w="2268" w:type="dxa"/>
            <w:vAlign w:val="bottom"/>
          </w:tcPr>
          <w:p w14:paraId="4409F8E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9C0006"/>
                <w:sz w:val="22"/>
                <w:szCs w:val="22"/>
              </w:rPr>
              <w:t>-0,9%</w:t>
            </w:r>
          </w:p>
        </w:tc>
        <w:tc>
          <w:tcPr>
            <w:tcW w:w="1963" w:type="dxa"/>
            <w:vAlign w:val="bottom"/>
          </w:tcPr>
          <w:p w14:paraId="4D9E830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2"/>
                <w:szCs w:val="22"/>
              </w:rPr>
              <w:t>-3,0%</w:t>
            </w:r>
          </w:p>
        </w:tc>
      </w:tr>
      <w:tr w:rsidR="007933D2" w14:paraId="211F17EF"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87154C8"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126" w:type="dxa"/>
            <w:vAlign w:val="bottom"/>
          </w:tcPr>
          <w:p w14:paraId="1ECE57E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6,90 €</w:t>
            </w:r>
          </w:p>
        </w:tc>
        <w:tc>
          <w:tcPr>
            <w:tcW w:w="2268" w:type="dxa"/>
            <w:vAlign w:val="bottom"/>
          </w:tcPr>
          <w:p w14:paraId="6D0FB55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-2,4%</w:t>
            </w:r>
          </w:p>
        </w:tc>
        <w:tc>
          <w:tcPr>
            <w:tcW w:w="1963" w:type="dxa"/>
            <w:vAlign w:val="bottom"/>
          </w:tcPr>
          <w:p w14:paraId="0EAD158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5,3%</w:t>
            </w:r>
          </w:p>
        </w:tc>
      </w:tr>
      <w:tr w:rsidR="007933D2" w14:paraId="28D66075"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0E60165"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126" w:type="dxa"/>
            <w:vAlign w:val="bottom"/>
          </w:tcPr>
          <w:p w14:paraId="52D043C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7,91 €</w:t>
            </w:r>
          </w:p>
        </w:tc>
        <w:tc>
          <w:tcPr>
            <w:tcW w:w="2268" w:type="dxa"/>
            <w:vAlign w:val="bottom"/>
          </w:tcPr>
          <w:p w14:paraId="1AC5ED9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-3,8%</w:t>
            </w:r>
          </w:p>
        </w:tc>
        <w:tc>
          <w:tcPr>
            <w:tcW w:w="1963" w:type="dxa"/>
            <w:vAlign w:val="bottom"/>
          </w:tcPr>
          <w:p w14:paraId="36384C5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4,8%</w:t>
            </w:r>
          </w:p>
        </w:tc>
      </w:tr>
      <w:tr w:rsidR="007933D2" w14:paraId="4DA98196"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33F25B8"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126" w:type="dxa"/>
            <w:vAlign w:val="bottom"/>
          </w:tcPr>
          <w:p w14:paraId="6896ED0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6,62 €</w:t>
            </w:r>
          </w:p>
        </w:tc>
        <w:tc>
          <w:tcPr>
            <w:tcW w:w="2268" w:type="dxa"/>
            <w:vAlign w:val="bottom"/>
          </w:tcPr>
          <w:p w14:paraId="011099B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-4,2%</w:t>
            </w:r>
          </w:p>
        </w:tc>
        <w:tc>
          <w:tcPr>
            <w:tcW w:w="1963" w:type="dxa"/>
            <w:vAlign w:val="bottom"/>
          </w:tcPr>
          <w:p w14:paraId="74E699D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6,3%</w:t>
            </w:r>
          </w:p>
        </w:tc>
      </w:tr>
      <w:tr w:rsidR="007933D2" w14:paraId="2522162A"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ADD35D3"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126" w:type="dxa"/>
            <w:vAlign w:val="bottom"/>
          </w:tcPr>
          <w:p w14:paraId="1366D3C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6,52 €</w:t>
            </w:r>
          </w:p>
        </w:tc>
        <w:tc>
          <w:tcPr>
            <w:tcW w:w="2268" w:type="dxa"/>
            <w:vAlign w:val="bottom"/>
          </w:tcPr>
          <w:p w14:paraId="6AD7DB3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-4,4%</w:t>
            </w:r>
          </w:p>
        </w:tc>
        <w:tc>
          <w:tcPr>
            <w:tcW w:w="1963" w:type="dxa"/>
            <w:vAlign w:val="bottom"/>
          </w:tcPr>
          <w:p w14:paraId="7601262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r>
      <w:tr w:rsidR="007933D2" w14:paraId="21E186BC"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7B91B4E"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126" w:type="dxa"/>
            <w:vAlign w:val="bottom"/>
          </w:tcPr>
          <w:p w14:paraId="0359553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5,52 €</w:t>
            </w:r>
          </w:p>
        </w:tc>
        <w:tc>
          <w:tcPr>
            <w:tcW w:w="2268" w:type="dxa"/>
            <w:vAlign w:val="bottom"/>
          </w:tcPr>
          <w:p w14:paraId="15268BE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-5,0%</w:t>
            </w:r>
          </w:p>
        </w:tc>
        <w:tc>
          <w:tcPr>
            <w:tcW w:w="1963" w:type="dxa"/>
            <w:vAlign w:val="bottom"/>
          </w:tcPr>
          <w:p w14:paraId="02D0DE0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-6,1%</w:t>
            </w:r>
          </w:p>
        </w:tc>
      </w:tr>
      <w:tr w:rsidR="007933D2" w14:paraId="49676CB0"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3FAA0E1"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2126" w:type="dxa"/>
            <w:vAlign w:val="bottom"/>
          </w:tcPr>
          <w:p w14:paraId="20FACCA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11,29 €</w:t>
            </w:r>
          </w:p>
        </w:tc>
        <w:tc>
          <w:tcPr>
            <w:tcW w:w="2268" w:type="dxa"/>
            <w:vAlign w:val="bottom"/>
          </w:tcPr>
          <w:p w14:paraId="5088FDC0"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9C0006"/>
                <w:sz w:val="22"/>
                <w:szCs w:val="22"/>
              </w:rPr>
              <w:t>-8,4%</w:t>
            </w:r>
          </w:p>
        </w:tc>
        <w:tc>
          <w:tcPr>
            <w:tcW w:w="1963" w:type="dxa"/>
            <w:vAlign w:val="bottom"/>
          </w:tcPr>
          <w:p w14:paraId="327B909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2"/>
                <w:szCs w:val="22"/>
              </w:rPr>
              <w:t>-1,5%</w:t>
            </w:r>
          </w:p>
        </w:tc>
      </w:tr>
      <w:tr w:rsidR="007933D2" w14:paraId="34FD5F85" w14:textId="77777777" w:rsidTr="007933D2">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FC188BC"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126" w:type="dxa"/>
            <w:vAlign w:val="bottom"/>
          </w:tcPr>
          <w:p w14:paraId="5EA7643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7,33 €</w:t>
            </w:r>
          </w:p>
        </w:tc>
        <w:tc>
          <w:tcPr>
            <w:tcW w:w="2268" w:type="dxa"/>
            <w:vAlign w:val="bottom"/>
          </w:tcPr>
          <w:p w14:paraId="56BD9775" w14:textId="77777777" w:rsidR="007933D2" w:rsidRDefault="007933D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p>
        </w:tc>
        <w:tc>
          <w:tcPr>
            <w:tcW w:w="1963" w:type="dxa"/>
            <w:vAlign w:val="bottom"/>
          </w:tcPr>
          <w:p w14:paraId="426843C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12,6%</w:t>
            </w:r>
          </w:p>
        </w:tc>
      </w:tr>
      <w:tr w:rsidR="007933D2" w14:paraId="0E15E6E8" w14:textId="77777777" w:rsidTr="007933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7464190" w14:textId="77777777" w:rsidR="007933D2"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126" w:type="dxa"/>
            <w:vAlign w:val="bottom"/>
          </w:tcPr>
          <w:p w14:paraId="5D4E1FC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6,48 €</w:t>
            </w:r>
          </w:p>
        </w:tc>
        <w:tc>
          <w:tcPr>
            <w:tcW w:w="2268" w:type="dxa"/>
            <w:vAlign w:val="bottom"/>
          </w:tcPr>
          <w:p w14:paraId="1925256E" w14:textId="77777777" w:rsidR="007933D2" w:rsidRDefault="007933D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p>
        </w:tc>
        <w:tc>
          <w:tcPr>
            <w:tcW w:w="1963" w:type="dxa"/>
            <w:vAlign w:val="bottom"/>
          </w:tcPr>
          <w:p w14:paraId="4119992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2"/>
                <w:szCs w:val="22"/>
              </w:rPr>
              <w:t>10,0%</w:t>
            </w:r>
          </w:p>
        </w:tc>
      </w:tr>
    </w:tbl>
    <w:p w14:paraId="7948156A" w14:textId="77777777" w:rsidR="007933D2"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interanual y precio</w:t>
      </w:r>
    </w:p>
    <w:tbl>
      <w:tblPr>
        <w:tblStyle w:val="a1"/>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551"/>
        <w:gridCol w:w="1701"/>
        <w:gridCol w:w="1503"/>
        <w:gridCol w:w="1743"/>
      </w:tblGrid>
      <w:tr w:rsidR="007933D2" w14:paraId="3EA5B89B" w14:textId="77777777" w:rsidTr="007933D2">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center"/>
          </w:tcPr>
          <w:p w14:paraId="5D6A7A1E" w14:textId="77777777" w:rsidR="007933D2"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551" w:type="dxa"/>
            <w:shd w:val="clear" w:color="auto" w:fill="1DBDC5"/>
            <w:vAlign w:val="center"/>
          </w:tcPr>
          <w:p w14:paraId="58DBBF6B"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701" w:type="dxa"/>
            <w:shd w:val="clear" w:color="auto" w:fill="1DBDC5"/>
          </w:tcPr>
          <w:p w14:paraId="014B42A4"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2024 (€/m²)</w:t>
            </w:r>
          </w:p>
        </w:tc>
        <w:tc>
          <w:tcPr>
            <w:tcW w:w="1503" w:type="dxa"/>
            <w:shd w:val="clear" w:color="auto" w:fill="1DBDC5"/>
          </w:tcPr>
          <w:p w14:paraId="3F484E17"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53E8B141"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743" w:type="dxa"/>
            <w:shd w:val="clear" w:color="auto" w:fill="1DBDC5"/>
          </w:tcPr>
          <w:p w14:paraId="20E4FB4F"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B89C05F"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933D2" w14:paraId="3DC219B7"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6A7DFB5"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vAlign w:val="bottom"/>
          </w:tcPr>
          <w:p w14:paraId="213E14F2"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701" w:type="dxa"/>
            <w:vAlign w:val="bottom"/>
          </w:tcPr>
          <w:p w14:paraId="65B65AD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7,48 €</w:t>
            </w:r>
          </w:p>
        </w:tc>
        <w:tc>
          <w:tcPr>
            <w:tcW w:w="1503" w:type="dxa"/>
            <w:vAlign w:val="bottom"/>
          </w:tcPr>
          <w:p w14:paraId="1FC886A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29,4%</w:t>
            </w:r>
          </w:p>
        </w:tc>
        <w:tc>
          <w:tcPr>
            <w:tcW w:w="1743" w:type="dxa"/>
            <w:vAlign w:val="bottom"/>
          </w:tcPr>
          <w:p w14:paraId="6AE3BC7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34,1%</w:t>
            </w:r>
          </w:p>
        </w:tc>
      </w:tr>
      <w:tr w:rsidR="007933D2" w14:paraId="3C442C2D"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A615E51"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551" w:type="dxa"/>
            <w:vAlign w:val="bottom"/>
          </w:tcPr>
          <w:p w14:paraId="646C2549"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701" w:type="dxa"/>
            <w:vAlign w:val="bottom"/>
          </w:tcPr>
          <w:p w14:paraId="23DF55E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7,87 €</w:t>
            </w:r>
          </w:p>
        </w:tc>
        <w:tc>
          <w:tcPr>
            <w:tcW w:w="1503" w:type="dxa"/>
            <w:vAlign w:val="bottom"/>
          </w:tcPr>
          <w:p w14:paraId="49EE9C5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8,9%</w:t>
            </w:r>
          </w:p>
        </w:tc>
        <w:tc>
          <w:tcPr>
            <w:tcW w:w="1743" w:type="dxa"/>
            <w:vAlign w:val="bottom"/>
          </w:tcPr>
          <w:p w14:paraId="61EF816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9,8%</w:t>
            </w:r>
          </w:p>
        </w:tc>
      </w:tr>
      <w:tr w:rsidR="007933D2" w14:paraId="6141B0E4"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E5F996F"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Segovia</w:t>
            </w:r>
          </w:p>
        </w:tc>
        <w:tc>
          <w:tcPr>
            <w:tcW w:w="2551" w:type="dxa"/>
            <w:vAlign w:val="bottom"/>
          </w:tcPr>
          <w:p w14:paraId="548DFE0E"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701" w:type="dxa"/>
            <w:vAlign w:val="bottom"/>
          </w:tcPr>
          <w:p w14:paraId="66584AE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11,63 €</w:t>
            </w:r>
          </w:p>
        </w:tc>
        <w:tc>
          <w:tcPr>
            <w:tcW w:w="1503" w:type="dxa"/>
            <w:vAlign w:val="bottom"/>
          </w:tcPr>
          <w:p w14:paraId="643E8EB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7,6%</w:t>
            </w:r>
          </w:p>
        </w:tc>
        <w:tc>
          <w:tcPr>
            <w:tcW w:w="1743" w:type="dxa"/>
            <w:vAlign w:val="bottom"/>
          </w:tcPr>
          <w:p w14:paraId="4EF67DB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19,2%</w:t>
            </w:r>
          </w:p>
        </w:tc>
      </w:tr>
      <w:tr w:rsidR="007933D2" w14:paraId="0FFD8A80"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02C0BBF"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551" w:type="dxa"/>
            <w:vAlign w:val="bottom"/>
          </w:tcPr>
          <w:p w14:paraId="24CB6DF6"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701" w:type="dxa"/>
            <w:vAlign w:val="bottom"/>
          </w:tcPr>
          <w:p w14:paraId="2B464C7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10,88 €</w:t>
            </w:r>
          </w:p>
        </w:tc>
        <w:tc>
          <w:tcPr>
            <w:tcW w:w="1503" w:type="dxa"/>
            <w:vAlign w:val="bottom"/>
          </w:tcPr>
          <w:p w14:paraId="42F0196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7,4%</w:t>
            </w:r>
          </w:p>
        </w:tc>
        <w:tc>
          <w:tcPr>
            <w:tcW w:w="1743" w:type="dxa"/>
            <w:vAlign w:val="bottom"/>
          </w:tcPr>
          <w:p w14:paraId="100AF8F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15,9%</w:t>
            </w:r>
          </w:p>
        </w:tc>
      </w:tr>
      <w:tr w:rsidR="007933D2" w14:paraId="752C06C8"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CB70C85"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551" w:type="dxa"/>
            <w:vAlign w:val="bottom"/>
          </w:tcPr>
          <w:p w14:paraId="656810BF"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701" w:type="dxa"/>
            <w:vAlign w:val="bottom"/>
          </w:tcPr>
          <w:p w14:paraId="645765B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7,58 €</w:t>
            </w:r>
          </w:p>
        </w:tc>
        <w:tc>
          <w:tcPr>
            <w:tcW w:w="1503" w:type="dxa"/>
            <w:vAlign w:val="bottom"/>
          </w:tcPr>
          <w:p w14:paraId="07E5569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7,2%</w:t>
            </w:r>
          </w:p>
        </w:tc>
        <w:tc>
          <w:tcPr>
            <w:tcW w:w="1743" w:type="dxa"/>
            <w:vAlign w:val="bottom"/>
          </w:tcPr>
          <w:p w14:paraId="04380BD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18,6%</w:t>
            </w:r>
          </w:p>
        </w:tc>
      </w:tr>
      <w:tr w:rsidR="007933D2" w14:paraId="3C19E206"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50D1D45"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551" w:type="dxa"/>
            <w:vAlign w:val="bottom"/>
          </w:tcPr>
          <w:p w14:paraId="5328A839"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701" w:type="dxa"/>
            <w:vAlign w:val="bottom"/>
          </w:tcPr>
          <w:p w14:paraId="59CA697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12,86 €</w:t>
            </w:r>
          </w:p>
        </w:tc>
        <w:tc>
          <w:tcPr>
            <w:tcW w:w="1503" w:type="dxa"/>
            <w:vAlign w:val="bottom"/>
          </w:tcPr>
          <w:p w14:paraId="453D2DD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7,0%</w:t>
            </w:r>
          </w:p>
        </w:tc>
        <w:tc>
          <w:tcPr>
            <w:tcW w:w="1743" w:type="dxa"/>
            <w:vAlign w:val="bottom"/>
          </w:tcPr>
          <w:p w14:paraId="57142D4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30,2%</w:t>
            </w:r>
          </w:p>
        </w:tc>
      </w:tr>
      <w:tr w:rsidR="007933D2" w14:paraId="3738B58B"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800C2DE"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551" w:type="dxa"/>
            <w:vAlign w:val="bottom"/>
          </w:tcPr>
          <w:p w14:paraId="60408B73"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701" w:type="dxa"/>
            <w:vAlign w:val="bottom"/>
          </w:tcPr>
          <w:p w14:paraId="27329B9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12,69 €</w:t>
            </w:r>
          </w:p>
        </w:tc>
        <w:tc>
          <w:tcPr>
            <w:tcW w:w="1503" w:type="dxa"/>
            <w:vAlign w:val="bottom"/>
          </w:tcPr>
          <w:p w14:paraId="5B87970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6,4%</w:t>
            </w:r>
          </w:p>
        </w:tc>
        <w:tc>
          <w:tcPr>
            <w:tcW w:w="1743" w:type="dxa"/>
            <w:vAlign w:val="bottom"/>
          </w:tcPr>
          <w:p w14:paraId="7BBA5AC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w:t>
            </w:r>
          </w:p>
        </w:tc>
      </w:tr>
      <w:tr w:rsidR="007933D2" w14:paraId="309840F2"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5997316"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51" w:type="dxa"/>
            <w:vAlign w:val="bottom"/>
          </w:tcPr>
          <w:p w14:paraId="3AE0C173"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701" w:type="dxa"/>
            <w:vAlign w:val="bottom"/>
          </w:tcPr>
          <w:p w14:paraId="5B6A23E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8,80 €</w:t>
            </w:r>
          </w:p>
        </w:tc>
        <w:tc>
          <w:tcPr>
            <w:tcW w:w="1503" w:type="dxa"/>
            <w:vAlign w:val="bottom"/>
          </w:tcPr>
          <w:p w14:paraId="11F1426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5,9%</w:t>
            </w:r>
          </w:p>
        </w:tc>
        <w:tc>
          <w:tcPr>
            <w:tcW w:w="1743" w:type="dxa"/>
            <w:vAlign w:val="bottom"/>
          </w:tcPr>
          <w:p w14:paraId="6F8DDE5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w:t>
            </w:r>
          </w:p>
        </w:tc>
      </w:tr>
      <w:tr w:rsidR="007933D2" w14:paraId="3C084EA5"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C004F5E"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551" w:type="dxa"/>
            <w:vAlign w:val="bottom"/>
          </w:tcPr>
          <w:p w14:paraId="12F19F9E"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701" w:type="dxa"/>
            <w:vAlign w:val="bottom"/>
          </w:tcPr>
          <w:p w14:paraId="5A853B6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14,24 €</w:t>
            </w:r>
          </w:p>
        </w:tc>
        <w:tc>
          <w:tcPr>
            <w:tcW w:w="1503" w:type="dxa"/>
            <w:vAlign w:val="bottom"/>
          </w:tcPr>
          <w:p w14:paraId="4444B170"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5,8%</w:t>
            </w:r>
          </w:p>
        </w:tc>
        <w:tc>
          <w:tcPr>
            <w:tcW w:w="1743" w:type="dxa"/>
            <w:vAlign w:val="bottom"/>
          </w:tcPr>
          <w:p w14:paraId="1A57F96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15,9%</w:t>
            </w:r>
          </w:p>
        </w:tc>
      </w:tr>
      <w:tr w:rsidR="007933D2" w14:paraId="3E5E728B"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5BDE270"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551" w:type="dxa"/>
            <w:vAlign w:val="bottom"/>
          </w:tcPr>
          <w:p w14:paraId="00A4BC02"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701" w:type="dxa"/>
            <w:vAlign w:val="bottom"/>
          </w:tcPr>
          <w:p w14:paraId="4ACD399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13,96 €</w:t>
            </w:r>
          </w:p>
        </w:tc>
        <w:tc>
          <w:tcPr>
            <w:tcW w:w="1503" w:type="dxa"/>
            <w:vAlign w:val="bottom"/>
          </w:tcPr>
          <w:p w14:paraId="3E2858A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5,0%</w:t>
            </w:r>
          </w:p>
        </w:tc>
        <w:tc>
          <w:tcPr>
            <w:tcW w:w="1743" w:type="dxa"/>
            <w:vAlign w:val="bottom"/>
          </w:tcPr>
          <w:p w14:paraId="2CDD3C4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w:t>
            </w:r>
          </w:p>
        </w:tc>
      </w:tr>
      <w:tr w:rsidR="007933D2" w14:paraId="3A47AD66"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85D16E9"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51" w:type="dxa"/>
            <w:vAlign w:val="bottom"/>
          </w:tcPr>
          <w:p w14:paraId="3644CF5F"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701" w:type="dxa"/>
            <w:vAlign w:val="bottom"/>
          </w:tcPr>
          <w:p w14:paraId="08D44A7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11,44 €</w:t>
            </w:r>
          </w:p>
        </w:tc>
        <w:tc>
          <w:tcPr>
            <w:tcW w:w="1503" w:type="dxa"/>
            <w:vAlign w:val="bottom"/>
          </w:tcPr>
          <w:p w14:paraId="5339F16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4,8%</w:t>
            </w:r>
          </w:p>
        </w:tc>
        <w:tc>
          <w:tcPr>
            <w:tcW w:w="1743" w:type="dxa"/>
            <w:vAlign w:val="bottom"/>
          </w:tcPr>
          <w:p w14:paraId="70EFCAE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w:t>
            </w:r>
          </w:p>
        </w:tc>
      </w:tr>
      <w:tr w:rsidR="007933D2" w14:paraId="269733CF"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AD405C8"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551" w:type="dxa"/>
            <w:vAlign w:val="bottom"/>
          </w:tcPr>
          <w:p w14:paraId="62EEC0CA"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701" w:type="dxa"/>
            <w:vAlign w:val="bottom"/>
          </w:tcPr>
          <w:p w14:paraId="7C66FE6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8,81 €</w:t>
            </w:r>
          </w:p>
        </w:tc>
        <w:tc>
          <w:tcPr>
            <w:tcW w:w="1503" w:type="dxa"/>
            <w:vAlign w:val="bottom"/>
          </w:tcPr>
          <w:p w14:paraId="163A299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4,3%</w:t>
            </w:r>
          </w:p>
        </w:tc>
        <w:tc>
          <w:tcPr>
            <w:tcW w:w="1743" w:type="dxa"/>
            <w:vAlign w:val="bottom"/>
          </w:tcPr>
          <w:p w14:paraId="5059F84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3,4%</w:t>
            </w:r>
          </w:p>
        </w:tc>
      </w:tr>
      <w:tr w:rsidR="007933D2" w14:paraId="7DA83503"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1AB4885"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551" w:type="dxa"/>
            <w:vAlign w:val="bottom"/>
          </w:tcPr>
          <w:p w14:paraId="7309D242"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701" w:type="dxa"/>
            <w:vAlign w:val="bottom"/>
          </w:tcPr>
          <w:p w14:paraId="5AD413C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8,95 €</w:t>
            </w:r>
          </w:p>
        </w:tc>
        <w:tc>
          <w:tcPr>
            <w:tcW w:w="1503" w:type="dxa"/>
            <w:vAlign w:val="bottom"/>
          </w:tcPr>
          <w:p w14:paraId="150899F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4,1%</w:t>
            </w:r>
          </w:p>
        </w:tc>
        <w:tc>
          <w:tcPr>
            <w:tcW w:w="1743" w:type="dxa"/>
            <w:vAlign w:val="bottom"/>
          </w:tcPr>
          <w:p w14:paraId="06080B5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w:t>
            </w:r>
          </w:p>
        </w:tc>
      </w:tr>
      <w:tr w:rsidR="007933D2" w14:paraId="29C1EF98"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906B292"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551" w:type="dxa"/>
            <w:vAlign w:val="bottom"/>
          </w:tcPr>
          <w:p w14:paraId="50FD55E4"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701" w:type="dxa"/>
            <w:vAlign w:val="bottom"/>
          </w:tcPr>
          <w:p w14:paraId="21D4F74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14,90 €</w:t>
            </w:r>
          </w:p>
        </w:tc>
        <w:tc>
          <w:tcPr>
            <w:tcW w:w="1503" w:type="dxa"/>
            <w:vAlign w:val="bottom"/>
          </w:tcPr>
          <w:p w14:paraId="021F246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4,1%</w:t>
            </w:r>
          </w:p>
        </w:tc>
        <w:tc>
          <w:tcPr>
            <w:tcW w:w="1743" w:type="dxa"/>
            <w:vAlign w:val="bottom"/>
          </w:tcPr>
          <w:p w14:paraId="7FC4537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w:t>
            </w:r>
          </w:p>
        </w:tc>
      </w:tr>
      <w:tr w:rsidR="007933D2" w14:paraId="0A6FF12D"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0116706"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vAlign w:val="bottom"/>
          </w:tcPr>
          <w:p w14:paraId="06AA0BA1"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701" w:type="dxa"/>
            <w:vAlign w:val="bottom"/>
          </w:tcPr>
          <w:p w14:paraId="448CC6A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19,66 €</w:t>
            </w:r>
          </w:p>
        </w:tc>
        <w:tc>
          <w:tcPr>
            <w:tcW w:w="1503" w:type="dxa"/>
            <w:vAlign w:val="bottom"/>
          </w:tcPr>
          <w:p w14:paraId="67AEB49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3,5%</w:t>
            </w:r>
          </w:p>
        </w:tc>
        <w:tc>
          <w:tcPr>
            <w:tcW w:w="1743" w:type="dxa"/>
            <w:vAlign w:val="bottom"/>
          </w:tcPr>
          <w:p w14:paraId="3453B5B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w:t>
            </w:r>
          </w:p>
        </w:tc>
      </w:tr>
      <w:tr w:rsidR="007933D2" w14:paraId="02786B35"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383F2D7"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551" w:type="dxa"/>
            <w:vAlign w:val="bottom"/>
          </w:tcPr>
          <w:p w14:paraId="7807CB03"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701" w:type="dxa"/>
            <w:vAlign w:val="bottom"/>
          </w:tcPr>
          <w:p w14:paraId="5E04390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8,80 €</w:t>
            </w:r>
          </w:p>
        </w:tc>
        <w:tc>
          <w:tcPr>
            <w:tcW w:w="1503" w:type="dxa"/>
            <w:vAlign w:val="bottom"/>
          </w:tcPr>
          <w:p w14:paraId="630CED5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3,3%</w:t>
            </w:r>
          </w:p>
        </w:tc>
        <w:tc>
          <w:tcPr>
            <w:tcW w:w="1743" w:type="dxa"/>
            <w:vAlign w:val="bottom"/>
          </w:tcPr>
          <w:p w14:paraId="01FA82C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w:t>
            </w:r>
          </w:p>
        </w:tc>
      </w:tr>
      <w:tr w:rsidR="007933D2" w14:paraId="65FD1DAA"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0B59257"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51" w:type="dxa"/>
            <w:vAlign w:val="bottom"/>
          </w:tcPr>
          <w:p w14:paraId="30BC0C63"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701" w:type="dxa"/>
            <w:vAlign w:val="bottom"/>
          </w:tcPr>
          <w:p w14:paraId="3933FCA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11,83 €</w:t>
            </w:r>
          </w:p>
        </w:tc>
        <w:tc>
          <w:tcPr>
            <w:tcW w:w="1503" w:type="dxa"/>
            <w:vAlign w:val="bottom"/>
          </w:tcPr>
          <w:p w14:paraId="1A7109A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3,0%</w:t>
            </w:r>
          </w:p>
        </w:tc>
        <w:tc>
          <w:tcPr>
            <w:tcW w:w="1743" w:type="dxa"/>
            <w:vAlign w:val="bottom"/>
          </w:tcPr>
          <w:p w14:paraId="7D8B59B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w:t>
            </w:r>
          </w:p>
        </w:tc>
      </w:tr>
      <w:tr w:rsidR="007933D2" w14:paraId="0341960C"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A67E37E"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551" w:type="dxa"/>
            <w:vAlign w:val="bottom"/>
          </w:tcPr>
          <w:p w14:paraId="3E8F1F5B"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701" w:type="dxa"/>
            <w:vAlign w:val="bottom"/>
          </w:tcPr>
          <w:p w14:paraId="13B2C3F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9,87 €</w:t>
            </w:r>
          </w:p>
        </w:tc>
        <w:tc>
          <w:tcPr>
            <w:tcW w:w="1503" w:type="dxa"/>
            <w:vAlign w:val="bottom"/>
          </w:tcPr>
          <w:p w14:paraId="4C13E53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3,0%</w:t>
            </w:r>
          </w:p>
        </w:tc>
        <w:tc>
          <w:tcPr>
            <w:tcW w:w="1743" w:type="dxa"/>
            <w:vAlign w:val="bottom"/>
          </w:tcPr>
          <w:p w14:paraId="324E5C8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w:t>
            </w:r>
          </w:p>
        </w:tc>
      </w:tr>
      <w:tr w:rsidR="007933D2" w14:paraId="3762C9F3"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625F167"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551" w:type="dxa"/>
            <w:vAlign w:val="bottom"/>
          </w:tcPr>
          <w:p w14:paraId="78AAA1E2"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701" w:type="dxa"/>
            <w:vAlign w:val="bottom"/>
          </w:tcPr>
          <w:p w14:paraId="4511450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7,97 €</w:t>
            </w:r>
          </w:p>
        </w:tc>
        <w:tc>
          <w:tcPr>
            <w:tcW w:w="1503" w:type="dxa"/>
            <w:vAlign w:val="bottom"/>
          </w:tcPr>
          <w:p w14:paraId="42927B8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w:t>
            </w:r>
          </w:p>
        </w:tc>
        <w:tc>
          <w:tcPr>
            <w:tcW w:w="1743" w:type="dxa"/>
            <w:vAlign w:val="bottom"/>
          </w:tcPr>
          <w:p w14:paraId="089AD82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w:t>
            </w:r>
          </w:p>
        </w:tc>
      </w:tr>
      <w:tr w:rsidR="007933D2" w14:paraId="33C37C6E"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3EA4631"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vAlign w:val="bottom"/>
          </w:tcPr>
          <w:p w14:paraId="2D93BA9E"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701" w:type="dxa"/>
            <w:vAlign w:val="bottom"/>
          </w:tcPr>
          <w:p w14:paraId="176AF9B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10,38 €</w:t>
            </w:r>
          </w:p>
        </w:tc>
        <w:tc>
          <w:tcPr>
            <w:tcW w:w="1503" w:type="dxa"/>
            <w:vAlign w:val="bottom"/>
          </w:tcPr>
          <w:p w14:paraId="7DF9E14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2,4%</w:t>
            </w:r>
          </w:p>
        </w:tc>
        <w:tc>
          <w:tcPr>
            <w:tcW w:w="1743" w:type="dxa"/>
            <w:vAlign w:val="bottom"/>
          </w:tcPr>
          <w:p w14:paraId="764442C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w:t>
            </w:r>
          </w:p>
        </w:tc>
      </w:tr>
      <w:tr w:rsidR="007933D2" w14:paraId="234C7EA1"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D894639"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551" w:type="dxa"/>
            <w:vAlign w:val="bottom"/>
          </w:tcPr>
          <w:p w14:paraId="4657F6BD"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701" w:type="dxa"/>
            <w:vAlign w:val="bottom"/>
          </w:tcPr>
          <w:p w14:paraId="37A1783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11,41 €</w:t>
            </w:r>
          </w:p>
        </w:tc>
        <w:tc>
          <w:tcPr>
            <w:tcW w:w="1503" w:type="dxa"/>
            <w:vAlign w:val="bottom"/>
          </w:tcPr>
          <w:p w14:paraId="488DC1B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w:t>
            </w:r>
          </w:p>
        </w:tc>
        <w:tc>
          <w:tcPr>
            <w:tcW w:w="1743" w:type="dxa"/>
            <w:vAlign w:val="bottom"/>
          </w:tcPr>
          <w:p w14:paraId="014DDE0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w:t>
            </w:r>
          </w:p>
        </w:tc>
      </w:tr>
      <w:tr w:rsidR="007933D2" w14:paraId="200717B8"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8A29B2A"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vAlign w:val="bottom"/>
          </w:tcPr>
          <w:p w14:paraId="212773D6"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701" w:type="dxa"/>
            <w:vAlign w:val="bottom"/>
          </w:tcPr>
          <w:p w14:paraId="0193A52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8,48 €</w:t>
            </w:r>
          </w:p>
        </w:tc>
        <w:tc>
          <w:tcPr>
            <w:tcW w:w="1503" w:type="dxa"/>
            <w:vAlign w:val="bottom"/>
          </w:tcPr>
          <w:p w14:paraId="183446F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w:t>
            </w:r>
          </w:p>
        </w:tc>
        <w:tc>
          <w:tcPr>
            <w:tcW w:w="1743" w:type="dxa"/>
            <w:vAlign w:val="bottom"/>
          </w:tcPr>
          <w:p w14:paraId="2892BA7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r>
      <w:tr w:rsidR="007933D2" w14:paraId="6C7ADA55"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B25B271"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vAlign w:val="bottom"/>
          </w:tcPr>
          <w:p w14:paraId="003B6AEA"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701" w:type="dxa"/>
            <w:vAlign w:val="bottom"/>
          </w:tcPr>
          <w:p w14:paraId="0281445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9,48 €</w:t>
            </w:r>
          </w:p>
        </w:tc>
        <w:tc>
          <w:tcPr>
            <w:tcW w:w="1503" w:type="dxa"/>
            <w:vAlign w:val="bottom"/>
          </w:tcPr>
          <w:p w14:paraId="3426787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c>
          <w:tcPr>
            <w:tcW w:w="1743" w:type="dxa"/>
            <w:vAlign w:val="bottom"/>
          </w:tcPr>
          <w:p w14:paraId="42E87FC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r>
      <w:tr w:rsidR="007933D2" w14:paraId="52D9E9D9"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016D9BA"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47AB8F4F"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701" w:type="dxa"/>
            <w:vAlign w:val="bottom"/>
          </w:tcPr>
          <w:p w14:paraId="1BA5A24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17,52 €</w:t>
            </w:r>
          </w:p>
        </w:tc>
        <w:tc>
          <w:tcPr>
            <w:tcW w:w="1503" w:type="dxa"/>
            <w:vAlign w:val="bottom"/>
          </w:tcPr>
          <w:p w14:paraId="3C4ED90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w:t>
            </w:r>
          </w:p>
        </w:tc>
        <w:tc>
          <w:tcPr>
            <w:tcW w:w="1743" w:type="dxa"/>
            <w:vAlign w:val="bottom"/>
          </w:tcPr>
          <w:p w14:paraId="37E7CE1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12,3%</w:t>
            </w:r>
          </w:p>
        </w:tc>
      </w:tr>
      <w:tr w:rsidR="007933D2" w14:paraId="0DEE8AFB"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CED0B18"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7CCF4259"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701" w:type="dxa"/>
            <w:vAlign w:val="bottom"/>
          </w:tcPr>
          <w:p w14:paraId="36315E1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21,33 €</w:t>
            </w:r>
          </w:p>
        </w:tc>
        <w:tc>
          <w:tcPr>
            <w:tcW w:w="1503" w:type="dxa"/>
            <w:vAlign w:val="bottom"/>
          </w:tcPr>
          <w:p w14:paraId="1EF3B20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c>
          <w:tcPr>
            <w:tcW w:w="1743" w:type="dxa"/>
            <w:vAlign w:val="bottom"/>
          </w:tcPr>
          <w:p w14:paraId="0601CBA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w:t>
            </w:r>
          </w:p>
        </w:tc>
      </w:tr>
      <w:tr w:rsidR="007933D2" w14:paraId="009B6568"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3567356"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551" w:type="dxa"/>
            <w:vAlign w:val="bottom"/>
          </w:tcPr>
          <w:p w14:paraId="76936DE6"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701" w:type="dxa"/>
            <w:vAlign w:val="bottom"/>
          </w:tcPr>
          <w:p w14:paraId="10EC119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8,82 €</w:t>
            </w:r>
          </w:p>
        </w:tc>
        <w:tc>
          <w:tcPr>
            <w:tcW w:w="1503" w:type="dxa"/>
            <w:vAlign w:val="bottom"/>
          </w:tcPr>
          <w:p w14:paraId="4B6B52E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w:t>
            </w:r>
          </w:p>
        </w:tc>
        <w:tc>
          <w:tcPr>
            <w:tcW w:w="1743" w:type="dxa"/>
            <w:vAlign w:val="bottom"/>
          </w:tcPr>
          <w:p w14:paraId="6F573BB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r>
      <w:tr w:rsidR="007933D2" w14:paraId="13597A29"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48DEC9E"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551" w:type="dxa"/>
            <w:vAlign w:val="bottom"/>
          </w:tcPr>
          <w:p w14:paraId="33BB5F30"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01" w:type="dxa"/>
            <w:vAlign w:val="bottom"/>
          </w:tcPr>
          <w:p w14:paraId="363F880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7,32 €</w:t>
            </w:r>
          </w:p>
        </w:tc>
        <w:tc>
          <w:tcPr>
            <w:tcW w:w="1503" w:type="dxa"/>
            <w:vAlign w:val="bottom"/>
          </w:tcPr>
          <w:p w14:paraId="3E53763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w:t>
            </w:r>
          </w:p>
        </w:tc>
        <w:tc>
          <w:tcPr>
            <w:tcW w:w="1743" w:type="dxa"/>
            <w:vAlign w:val="bottom"/>
          </w:tcPr>
          <w:p w14:paraId="22EA58B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r>
      <w:tr w:rsidR="007933D2" w14:paraId="68AAA9E2"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AB03409"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551" w:type="dxa"/>
            <w:vAlign w:val="bottom"/>
          </w:tcPr>
          <w:p w14:paraId="04C91F81"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701" w:type="dxa"/>
            <w:vAlign w:val="bottom"/>
          </w:tcPr>
          <w:p w14:paraId="32CA505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11,85 €</w:t>
            </w:r>
          </w:p>
        </w:tc>
        <w:tc>
          <w:tcPr>
            <w:tcW w:w="1503" w:type="dxa"/>
            <w:vAlign w:val="bottom"/>
          </w:tcPr>
          <w:p w14:paraId="1679B19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w:t>
            </w:r>
          </w:p>
        </w:tc>
        <w:tc>
          <w:tcPr>
            <w:tcW w:w="1743" w:type="dxa"/>
            <w:vAlign w:val="bottom"/>
          </w:tcPr>
          <w:p w14:paraId="559FA5D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r>
      <w:tr w:rsidR="007933D2" w14:paraId="1A709A37"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6442F72"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551" w:type="dxa"/>
            <w:vAlign w:val="bottom"/>
          </w:tcPr>
          <w:p w14:paraId="30DD1B48"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701" w:type="dxa"/>
            <w:vAlign w:val="bottom"/>
          </w:tcPr>
          <w:p w14:paraId="2D6C5E2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8,22 €</w:t>
            </w:r>
          </w:p>
        </w:tc>
        <w:tc>
          <w:tcPr>
            <w:tcW w:w="1503" w:type="dxa"/>
            <w:vAlign w:val="bottom"/>
          </w:tcPr>
          <w:p w14:paraId="3165564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w:t>
            </w:r>
          </w:p>
        </w:tc>
        <w:tc>
          <w:tcPr>
            <w:tcW w:w="1743" w:type="dxa"/>
            <w:vAlign w:val="bottom"/>
          </w:tcPr>
          <w:p w14:paraId="17AB1C7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r>
      <w:tr w:rsidR="007933D2" w14:paraId="46DEEE07"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CD8E94C"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551" w:type="dxa"/>
            <w:vAlign w:val="bottom"/>
          </w:tcPr>
          <w:p w14:paraId="587B0716"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701" w:type="dxa"/>
            <w:vAlign w:val="bottom"/>
          </w:tcPr>
          <w:p w14:paraId="02CBC83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12,33 €</w:t>
            </w:r>
          </w:p>
        </w:tc>
        <w:tc>
          <w:tcPr>
            <w:tcW w:w="1503" w:type="dxa"/>
            <w:vAlign w:val="bottom"/>
          </w:tcPr>
          <w:p w14:paraId="5ECC84B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w:t>
            </w:r>
          </w:p>
        </w:tc>
        <w:tc>
          <w:tcPr>
            <w:tcW w:w="1743" w:type="dxa"/>
            <w:vAlign w:val="bottom"/>
          </w:tcPr>
          <w:p w14:paraId="670BB30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w:t>
            </w:r>
          </w:p>
        </w:tc>
      </w:tr>
      <w:tr w:rsidR="007933D2" w14:paraId="73892FA1"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15E5303"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551" w:type="dxa"/>
            <w:vAlign w:val="bottom"/>
          </w:tcPr>
          <w:p w14:paraId="4AA39D70"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01" w:type="dxa"/>
            <w:vAlign w:val="bottom"/>
          </w:tcPr>
          <w:p w14:paraId="01DBBB9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7,42 €</w:t>
            </w:r>
          </w:p>
        </w:tc>
        <w:tc>
          <w:tcPr>
            <w:tcW w:w="1503" w:type="dxa"/>
            <w:vAlign w:val="bottom"/>
          </w:tcPr>
          <w:p w14:paraId="65B7500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0,7%</w:t>
            </w:r>
          </w:p>
        </w:tc>
        <w:tc>
          <w:tcPr>
            <w:tcW w:w="1743" w:type="dxa"/>
            <w:vAlign w:val="bottom"/>
          </w:tcPr>
          <w:p w14:paraId="4486697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w:t>
            </w:r>
          </w:p>
        </w:tc>
      </w:tr>
      <w:tr w:rsidR="007933D2" w14:paraId="2E31EAF4"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0F52A2C"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551" w:type="dxa"/>
            <w:vAlign w:val="bottom"/>
          </w:tcPr>
          <w:p w14:paraId="085FCF67"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701" w:type="dxa"/>
            <w:vAlign w:val="bottom"/>
          </w:tcPr>
          <w:p w14:paraId="5EA447C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9,76 €</w:t>
            </w:r>
          </w:p>
        </w:tc>
        <w:tc>
          <w:tcPr>
            <w:tcW w:w="1503" w:type="dxa"/>
            <w:vAlign w:val="bottom"/>
          </w:tcPr>
          <w:p w14:paraId="5F639C2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0,6%</w:t>
            </w:r>
          </w:p>
        </w:tc>
        <w:tc>
          <w:tcPr>
            <w:tcW w:w="1743" w:type="dxa"/>
            <w:vAlign w:val="bottom"/>
          </w:tcPr>
          <w:p w14:paraId="0B6B4B3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w:t>
            </w:r>
          </w:p>
        </w:tc>
      </w:tr>
      <w:tr w:rsidR="007933D2" w14:paraId="3B89141E"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C0F6849"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551" w:type="dxa"/>
            <w:vAlign w:val="bottom"/>
          </w:tcPr>
          <w:p w14:paraId="0620839A"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701" w:type="dxa"/>
            <w:vAlign w:val="bottom"/>
          </w:tcPr>
          <w:p w14:paraId="28655E9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10,19 €</w:t>
            </w:r>
          </w:p>
        </w:tc>
        <w:tc>
          <w:tcPr>
            <w:tcW w:w="1503" w:type="dxa"/>
            <w:vAlign w:val="bottom"/>
          </w:tcPr>
          <w:p w14:paraId="53E9E6A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0,0%</w:t>
            </w:r>
          </w:p>
        </w:tc>
        <w:tc>
          <w:tcPr>
            <w:tcW w:w="1743" w:type="dxa"/>
            <w:vAlign w:val="bottom"/>
          </w:tcPr>
          <w:p w14:paraId="4F423F7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16,9%</w:t>
            </w:r>
          </w:p>
        </w:tc>
      </w:tr>
      <w:tr w:rsidR="007933D2" w14:paraId="4B09285C"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4D5879C"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551" w:type="dxa"/>
            <w:vAlign w:val="bottom"/>
          </w:tcPr>
          <w:p w14:paraId="5EC034CD"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701" w:type="dxa"/>
            <w:vAlign w:val="bottom"/>
          </w:tcPr>
          <w:p w14:paraId="0EB6811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14,53 €</w:t>
            </w:r>
          </w:p>
        </w:tc>
        <w:tc>
          <w:tcPr>
            <w:tcW w:w="1503" w:type="dxa"/>
            <w:vAlign w:val="bottom"/>
          </w:tcPr>
          <w:p w14:paraId="0A839A1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-0,1%</w:t>
            </w:r>
          </w:p>
        </w:tc>
        <w:tc>
          <w:tcPr>
            <w:tcW w:w="1743" w:type="dxa"/>
            <w:vAlign w:val="bottom"/>
          </w:tcPr>
          <w:p w14:paraId="75BC11F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w:t>
            </w:r>
          </w:p>
        </w:tc>
      </w:tr>
      <w:tr w:rsidR="007933D2" w14:paraId="6ECF0816"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95E3B25"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551" w:type="dxa"/>
            <w:vAlign w:val="bottom"/>
          </w:tcPr>
          <w:p w14:paraId="6F0FDF98"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701" w:type="dxa"/>
            <w:vAlign w:val="bottom"/>
          </w:tcPr>
          <w:p w14:paraId="4F01AC4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7,05 €</w:t>
            </w:r>
          </w:p>
        </w:tc>
        <w:tc>
          <w:tcPr>
            <w:tcW w:w="1503" w:type="dxa"/>
            <w:vAlign w:val="bottom"/>
          </w:tcPr>
          <w:p w14:paraId="0E3BD6F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-1,9%</w:t>
            </w:r>
          </w:p>
        </w:tc>
        <w:tc>
          <w:tcPr>
            <w:tcW w:w="1743" w:type="dxa"/>
            <w:vAlign w:val="bottom"/>
          </w:tcPr>
          <w:p w14:paraId="28B2CF7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13,0%</w:t>
            </w:r>
          </w:p>
        </w:tc>
      </w:tr>
      <w:tr w:rsidR="007933D2" w14:paraId="3849C8D5"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77622BD"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551" w:type="dxa"/>
            <w:vAlign w:val="bottom"/>
          </w:tcPr>
          <w:p w14:paraId="2A1F721F"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01" w:type="dxa"/>
            <w:vAlign w:val="bottom"/>
          </w:tcPr>
          <w:p w14:paraId="1369D15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15,44 €</w:t>
            </w:r>
          </w:p>
        </w:tc>
        <w:tc>
          <w:tcPr>
            <w:tcW w:w="1503" w:type="dxa"/>
            <w:vAlign w:val="bottom"/>
          </w:tcPr>
          <w:p w14:paraId="5D91251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-2,0%</w:t>
            </w:r>
          </w:p>
        </w:tc>
        <w:tc>
          <w:tcPr>
            <w:tcW w:w="1743" w:type="dxa"/>
            <w:vAlign w:val="bottom"/>
          </w:tcPr>
          <w:p w14:paraId="2449A4F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w:t>
            </w:r>
          </w:p>
        </w:tc>
      </w:tr>
      <w:tr w:rsidR="007933D2" w14:paraId="7B81EB57"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1AA62F5"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551" w:type="dxa"/>
            <w:vAlign w:val="bottom"/>
          </w:tcPr>
          <w:p w14:paraId="00A300BD"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701" w:type="dxa"/>
            <w:vAlign w:val="bottom"/>
          </w:tcPr>
          <w:p w14:paraId="085FFAD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8,48 €</w:t>
            </w:r>
          </w:p>
        </w:tc>
        <w:tc>
          <w:tcPr>
            <w:tcW w:w="1503" w:type="dxa"/>
            <w:vAlign w:val="bottom"/>
          </w:tcPr>
          <w:p w14:paraId="652648E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-2,1%</w:t>
            </w:r>
          </w:p>
        </w:tc>
        <w:tc>
          <w:tcPr>
            <w:tcW w:w="1743" w:type="dxa"/>
            <w:vAlign w:val="bottom"/>
          </w:tcPr>
          <w:p w14:paraId="08C7FEA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w:t>
            </w:r>
          </w:p>
        </w:tc>
      </w:tr>
      <w:tr w:rsidR="007933D2" w14:paraId="50D41811"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22E6729"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551" w:type="dxa"/>
            <w:vAlign w:val="bottom"/>
          </w:tcPr>
          <w:p w14:paraId="093861CB"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701" w:type="dxa"/>
            <w:vAlign w:val="bottom"/>
          </w:tcPr>
          <w:p w14:paraId="530C70A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6,77 €</w:t>
            </w:r>
          </w:p>
        </w:tc>
        <w:tc>
          <w:tcPr>
            <w:tcW w:w="1503" w:type="dxa"/>
            <w:vAlign w:val="bottom"/>
          </w:tcPr>
          <w:p w14:paraId="1F4B851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-2,7%</w:t>
            </w:r>
          </w:p>
        </w:tc>
        <w:tc>
          <w:tcPr>
            <w:tcW w:w="1743" w:type="dxa"/>
            <w:vAlign w:val="bottom"/>
          </w:tcPr>
          <w:p w14:paraId="2F3CF6C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w:t>
            </w:r>
          </w:p>
        </w:tc>
      </w:tr>
      <w:tr w:rsidR="007933D2" w14:paraId="24CD9280"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3AC33F7"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551" w:type="dxa"/>
            <w:vAlign w:val="bottom"/>
          </w:tcPr>
          <w:p w14:paraId="30528B3C"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701" w:type="dxa"/>
            <w:vAlign w:val="bottom"/>
          </w:tcPr>
          <w:p w14:paraId="69B4440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7,49 €</w:t>
            </w:r>
          </w:p>
        </w:tc>
        <w:tc>
          <w:tcPr>
            <w:tcW w:w="1503" w:type="dxa"/>
            <w:vAlign w:val="bottom"/>
          </w:tcPr>
          <w:p w14:paraId="43A39CF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-3,7%</w:t>
            </w:r>
          </w:p>
        </w:tc>
        <w:tc>
          <w:tcPr>
            <w:tcW w:w="1743" w:type="dxa"/>
            <w:vAlign w:val="bottom"/>
          </w:tcPr>
          <w:p w14:paraId="76C954F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r>
      <w:tr w:rsidR="007933D2" w14:paraId="2688F4C5"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D79FB42"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4BA90D1C"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01" w:type="dxa"/>
            <w:vAlign w:val="bottom"/>
          </w:tcPr>
          <w:p w14:paraId="2F68C80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19,33 €</w:t>
            </w:r>
          </w:p>
        </w:tc>
        <w:tc>
          <w:tcPr>
            <w:tcW w:w="1503" w:type="dxa"/>
            <w:vAlign w:val="bottom"/>
          </w:tcPr>
          <w:p w14:paraId="61CDD09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-4,1%</w:t>
            </w:r>
          </w:p>
        </w:tc>
        <w:tc>
          <w:tcPr>
            <w:tcW w:w="1743" w:type="dxa"/>
            <w:vAlign w:val="bottom"/>
          </w:tcPr>
          <w:p w14:paraId="2FC7FED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w:t>
            </w:r>
          </w:p>
        </w:tc>
      </w:tr>
      <w:tr w:rsidR="007933D2" w14:paraId="0E91E291" w14:textId="77777777" w:rsidTr="007933D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F2301E8"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vAlign w:val="bottom"/>
          </w:tcPr>
          <w:p w14:paraId="2D0D010B"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701" w:type="dxa"/>
            <w:vAlign w:val="bottom"/>
          </w:tcPr>
          <w:p w14:paraId="66EDBBD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6,36 €</w:t>
            </w:r>
          </w:p>
        </w:tc>
        <w:tc>
          <w:tcPr>
            <w:tcW w:w="1503" w:type="dxa"/>
            <w:vAlign w:val="bottom"/>
          </w:tcPr>
          <w:p w14:paraId="494D085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-5,8%</w:t>
            </w:r>
          </w:p>
        </w:tc>
        <w:tc>
          <w:tcPr>
            <w:tcW w:w="1743" w:type="dxa"/>
            <w:vAlign w:val="bottom"/>
          </w:tcPr>
          <w:p w14:paraId="2B44EF0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-9,4%</w:t>
            </w:r>
          </w:p>
        </w:tc>
      </w:tr>
      <w:tr w:rsidR="007933D2" w14:paraId="4D4CC7FD" w14:textId="77777777" w:rsidTr="007933D2">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DAD890E"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551" w:type="dxa"/>
            <w:vAlign w:val="bottom"/>
          </w:tcPr>
          <w:p w14:paraId="556F9049"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701" w:type="dxa"/>
            <w:vAlign w:val="bottom"/>
          </w:tcPr>
          <w:p w14:paraId="33FF352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9,04 €</w:t>
            </w:r>
          </w:p>
        </w:tc>
        <w:tc>
          <w:tcPr>
            <w:tcW w:w="1503" w:type="dxa"/>
            <w:vAlign w:val="bottom"/>
          </w:tcPr>
          <w:p w14:paraId="60A81EC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-6,4%</w:t>
            </w:r>
          </w:p>
        </w:tc>
        <w:tc>
          <w:tcPr>
            <w:tcW w:w="1743" w:type="dxa"/>
            <w:vAlign w:val="bottom"/>
          </w:tcPr>
          <w:p w14:paraId="2CB23FF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w:t>
            </w:r>
          </w:p>
        </w:tc>
      </w:tr>
    </w:tbl>
    <w:p w14:paraId="15A105E9" w14:textId="77777777" w:rsidR="007933D2"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4: Municipios de mayor a menor incremento trimestral, interanual y precio</w:t>
      </w:r>
    </w:p>
    <w:tbl>
      <w:tblPr>
        <w:tblStyle w:val="a2"/>
        <w:tblW w:w="89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4"/>
        <w:gridCol w:w="2119"/>
        <w:gridCol w:w="1816"/>
        <w:gridCol w:w="1728"/>
        <w:gridCol w:w="1606"/>
      </w:tblGrid>
      <w:tr w:rsidR="007933D2" w14:paraId="12B51F09" w14:textId="77777777" w:rsidTr="007933D2">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center"/>
          </w:tcPr>
          <w:p w14:paraId="5D6C7CAE" w14:textId="77777777" w:rsidR="007933D2"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119" w:type="dxa"/>
            <w:shd w:val="clear" w:color="auto" w:fill="1DBDC5"/>
            <w:vAlign w:val="center"/>
          </w:tcPr>
          <w:p w14:paraId="25F81287"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16" w:type="dxa"/>
            <w:shd w:val="clear" w:color="auto" w:fill="1DBDC5"/>
          </w:tcPr>
          <w:p w14:paraId="38EB8D6D"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2024 (€/m²)</w:t>
            </w:r>
          </w:p>
        </w:tc>
        <w:tc>
          <w:tcPr>
            <w:tcW w:w="1728" w:type="dxa"/>
            <w:shd w:val="clear" w:color="auto" w:fill="1DBDC5"/>
          </w:tcPr>
          <w:p w14:paraId="3F9D53E8"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11A8C5CC"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606" w:type="dxa"/>
            <w:shd w:val="clear" w:color="auto" w:fill="1DBDC5"/>
          </w:tcPr>
          <w:p w14:paraId="12B8E6C6"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A79EE3A"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933D2" w14:paraId="7BE30CF5" w14:textId="77777777" w:rsidTr="007933D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9744854" w14:textId="77777777" w:rsidR="007933D2" w:rsidRDefault="00000000">
            <w:pPr>
              <w:rPr>
                <w:rFonts w:ascii="Open Sans" w:eastAsia="Open Sans" w:hAnsi="Open Sans" w:cs="Open Sans"/>
              </w:rPr>
            </w:pPr>
            <w:r>
              <w:rPr>
                <w:rFonts w:ascii="Open Sans" w:eastAsia="Open Sans" w:hAnsi="Open Sans" w:cs="Open Sans"/>
                <w:b w:val="0"/>
                <w:sz w:val="22"/>
                <w:szCs w:val="22"/>
              </w:rPr>
              <w:t>Cádiz</w:t>
            </w:r>
          </w:p>
        </w:tc>
        <w:tc>
          <w:tcPr>
            <w:tcW w:w="2119" w:type="dxa"/>
            <w:vAlign w:val="bottom"/>
          </w:tcPr>
          <w:p w14:paraId="0D0790DE"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Sanlúcar de Barrameda</w:t>
            </w:r>
          </w:p>
        </w:tc>
        <w:tc>
          <w:tcPr>
            <w:tcW w:w="1816" w:type="dxa"/>
            <w:vAlign w:val="bottom"/>
          </w:tcPr>
          <w:p w14:paraId="764D39A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12,91 €</w:t>
            </w:r>
          </w:p>
        </w:tc>
        <w:tc>
          <w:tcPr>
            <w:tcW w:w="1728" w:type="dxa"/>
            <w:vAlign w:val="bottom"/>
          </w:tcPr>
          <w:p w14:paraId="0BA9FE4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54,8%</w:t>
            </w:r>
          </w:p>
        </w:tc>
        <w:tc>
          <w:tcPr>
            <w:tcW w:w="1606" w:type="dxa"/>
            <w:vAlign w:val="bottom"/>
          </w:tcPr>
          <w:p w14:paraId="138BF92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34,8%</w:t>
            </w:r>
          </w:p>
        </w:tc>
      </w:tr>
      <w:tr w:rsidR="007933D2" w14:paraId="6F08E8D6" w14:textId="77777777" w:rsidTr="007933D2">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0751C7F" w14:textId="77777777" w:rsidR="007933D2" w:rsidRDefault="00000000">
            <w:pPr>
              <w:rPr>
                <w:rFonts w:ascii="Open Sans" w:eastAsia="Open Sans" w:hAnsi="Open Sans" w:cs="Open Sans"/>
              </w:rPr>
            </w:pPr>
            <w:r>
              <w:rPr>
                <w:rFonts w:ascii="Open Sans" w:eastAsia="Open Sans" w:hAnsi="Open Sans" w:cs="Open Sans"/>
                <w:b w:val="0"/>
                <w:sz w:val="22"/>
                <w:szCs w:val="22"/>
              </w:rPr>
              <w:t>Huelva</w:t>
            </w:r>
          </w:p>
        </w:tc>
        <w:tc>
          <w:tcPr>
            <w:tcW w:w="2119" w:type="dxa"/>
            <w:vAlign w:val="bottom"/>
          </w:tcPr>
          <w:p w14:paraId="37D319F7"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Punta Umbría</w:t>
            </w:r>
          </w:p>
        </w:tc>
        <w:tc>
          <w:tcPr>
            <w:tcW w:w="1816" w:type="dxa"/>
            <w:vAlign w:val="bottom"/>
          </w:tcPr>
          <w:p w14:paraId="3897ECC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12,25 €</w:t>
            </w:r>
          </w:p>
        </w:tc>
        <w:tc>
          <w:tcPr>
            <w:tcW w:w="1728" w:type="dxa"/>
            <w:vAlign w:val="bottom"/>
          </w:tcPr>
          <w:p w14:paraId="376446A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49,6%</w:t>
            </w:r>
          </w:p>
        </w:tc>
        <w:tc>
          <w:tcPr>
            <w:tcW w:w="1606" w:type="dxa"/>
            <w:vAlign w:val="bottom"/>
          </w:tcPr>
          <w:p w14:paraId="1CF7F1E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7933D2" w14:paraId="2BB3E5C6" w14:textId="77777777" w:rsidTr="007933D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3D94E7B" w14:textId="77777777" w:rsidR="007933D2" w:rsidRDefault="00000000">
            <w:pPr>
              <w:rPr>
                <w:rFonts w:ascii="Open Sans" w:eastAsia="Open Sans" w:hAnsi="Open Sans" w:cs="Open Sans"/>
              </w:rPr>
            </w:pPr>
            <w:r>
              <w:rPr>
                <w:rFonts w:ascii="Open Sans" w:eastAsia="Open Sans" w:hAnsi="Open Sans" w:cs="Open Sans"/>
                <w:b w:val="0"/>
                <w:sz w:val="22"/>
                <w:szCs w:val="22"/>
              </w:rPr>
              <w:t>Murcia</w:t>
            </w:r>
          </w:p>
        </w:tc>
        <w:tc>
          <w:tcPr>
            <w:tcW w:w="2119" w:type="dxa"/>
            <w:vAlign w:val="bottom"/>
          </w:tcPr>
          <w:p w14:paraId="02A49E87"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816" w:type="dxa"/>
            <w:vAlign w:val="bottom"/>
          </w:tcPr>
          <w:p w14:paraId="00624C5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10,31 €</w:t>
            </w:r>
          </w:p>
        </w:tc>
        <w:tc>
          <w:tcPr>
            <w:tcW w:w="1728" w:type="dxa"/>
            <w:vAlign w:val="bottom"/>
          </w:tcPr>
          <w:p w14:paraId="5617F21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46,7%</w:t>
            </w:r>
          </w:p>
        </w:tc>
        <w:tc>
          <w:tcPr>
            <w:tcW w:w="1606" w:type="dxa"/>
            <w:vAlign w:val="bottom"/>
          </w:tcPr>
          <w:p w14:paraId="6FAF1B3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-7,2%</w:t>
            </w:r>
          </w:p>
        </w:tc>
      </w:tr>
      <w:tr w:rsidR="007933D2" w14:paraId="6C4CF37F" w14:textId="77777777" w:rsidTr="007933D2">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2F8299D9" w14:textId="77777777" w:rsidR="007933D2" w:rsidRDefault="00000000">
            <w:pPr>
              <w:rPr>
                <w:rFonts w:ascii="Open Sans" w:eastAsia="Open Sans" w:hAnsi="Open Sans" w:cs="Open Sans"/>
              </w:rPr>
            </w:pPr>
            <w:r>
              <w:rPr>
                <w:rFonts w:ascii="Open Sans" w:eastAsia="Open Sans" w:hAnsi="Open Sans" w:cs="Open Sans"/>
                <w:b w:val="0"/>
                <w:sz w:val="22"/>
                <w:szCs w:val="22"/>
              </w:rPr>
              <w:t>Ciudad Real</w:t>
            </w:r>
          </w:p>
        </w:tc>
        <w:tc>
          <w:tcPr>
            <w:tcW w:w="2119" w:type="dxa"/>
            <w:vAlign w:val="bottom"/>
          </w:tcPr>
          <w:p w14:paraId="4054E729"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816" w:type="dxa"/>
            <w:vAlign w:val="bottom"/>
          </w:tcPr>
          <w:p w14:paraId="1434D4C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7,48 €</w:t>
            </w:r>
          </w:p>
        </w:tc>
        <w:tc>
          <w:tcPr>
            <w:tcW w:w="1728" w:type="dxa"/>
            <w:vAlign w:val="bottom"/>
          </w:tcPr>
          <w:p w14:paraId="49D2C72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29,4%</w:t>
            </w:r>
          </w:p>
        </w:tc>
        <w:tc>
          <w:tcPr>
            <w:tcW w:w="1606" w:type="dxa"/>
            <w:vAlign w:val="bottom"/>
          </w:tcPr>
          <w:p w14:paraId="36300C1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34,1%</w:t>
            </w:r>
          </w:p>
        </w:tc>
      </w:tr>
      <w:tr w:rsidR="007933D2" w14:paraId="790947B9" w14:textId="77777777" w:rsidTr="007933D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F2635DD" w14:textId="77777777" w:rsidR="007933D2" w:rsidRDefault="00000000">
            <w:pPr>
              <w:rPr>
                <w:rFonts w:ascii="Open Sans" w:eastAsia="Open Sans" w:hAnsi="Open Sans" w:cs="Open Sans"/>
              </w:rPr>
            </w:pPr>
            <w:r>
              <w:rPr>
                <w:rFonts w:ascii="Open Sans" w:eastAsia="Open Sans" w:hAnsi="Open Sans" w:cs="Open Sans"/>
                <w:b w:val="0"/>
                <w:sz w:val="22"/>
                <w:szCs w:val="22"/>
              </w:rPr>
              <w:t>Almería</w:t>
            </w:r>
          </w:p>
        </w:tc>
        <w:tc>
          <w:tcPr>
            <w:tcW w:w="2119" w:type="dxa"/>
            <w:vAlign w:val="bottom"/>
          </w:tcPr>
          <w:p w14:paraId="57ED3A52"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816" w:type="dxa"/>
            <w:vAlign w:val="bottom"/>
          </w:tcPr>
          <w:p w14:paraId="42E3503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10,71 €</w:t>
            </w:r>
          </w:p>
        </w:tc>
        <w:tc>
          <w:tcPr>
            <w:tcW w:w="1728" w:type="dxa"/>
            <w:vAlign w:val="bottom"/>
          </w:tcPr>
          <w:p w14:paraId="2589A540"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28,1%</w:t>
            </w:r>
          </w:p>
        </w:tc>
        <w:tc>
          <w:tcPr>
            <w:tcW w:w="1606" w:type="dxa"/>
            <w:vAlign w:val="bottom"/>
          </w:tcPr>
          <w:p w14:paraId="2C955C7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r>
      <w:tr w:rsidR="007933D2" w14:paraId="68ECA800" w14:textId="77777777" w:rsidTr="007933D2">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74118621" w14:textId="77777777" w:rsidR="007933D2" w:rsidRDefault="00000000">
            <w:pPr>
              <w:rPr>
                <w:rFonts w:ascii="Open Sans" w:eastAsia="Open Sans" w:hAnsi="Open Sans" w:cs="Open Sans"/>
              </w:rPr>
            </w:pPr>
            <w:r>
              <w:rPr>
                <w:rFonts w:ascii="Open Sans" w:eastAsia="Open Sans" w:hAnsi="Open Sans" w:cs="Open Sans"/>
                <w:b w:val="0"/>
                <w:sz w:val="22"/>
                <w:szCs w:val="22"/>
              </w:rPr>
              <w:t>Murcia</w:t>
            </w:r>
          </w:p>
        </w:tc>
        <w:tc>
          <w:tcPr>
            <w:tcW w:w="2119" w:type="dxa"/>
            <w:vAlign w:val="bottom"/>
          </w:tcPr>
          <w:p w14:paraId="5F539EFD"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Manga del Mar Menor</w:t>
            </w:r>
          </w:p>
        </w:tc>
        <w:tc>
          <w:tcPr>
            <w:tcW w:w="1816" w:type="dxa"/>
            <w:vAlign w:val="bottom"/>
          </w:tcPr>
          <w:p w14:paraId="26074B9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13,18 €</w:t>
            </w:r>
          </w:p>
        </w:tc>
        <w:tc>
          <w:tcPr>
            <w:tcW w:w="1728" w:type="dxa"/>
            <w:vAlign w:val="bottom"/>
          </w:tcPr>
          <w:p w14:paraId="00ECC1F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23,9%</w:t>
            </w:r>
          </w:p>
        </w:tc>
        <w:tc>
          <w:tcPr>
            <w:tcW w:w="1606" w:type="dxa"/>
            <w:vAlign w:val="bottom"/>
          </w:tcPr>
          <w:p w14:paraId="15DA0B3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-6,9%</w:t>
            </w:r>
          </w:p>
        </w:tc>
      </w:tr>
      <w:tr w:rsidR="007933D2" w14:paraId="185E4823" w14:textId="77777777" w:rsidTr="007933D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9F5F2BC" w14:textId="77777777" w:rsidR="007933D2" w:rsidRDefault="00000000">
            <w:pPr>
              <w:rPr>
                <w:rFonts w:ascii="Open Sans" w:eastAsia="Open Sans" w:hAnsi="Open Sans" w:cs="Open Sans"/>
              </w:rPr>
            </w:pPr>
            <w:r>
              <w:rPr>
                <w:rFonts w:ascii="Open Sans" w:eastAsia="Open Sans" w:hAnsi="Open Sans" w:cs="Open Sans"/>
                <w:b w:val="0"/>
                <w:sz w:val="22"/>
                <w:szCs w:val="22"/>
              </w:rPr>
              <w:t>Cantabria</w:t>
            </w:r>
          </w:p>
        </w:tc>
        <w:tc>
          <w:tcPr>
            <w:tcW w:w="2119" w:type="dxa"/>
            <w:vAlign w:val="bottom"/>
          </w:tcPr>
          <w:p w14:paraId="4B6DF9A7"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816" w:type="dxa"/>
            <w:vAlign w:val="bottom"/>
          </w:tcPr>
          <w:p w14:paraId="550F4FF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12,32 €</w:t>
            </w:r>
          </w:p>
        </w:tc>
        <w:tc>
          <w:tcPr>
            <w:tcW w:w="1728" w:type="dxa"/>
            <w:vAlign w:val="bottom"/>
          </w:tcPr>
          <w:p w14:paraId="477B777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17,7%</w:t>
            </w:r>
          </w:p>
        </w:tc>
        <w:tc>
          <w:tcPr>
            <w:tcW w:w="1606" w:type="dxa"/>
            <w:vAlign w:val="bottom"/>
          </w:tcPr>
          <w:p w14:paraId="66A30E0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9,2%</w:t>
            </w:r>
          </w:p>
        </w:tc>
      </w:tr>
      <w:tr w:rsidR="007933D2" w14:paraId="33ED2A0C" w14:textId="77777777" w:rsidTr="007933D2">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74022A86" w14:textId="77777777" w:rsidR="007933D2" w:rsidRDefault="00000000">
            <w:pPr>
              <w:rPr>
                <w:rFonts w:ascii="Open Sans" w:eastAsia="Open Sans" w:hAnsi="Open Sans" w:cs="Open Sans"/>
              </w:rPr>
            </w:pPr>
            <w:r>
              <w:rPr>
                <w:rFonts w:ascii="Open Sans" w:eastAsia="Open Sans" w:hAnsi="Open Sans" w:cs="Open Sans"/>
                <w:b w:val="0"/>
                <w:sz w:val="22"/>
                <w:szCs w:val="22"/>
              </w:rPr>
              <w:t>Cádiz</w:t>
            </w:r>
          </w:p>
        </w:tc>
        <w:tc>
          <w:tcPr>
            <w:tcW w:w="2119" w:type="dxa"/>
            <w:vAlign w:val="bottom"/>
          </w:tcPr>
          <w:p w14:paraId="12263F48"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Chiclana de la Frontera</w:t>
            </w:r>
          </w:p>
        </w:tc>
        <w:tc>
          <w:tcPr>
            <w:tcW w:w="1816" w:type="dxa"/>
            <w:vAlign w:val="bottom"/>
          </w:tcPr>
          <w:p w14:paraId="6056768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9,28 €</w:t>
            </w:r>
          </w:p>
        </w:tc>
        <w:tc>
          <w:tcPr>
            <w:tcW w:w="1728" w:type="dxa"/>
            <w:vAlign w:val="bottom"/>
          </w:tcPr>
          <w:p w14:paraId="700D52C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14,3%</w:t>
            </w:r>
          </w:p>
        </w:tc>
        <w:tc>
          <w:tcPr>
            <w:tcW w:w="1606" w:type="dxa"/>
            <w:vAlign w:val="bottom"/>
          </w:tcPr>
          <w:p w14:paraId="4A2CCE2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17,9%</w:t>
            </w:r>
          </w:p>
        </w:tc>
      </w:tr>
      <w:tr w:rsidR="007933D2" w14:paraId="15EE8EA0" w14:textId="77777777" w:rsidTr="007933D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2C72E893" w14:textId="77777777" w:rsidR="007933D2" w:rsidRDefault="00000000">
            <w:pPr>
              <w:rPr>
                <w:rFonts w:ascii="Open Sans" w:eastAsia="Open Sans" w:hAnsi="Open Sans" w:cs="Open Sans"/>
              </w:rPr>
            </w:pPr>
            <w:r>
              <w:rPr>
                <w:rFonts w:ascii="Open Sans" w:eastAsia="Open Sans" w:hAnsi="Open Sans" w:cs="Open Sans"/>
                <w:b w:val="0"/>
                <w:sz w:val="22"/>
                <w:szCs w:val="22"/>
              </w:rPr>
              <w:t>Alicante</w:t>
            </w:r>
          </w:p>
        </w:tc>
        <w:tc>
          <w:tcPr>
            <w:tcW w:w="2119" w:type="dxa"/>
            <w:vAlign w:val="bottom"/>
          </w:tcPr>
          <w:p w14:paraId="4F511D8D"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Pola</w:t>
            </w:r>
          </w:p>
        </w:tc>
        <w:tc>
          <w:tcPr>
            <w:tcW w:w="1816" w:type="dxa"/>
            <w:vAlign w:val="bottom"/>
          </w:tcPr>
          <w:p w14:paraId="75E7955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13,50 €</w:t>
            </w:r>
          </w:p>
        </w:tc>
        <w:tc>
          <w:tcPr>
            <w:tcW w:w="1728" w:type="dxa"/>
            <w:vAlign w:val="bottom"/>
          </w:tcPr>
          <w:p w14:paraId="505A2D9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12,0%</w:t>
            </w:r>
          </w:p>
        </w:tc>
        <w:tc>
          <w:tcPr>
            <w:tcW w:w="1606" w:type="dxa"/>
            <w:vAlign w:val="bottom"/>
          </w:tcPr>
          <w:p w14:paraId="2E949A4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18,4%</w:t>
            </w:r>
          </w:p>
        </w:tc>
      </w:tr>
      <w:tr w:rsidR="007933D2" w14:paraId="2C411FA3" w14:textId="77777777" w:rsidTr="007933D2">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7BE24FE3" w14:textId="77777777" w:rsidR="007933D2" w:rsidRDefault="00000000">
            <w:pPr>
              <w:rPr>
                <w:rFonts w:ascii="Open Sans" w:eastAsia="Open Sans" w:hAnsi="Open Sans" w:cs="Open Sans"/>
              </w:rPr>
            </w:pPr>
            <w:r>
              <w:rPr>
                <w:rFonts w:ascii="Open Sans" w:eastAsia="Open Sans" w:hAnsi="Open Sans" w:cs="Open Sans"/>
                <w:b w:val="0"/>
                <w:sz w:val="22"/>
                <w:szCs w:val="22"/>
              </w:rPr>
              <w:t>Castellón</w:t>
            </w:r>
          </w:p>
        </w:tc>
        <w:tc>
          <w:tcPr>
            <w:tcW w:w="2119" w:type="dxa"/>
            <w:vAlign w:val="bottom"/>
          </w:tcPr>
          <w:p w14:paraId="341FA769"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Oropesa del Mar / Orpesa</w:t>
            </w:r>
          </w:p>
        </w:tc>
        <w:tc>
          <w:tcPr>
            <w:tcW w:w="1816" w:type="dxa"/>
            <w:vAlign w:val="bottom"/>
          </w:tcPr>
          <w:p w14:paraId="3D66290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9,60 €</w:t>
            </w:r>
          </w:p>
        </w:tc>
        <w:tc>
          <w:tcPr>
            <w:tcW w:w="1728" w:type="dxa"/>
            <w:vAlign w:val="bottom"/>
          </w:tcPr>
          <w:p w14:paraId="133FFE9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11,2%</w:t>
            </w:r>
          </w:p>
        </w:tc>
        <w:tc>
          <w:tcPr>
            <w:tcW w:w="1606" w:type="dxa"/>
            <w:vAlign w:val="bottom"/>
          </w:tcPr>
          <w:p w14:paraId="191741B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bl>
    <w:p w14:paraId="59678A5A" w14:textId="77777777" w:rsidR="007933D2"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Municipios de mayor descenso trimestral, interanual y precio</w:t>
      </w:r>
    </w:p>
    <w:tbl>
      <w:tblPr>
        <w:tblStyle w:val="a3"/>
        <w:tblW w:w="90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87"/>
        <w:gridCol w:w="2189"/>
        <w:gridCol w:w="1868"/>
        <w:gridCol w:w="1869"/>
        <w:gridCol w:w="1411"/>
      </w:tblGrid>
      <w:tr w:rsidR="007933D2" w14:paraId="578FD2CA" w14:textId="77777777" w:rsidTr="007933D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center"/>
          </w:tcPr>
          <w:p w14:paraId="74338C3D" w14:textId="77777777" w:rsidR="007933D2"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189" w:type="dxa"/>
            <w:shd w:val="clear" w:color="auto" w:fill="1DBDC5"/>
            <w:vAlign w:val="center"/>
          </w:tcPr>
          <w:p w14:paraId="7897EF6D"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68" w:type="dxa"/>
            <w:shd w:val="clear" w:color="auto" w:fill="1DBDC5"/>
          </w:tcPr>
          <w:p w14:paraId="77C91EC2"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2024 (€/m²)</w:t>
            </w:r>
          </w:p>
        </w:tc>
        <w:tc>
          <w:tcPr>
            <w:tcW w:w="1869" w:type="dxa"/>
            <w:shd w:val="clear" w:color="auto" w:fill="1DBDC5"/>
          </w:tcPr>
          <w:p w14:paraId="79ADE38C"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1EFF616E"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411" w:type="dxa"/>
            <w:shd w:val="clear" w:color="auto" w:fill="1DBDC5"/>
          </w:tcPr>
          <w:p w14:paraId="46497E45"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C7DF795"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933D2" w14:paraId="7F041ABE"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3966A0C" w14:textId="77777777" w:rsidR="007933D2" w:rsidRDefault="00000000">
            <w:pPr>
              <w:rPr>
                <w:rFonts w:ascii="Open Sans" w:eastAsia="Open Sans" w:hAnsi="Open Sans" w:cs="Open Sans"/>
              </w:rPr>
            </w:pPr>
            <w:r>
              <w:rPr>
                <w:rFonts w:ascii="Open Sans" w:eastAsia="Open Sans" w:hAnsi="Open Sans" w:cs="Open Sans"/>
                <w:b w:val="0"/>
                <w:sz w:val="22"/>
                <w:szCs w:val="22"/>
              </w:rPr>
              <w:t>Valencia</w:t>
            </w:r>
          </w:p>
        </w:tc>
        <w:tc>
          <w:tcPr>
            <w:tcW w:w="2189" w:type="dxa"/>
            <w:vAlign w:val="bottom"/>
          </w:tcPr>
          <w:p w14:paraId="7C6F1FF4"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Canet d'En Berenguer</w:t>
            </w:r>
          </w:p>
        </w:tc>
        <w:tc>
          <w:tcPr>
            <w:tcW w:w="1868" w:type="dxa"/>
            <w:vAlign w:val="bottom"/>
          </w:tcPr>
          <w:p w14:paraId="4E29CC6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12,49 €</w:t>
            </w:r>
          </w:p>
        </w:tc>
        <w:tc>
          <w:tcPr>
            <w:tcW w:w="1869" w:type="dxa"/>
            <w:vAlign w:val="bottom"/>
          </w:tcPr>
          <w:p w14:paraId="349443F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-17,0%</w:t>
            </w:r>
          </w:p>
        </w:tc>
        <w:tc>
          <w:tcPr>
            <w:tcW w:w="1411" w:type="dxa"/>
            <w:vAlign w:val="bottom"/>
          </w:tcPr>
          <w:p w14:paraId="36FF664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7933D2" w14:paraId="649AF214"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5B82E082" w14:textId="77777777" w:rsidR="007933D2" w:rsidRDefault="00000000">
            <w:pPr>
              <w:rPr>
                <w:rFonts w:ascii="Open Sans" w:eastAsia="Open Sans" w:hAnsi="Open Sans" w:cs="Open Sans"/>
              </w:rPr>
            </w:pPr>
            <w:r>
              <w:rPr>
                <w:rFonts w:ascii="Open Sans" w:eastAsia="Open Sans" w:hAnsi="Open Sans" w:cs="Open Sans"/>
                <w:b w:val="0"/>
                <w:sz w:val="22"/>
                <w:szCs w:val="22"/>
              </w:rPr>
              <w:t>Alicante</w:t>
            </w:r>
          </w:p>
        </w:tc>
        <w:tc>
          <w:tcPr>
            <w:tcW w:w="2189" w:type="dxa"/>
            <w:vAlign w:val="bottom"/>
          </w:tcPr>
          <w:p w14:paraId="46EBD43C"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Orihuela</w:t>
            </w:r>
          </w:p>
        </w:tc>
        <w:tc>
          <w:tcPr>
            <w:tcW w:w="1868" w:type="dxa"/>
            <w:vAlign w:val="bottom"/>
          </w:tcPr>
          <w:p w14:paraId="6039E90C"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8,34 €</w:t>
            </w:r>
          </w:p>
        </w:tc>
        <w:tc>
          <w:tcPr>
            <w:tcW w:w="1869" w:type="dxa"/>
            <w:vAlign w:val="bottom"/>
          </w:tcPr>
          <w:p w14:paraId="28AE56B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-12,1%</w:t>
            </w:r>
          </w:p>
        </w:tc>
        <w:tc>
          <w:tcPr>
            <w:tcW w:w="1411" w:type="dxa"/>
            <w:vAlign w:val="bottom"/>
          </w:tcPr>
          <w:p w14:paraId="43426148"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-7,4%</w:t>
            </w:r>
          </w:p>
        </w:tc>
      </w:tr>
      <w:tr w:rsidR="007933D2" w14:paraId="0CB8545F"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2745CAD3" w14:textId="77777777" w:rsidR="007933D2" w:rsidRDefault="00000000">
            <w:pPr>
              <w:rPr>
                <w:rFonts w:ascii="Open Sans" w:eastAsia="Open Sans" w:hAnsi="Open Sans" w:cs="Open Sans"/>
              </w:rPr>
            </w:pPr>
            <w:r>
              <w:rPr>
                <w:rFonts w:ascii="Open Sans" w:eastAsia="Open Sans" w:hAnsi="Open Sans" w:cs="Open Sans"/>
                <w:b w:val="0"/>
                <w:sz w:val="22"/>
                <w:szCs w:val="22"/>
              </w:rPr>
              <w:t>Cádiz</w:t>
            </w:r>
          </w:p>
        </w:tc>
        <w:tc>
          <w:tcPr>
            <w:tcW w:w="2189" w:type="dxa"/>
            <w:vAlign w:val="bottom"/>
          </w:tcPr>
          <w:p w14:paraId="3B82C729"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Chipiona</w:t>
            </w:r>
          </w:p>
        </w:tc>
        <w:tc>
          <w:tcPr>
            <w:tcW w:w="1868" w:type="dxa"/>
            <w:vAlign w:val="bottom"/>
          </w:tcPr>
          <w:p w14:paraId="231F46D0"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12,02 €</w:t>
            </w:r>
          </w:p>
        </w:tc>
        <w:tc>
          <w:tcPr>
            <w:tcW w:w="1869" w:type="dxa"/>
            <w:vAlign w:val="bottom"/>
          </w:tcPr>
          <w:p w14:paraId="01EC680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-7,9%</w:t>
            </w:r>
          </w:p>
        </w:tc>
        <w:tc>
          <w:tcPr>
            <w:tcW w:w="1411" w:type="dxa"/>
            <w:vAlign w:val="bottom"/>
          </w:tcPr>
          <w:p w14:paraId="655F1BB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7933D2" w14:paraId="18670B36"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6896CCC" w14:textId="77777777" w:rsidR="007933D2" w:rsidRDefault="00000000">
            <w:pPr>
              <w:rPr>
                <w:rFonts w:ascii="Open Sans" w:eastAsia="Open Sans" w:hAnsi="Open Sans" w:cs="Open Sans"/>
              </w:rPr>
            </w:pPr>
            <w:r>
              <w:rPr>
                <w:rFonts w:ascii="Open Sans" w:eastAsia="Open Sans" w:hAnsi="Open Sans" w:cs="Open Sans"/>
                <w:b w:val="0"/>
                <w:sz w:val="22"/>
                <w:szCs w:val="22"/>
              </w:rPr>
              <w:t>Toledo</w:t>
            </w:r>
          </w:p>
        </w:tc>
        <w:tc>
          <w:tcPr>
            <w:tcW w:w="2189" w:type="dxa"/>
            <w:vAlign w:val="bottom"/>
          </w:tcPr>
          <w:p w14:paraId="311F8F00"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868" w:type="dxa"/>
            <w:vAlign w:val="bottom"/>
          </w:tcPr>
          <w:p w14:paraId="22BDB20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9,04 €</w:t>
            </w:r>
          </w:p>
        </w:tc>
        <w:tc>
          <w:tcPr>
            <w:tcW w:w="1869" w:type="dxa"/>
            <w:vAlign w:val="bottom"/>
          </w:tcPr>
          <w:p w14:paraId="6263141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-6,4%</w:t>
            </w:r>
          </w:p>
        </w:tc>
        <w:tc>
          <w:tcPr>
            <w:tcW w:w="1411" w:type="dxa"/>
            <w:vAlign w:val="bottom"/>
          </w:tcPr>
          <w:p w14:paraId="0E0607D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r>
      <w:tr w:rsidR="007933D2" w14:paraId="6CCE7959"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425DD20" w14:textId="77777777" w:rsidR="007933D2" w:rsidRDefault="00000000">
            <w:pPr>
              <w:rPr>
                <w:rFonts w:ascii="Open Sans" w:eastAsia="Open Sans" w:hAnsi="Open Sans" w:cs="Open Sans"/>
              </w:rPr>
            </w:pPr>
            <w:r>
              <w:rPr>
                <w:rFonts w:ascii="Open Sans" w:eastAsia="Open Sans" w:hAnsi="Open Sans" w:cs="Open Sans"/>
                <w:b w:val="0"/>
                <w:sz w:val="22"/>
                <w:szCs w:val="22"/>
              </w:rPr>
              <w:t>Jaén</w:t>
            </w:r>
          </w:p>
        </w:tc>
        <w:tc>
          <w:tcPr>
            <w:tcW w:w="2189" w:type="dxa"/>
            <w:vAlign w:val="bottom"/>
          </w:tcPr>
          <w:p w14:paraId="7BA0EB8A"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868" w:type="dxa"/>
            <w:vAlign w:val="bottom"/>
          </w:tcPr>
          <w:p w14:paraId="677901F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6,36 €</w:t>
            </w:r>
          </w:p>
        </w:tc>
        <w:tc>
          <w:tcPr>
            <w:tcW w:w="1869" w:type="dxa"/>
            <w:vAlign w:val="bottom"/>
          </w:tcPr>
          <w:p w14:paraId="284C81A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-5,8%</w:t>
            </w:r>
          </w:p>
        </w:tc>
        <w:tc>
          <w:tcPr>
            <w:tcW w:w="1411" w:type="dxa"/>
            <w:vAlign w:val="bottom"/>
          </w:tcPr>
          <w:p w14:paraId="1A1683E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-9,4%</w:t>
            </w:r>
          </w:p>
        </w:tc>
      </w:tr>
      <w:tr w:rsidR="007933D2" w14:paraId="77BF38FB"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8123C06" w14:textId="77777777" w:rsidR="007933D2" w:rsidRDefault="00000000">
            <w:pPr>
              <w:rPr>
                <w:rFonts w:ascii="Open Sans" w:eastAsia="Open Sans" w:hAnsi="Open Sans" w:cs="Open Sans"/>
              </w:rPr>
            </w:pPr>
            <w:r>
              <w:rPr>
                <w:rFonts w:ascii="Open Sans" w:eastAsia="Open Sans" w:hAnsi="Open Sans" w:cs="Open Sans"/>
                <w:b w:val="0"/>
                <w:sz w:val="22"/>
                <w:szCs w:val="22"/>
              </w:rPr>
              <w:t>Córdoba</w:t>
            </w:r>
          </w:p>
        </w:tc>
        <w:tc>
          <w:tcPr>
            <w:tcW w:w="2189" w:type="dxa"/>
            <w:vAlign w:val="bottom"/>
          </w:tcPr>
          <w:p w14:paraId="7E959335"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Lucena</w:t>
            </w:r>
          </w:p>
        </w:tc>
        <w:tc>
          <w:tcPr>
            <w:tcW w:w="1868" w:type="dxa"/>
            <w:vAlign w:val="bottom"/>
          </w:tcPr>
          <w:p w14:paraId="4B3D611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7,36 €</w:t>
            </w:r>
          </w:p>
        </w:tc>
        <w:tc>
          <w:tcPr>
            <w:tcW w:w="1869" w:type="dxa"/>
            <w:vAlign w:val="bottom"/>
          </w:tcPr>
          <w:p w14:paraId="0CC1E37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-4,9%</w:t>
            </w:r>
          </w:p>
        </w:tc>
        <w:tc>
          <w:tcPr>
            <w:tcW w:w="1411" w:type="dxa"/>
            <w:vAlign w:val="bottom"/>
          </w:tcPr>
          <w:p w14:paraId="053FB2E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26,2%</w:t>
            </w:r>
          </w:p>
        </w:tc>
      </w:tr>
      <w:tr w:rsidR="007933D2" w14:paraId="47685E2A"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7DF9F90E" w14:textId="77777777" w:rsidR="007933D2" w:rsidRDefault="00000000">
            <w:pPr>
              <w:rPr>
                <w:rFonts w:ascii="Open Sans" w:eastAsia="Open Sans" w:hAnsi="Open Sans" w:cs="Open Sans"/>
              </w:rPr>
            </w:pPr>
            <w:r>
              <w:rPr>
                <w:rFonts w:ascii="Open Sans" w:eastAsia="Open Sans" w:hAnsi="Open Sans" w:cs="Open Sans"/>
                <w:b w:val="0"/>
                <w:sz w:val="22"/>
                <w:szCs w:val="22"/>
              </w:rPr>
              <w:t>Pontevedra</w:t>
            </w:r>
          </w:p>
        </w:tc>
        <w:tc>
          <w:tcPr>
            <w:tcW w:w="2189" w:type="dxa"/>
            <w:vAlign w:val="bottom"/>
          </w:tcPr>
          <w:p w14:paraId="79D4824C"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Sanxenxo</w:t>
            </w:r>
          </w:p>
        </w:tc>
        <w:tc>
          <w:tcPr>
            <w:tcW w:w="1868" w:type="dxa"/>
            <w:vAlign w:val="bottom"/>
          </w:tcPr>
          <w:p w14:paraId="6897935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14,57 €</w:t>
            </w:r>
          </w:p>
        </w:tc>
        <w:tc>
          <w:tcPr>
            <w:tcW w:w="1869" w:type="dxa"/>
            <w:vAlign w:val="bottom"/>
          </w:tcPr>
          <w:p w14:paraId="19FB986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-4,4%</w:t>
            </w:r>
          </w:p>
        </w:tc>
        <w:tc>
          <w:tcPr>
            <w:tcW w:w="1411" w:type="dxa"/>
            <w:vAlign w:val="bottom"/>
          </w:tcPr>
          <w:p w14:paraId="6412FC5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7933D2" w14:paraId="35F2F67B"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09F15E0F" w14:textId="77777777" w:rsidR="007933D2" w:rsidRDefault="00000000">
            <w:pPr>
              <w:rPr>
                <w:rFonts w:ascii="Open Sans" w:eastAsia="Open Sans" w:hAnsi="Open Sans" w:cs="Open Sans"/>
              </w:rPr>
            </w:pPr>
            <w:r>
              <w:rPr>
                <w:rFonts w:ascii="Open Sans" w:eastAsia="Open Sans" w:hAnsi="Open Sans" w:cs="Open Sans"/>
                <w:b w:val="0"/>
                <w:sz w:val="22"/>
                <w:szCs w:val="22"/>
              </w:rPr>
              <w:t>Gipuzkoa</w:t>
            </w:r>
          </w:p>
        </w:tc>
        <w:tc>
          <w:tcPr>
            <w:tcW w:w="2189" w:type="dxa"/>
            <w:vAlign w:val="bottom"/>
          </w:tcPr>
          <w:p w14:paraId="0BB20F0A"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868" w:type="dxa"/>
            <w:vAlign w:val="bottom"/>
          </w:tcPr>
          <w:p w14:paraId="48F79ED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19,33 €</w:t>
            </w:r>
          </w:p>
        </w:tc>
        <w:tc>
          <w:tcPr>
            <w:tcW w:w="1869" w:type="dxa"/>
            <w:vAlign w:val="bottom"/>
          </w:tcPr>
          <w:p w14:paraId="5E957E6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-4,1%</w:t>
            </w:r>
          </w:p>
        </w:tc>
        <w:tc>
          <w:tcPr>
            <w:tcW w:w="1411" w:type="dxa"/>
            <w:vAlign w:val="bottom"/>
          </w:tcPr>
          <w:p w14:paraId="281E857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7,1%</w:t>
            </w:r>
          </w:p>
        </w:tc>
      </w:tr>
      <w:tr w:rsidR="007933D2" w14:paraId="3799761B"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4E694C4" w14:textId="77777777" w:rsidR="007933D2" w:rsidRDefault="00000000">
            <w:pPr>
              <w:rPr>
                <w:rFonts w:ascii="Open Sans" w:eastAsia="Open Sans" w:hAnsi="Open Sans" w:cs="Open Sans"/>
              </w:rPr>
            </w:pPr>
            <w:r>
              <w:rPr>
                <w:rFonts w:ascii="Open Sans" w:eastAsia="Open Sans" w:hAnsi="Open Sans" w:cs="Open Sans"/>
                <w:b w:val="0"/>
                <w:sz w:val="22"/>
                <w:szCs w:val="22"/>
              </w:rPr>
              <w:t>León</w:t>
            </w:r>
          </w:p>
        </w:tc>
        <w:tc>
          <w:tcPr>
            <w:tcW w:w="2189" w:type="dxa"/>
            <w:vAlign w:val="bottom"/>
          </w:tcPr>
          <w:p w14:paraId="5CE5F300"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868" w:type="dxa"/>
            <w:vAlign w:val="bottom"/>
          </w:tcPr>
          <w:p w14:paraId="7CA831F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7,49 €</w:t>
            </w:r>
          </w:p>
        </w:tc>
        <w:tc>
          <w:tcPr>
            <w:tcW w:w="1869" w:type="dxa"/>
            <w:vAlign w:val="bottom"/>
          </w:tcPr>
          <w:p w14:paraId="5B92EC2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-3,7%</w:t>
            </w:r>
          </w:p>
        </w:tc>
        <w:tc>
          <w:tcPr>
            <w:tcW w:w="1411" w:type="dxa"/>
            <w:vAlign w:val="bottom"/>
          </w:tcPr>
          <w:p w14:paraId="2E7AC9B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r>
      <w:tr w:rsidR="007933D2" w14:paraId="1629E536"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554B09E" w14:textId="77777777" w:rsidR="007933D2" w:rsidRDefault="00000000">
            <w:pPr>
              <w:rPr>
                <w:rFonts w:ascii="Open Sans" w:eastAsia="Open Sans" w:hAnsi="Open Sans" w:cs="Open Sans"/>
              </w:rPr>
            </w:pPr>
            <w:r>
              <w:rPr>
                <w:rFonts w:ascii="Open Sans" w:eastAsia="Open Sans" w:hAnsi="Open Sans" w:cs="Open Sans"/>
                <w:b w:val="0"/>
                <w:sz w:val="22"/>
                <w:szCs w:val="22"/>
              </w:rPr>
              <w:t>Palencia</w:t>
            </w:r>
          </w:p>
        </w:tc>
        <w:tc>
          <w:tcPr>
            <w:tcW w:w="2189" w:type="dxa"/>
            <w:vAlign w:val="bottom"/>
          </w:tcPr>
          <w:p w14:paraId="6D0869D3"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868" w:type="dxa"/>
            <w:vAlign w:val="bottom"/>
          </w:tcPr>
          <w:p w14:paraId="76D0A7F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6,77 €</w:t>
            </w:r>
          </w:p>
        </w:tc>
        <w:tc>
          <w:tcPr>
            <w:tcW w:w="1869" w:type="dxa"/>
            <w:vAlign w:val="bottom"/>
          </w:tcPr>
          <w:p w14:paraId="3DC92A6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-2,7%</w:t>
            </w:r>
          </w:p>
        </w:tc>
        <w:tc>
          <w:tcPr>
            <w:tcW w:w="1411" w:type="dxa"/>
            <w:vAlign w:val="bottom"/>
          </w:tcPr>
          <w:p w14:paraId="696D037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r>
    </w:tbl>
    <w:p w14:paraId="604B1651" w14:textId="77777777" w:rsidR="007933D2"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6: Distritos con mayor descenso trimestral, interanual y precio</w:t>
      </w:r>
    </w:p>
    <w:tbl>
      <w:tblPr>
        <w:tblStyle w:val="a4"/>
        <w:tblW w:w="90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463"/>
        <w:gridCol w:w="1868"/>
        <w:gridCol w:w="1869"/>
        <w:gridCol w:w="1411"/>
      </w:tblGrid>
      <w:tr w:rsidR="007933D2" w14:paraId="1D41CA66" w14:textId="77777777" w:rsidTr="007933D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center"/>
          </w:tcPr>
          <w:p w14:paraId="3BA40921" w14:textId="77777777" w:rsidR="007933D2" w:rsidRDefault="00000000">
            <w:pPr>
              <w:rPr>
                <w:rFonts w:ascii="Open Sans" w:eastAsia="Open Sans" w:hAnsi="Open Sans" w:cs="Open Sans"/>
                <w:sz w:val="22"/>
                <w:szCs w:val="22"/>
              </w:rPr>
            </w:pPr>
            <w:r>
              <w:rPr>
                <w:rFonts w:ascii="Open Sans" w:eastAsia="Open Sans" w:hAnsi="Open Sans" w:cs="Open Sans"/>
                <w:b w:val="0"/>
                <w:sz w:val="20"/>
                <w:szCs w:val="20"/>
              </w:rPr>
              <w:t>Ciudad</w:t>
            </w:r>
          </w:p>
        </w:tc>
        <w:tc>
          <w:tcPr>
            <w:tcW w:w="2463" w:type="dxa"/>
            <w:shd w:val="clear" w:color="auto" w:fill="1DBDC5"/>
            <w:vAlign w:val="center"/>
          </w:tcPr>
          <w:p w14:paraId="1EFEF974" w14:textId="77777777" w:rsidR="007933D2"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Distrito</w:t>
            </w:r>
          </w:p>
        </w:tc>
        <w:tc>
          <w:tcPr>
            <w:tcW w:w="1868" w:type="dxa"/>
            <w:shd w:val="clear" w:color="auto" w:fill="1DBDC5"/>
          </w:tcPr>
          <w:p w14:paraId="36B48F0A"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2024 (€/m²)</w:t>
            </w:r>
          </w:p>
        </w:tc>
        <w:tc>
          <w:tcPr>
            <w:tcW w:w="1869" w:type="dxa"/>
            <w:shd w:val="clear" w:color="auto" w:fill="1DBDC5"/>
          </w:tcPr>
          <w:p w14:paraId="47E03971"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8707B"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411" w:type="dxa"/>
            <w:shd w:val="clear" w:color="auto" w:fill="1DBDC5"/>
          </w:tcPr>
          <w:p w14:paraId="5ECFDCA6"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750AE76"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933D2" w14:paraId="462C2038"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FFE633F"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5D3270EE"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Vicálvaro</w:t>
            </w:r>
          </w:p>
        </w:tc>
        <w:tc>
          <w:tcPr>
            <w:tcW w:w="1868" w:type="dxa"/>
            <w:vAlign w:val="bottom"/>
          </w:tcPr>
          <w:p w14:paraId="73233CD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15,75 €</w:t>
            </w:r>
          </w:p>
        </w:tc>
        <w:tc>
          <w:tcPr>
            <w:tcW w:w="1869" w:type="dxa"/>
            <w:vAlign w:val="bottom"/>
          </w:tcPr>
          <w:p w14:paraId="29E1F0E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13,1%</w:t>
            </w:r>
          </w:p>
        </w:tc>
        <w:tc>
          <w:tcPr>
            <w:tcW w:w="1411" w:type="dxa"/>
            <w:vAlign w:val="bottom"/>
          </w:tcPr>
          <w:p w14:paraId="5BE39DD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24,8%</w:t>
            </w:r>
          </w:p>
        </w:tc>
      </w:tr>
      <w:tr w:rsidR="007933D2" w14:paraId="634CA478"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25DCE4A1"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263BB7A0"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Puente de Vallecas</w:t>
            </w:r>
          </w:p>
        </w:tc>
        <w:tc>
          <w:tcPr>
            <w:tcW w:w="1868" w:type="dxa"/>
            <w:vAlign w:val="bottom"/>
          </w:tcPr>
          <w:p w14:paraId="5C00455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16,87 €</w:t>
            </w:r>
          </w:p>
        </w:tc>
        <w:tc>
          <w:tcPr>
            <w:tcW w:w="1869" w:type="dxa"/>
            <w:vAlign w:val="bottom"/>
          </w:tcPr>
          <w:p w14:paraId="11723BF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8,5%</w:t>
            </w:r>
          </w:p>
        </w:tc>
        <w:tc>
          <w:tcPr>
            <w:tcW w:w="1411" w:type="dxa"/>
            <w:vAlign w:val="bottom"/>
          </w:tcPr>
          <w:p w14:paraId="6672F5C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25,5%</w:t>
            </w:r>
          </w:p>
        </w:tc>
      </w:tr>
      <w:tr w:rsidR="007933D2" w14:paraId="6664B852"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E4E781F"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7362FFA5"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 Blas</w:t>
            </w:r>
          </w:p>
        </w:tc>
        <w:tc>
          <w:tcPr>
            <w:tcW w:w="1868" w:type="dxa"/>
            <w:vAlign w:val="bottom"/>
          </w:tcPr>
          <w:p w14:paraId="37F65A9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15,35 €</w:t>
            </w:r>
          </w:p>
        </w:tc>
        <w:tc>
          <w:tcPr>
            <w:tcW w:w="1869" w:type="dxa"/>
            <w:vAlign w:val="bottom"/>
          </w:tcPr>
          <w:p w14:paraId="00FE6A9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8,0%</w:t>
            </w:r>
          </w:p>
        </w:tc>
        <w:tc>
          <w:tcPr>
            <w:tcW w:w="1411" w:type="dxa"/>
            <w:vAlign w:val="bottom"/>
          </w:tcPr>
          <w:p w14:paraId="3B4BCF8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7933D2" w14:paraId="7C588222"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40FFFE07"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37C11D06"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Carabanchel</w:t>
            </w:r>
          </w:p>
        </w:tc>
        <w:tc>
          <w:tcPr>
            <w:tcW w:w="1868" w:type="dxa"/>
            <w:vAlign w:val="bottom"/>
          </w:tcPr>
          <w:p w14:paraId="068337CA"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16,14 €</w:t>
            </w:r>
          </w:p>
        </w:tc>
        <w:tc>
          <w:tcPr>
            <w:tcW w:w="1869" w:type="dxa"/>
            <w:vAlign w:val="bottom"/>
          </w:tcPr>
          <w:p w14:paraId="72FFF43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7,0%</w:t>
            </w:r>
          </w:p>
        </w:tc>
        <w:tc>
          <w:tcPr>
            <w:tcW w:w="1411" w:type="dxa"/>
            <w:vAlign w:val="bottom"/>
          </w:tcPr>
          <w:p w14:paraId="60496FF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w:t>
            </w:r>
          </w:p>
        </w:tc>
      </w:tr>
      <w:tr w:rsidR="007933D2" w14:paraId="2467ADAB"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6A854FC7"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Madrid</w:t>
            </w:r>
          </w:p>
        </w:tc>
        <w:tc>
          <w:tcPr>
            <w:tcW w:w="2463" w:type="dxa"/>
            <w:vAlign w:val="bottom"/>
          </w:tcPr>
          <w:p w14:paraId="17528832"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Tetuán</w:t>
            </w:r>
          </w:p>
        </w:tc>
        <w:tc>
          <w:tcPr>
            <w:tcW w:w="1868" w:type="dxa"/>
            <w:vAlign w:val="bottom"/>
          </w:tcPr>
          <w:p w14:paraId="543FA62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20,91 €</w:t>
            </w:r>
          </w:p>
        </w:tc>
        <w:tc>
          <w:tcPr>
            <w:tcW w:w="1869" w:type="dxa"/>
            <w:vAlign w:val="bottom"/>
          </w:tcPr>
          <w:p w14:paraId="28D604A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5,8%</w:t>
            </w:r>
          </w:p>
        </w:tc>
        <w:tc>
          <w:tcPr>
            <w:tcW w:w="1411" w:type="dxa"/>
            <w:vAlign w:val="bottom"/>
          </w:tcPr>
          <w:p w14:paraId="357D566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r>
      <w:tr w:rsidR="007933D2" w14:paraId="51D41D4C"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387E3836"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5D3F4735"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Fuencarral - El Pardo</w:t>
            </w:r>
          </w:p>
        </w:tc>
        <w:tc>
          <w:tcPr>
            <w:tcW w:w="1868" w:type="dxa"/>
            <w:vAlign w:val="bottom"/>
          </w:tcPr>
          <w:p w14:paraId="5F9BA30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15,88 €</w:t>
            </w:r>
          </w:p>
        </w:tc>
        <w:tc>
          <w:tcPr>
            <w:tcW w:w="1869" w:type="dxa"/>
            <w:vAlign w:val="bottom"/>
          </w:tcPr>
          <w:p w14:paraId="70CB320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5,2%</w:t>
            </w:r>
          </w:p>
        </w:tc>
        <w:tc>
          <w:tcPr>
            <w:tcW w:w="1411" w:type="dxa"/>
            <w:vAlign w:val="bottom"/>
          </w:tcPr>
          <w:p w14:paraId="3E4AACC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7933D2" w14:paraId="4CEF8CF3"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5174CADE"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089793D3"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Arganzuela</w:t>
            </w:r>
          </w:p>
        </w:tc>
        <w:tc>
          <w:tcPr>
            <w:tcW w:w="1868" w:type="dxa"/>
            <w:vAlign w:val="bottom"/>
          </w:tcPr>
          <w:p w14:paraId="3A0EABB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19,88 €</w:t>
            </w:r>
          </w:p>
        </w:tc>
        <w:tc>
          <w:tcPr>
            <w:tcW w:w="1869" w:type="dxa"/>
            <w:vAlign w:val="bottom"/>
          </w:tcPr>
          <w:p w14:paraId="5FDE6FC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4,6%</w:t>
            </w:r>
          </w:p>
        </w:tc>
        <w:tc>
          <w:tcPr>
            <w:tcW w:w="1411" w:type="dxa"/>
            <w:vAlign w:val="bottom"/>
          </w:tcPr>
          <w:p w14:paraId="73743A5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w:t>
            </w:r>
          </w:p>
        </w:tc>
      </w:tr>
      <w:tr w:rsidR="007933D2" w14:paraId="248E13E5"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1CFF22AB"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02E1AC2D"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Chamartín</w:t>
            </w:r>
          </w:p>
        </w:tc>
        <w:tc>
          <w:tcPr>
            <w:tcW w:w="1868" w:type="dxa"/>
            <w:vAlign w:val="bottom"/>
          </w:tcPr>
          <w:p w14:paraId="2696FAB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20,80 €</w:t>
            </w:r>
          </w:p>
        </w:tc>
        <w:tc>
          <w:tcPr>
            <w:tcW w:w="1869" w:type="dxa"/>
            <w:vAlign w:val="bottom"/>
          </w:tcPr>
          <w:p w14:paraId="091CF316"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4,5%</w:t>
            </w:r>
          </w:p>
        </w:tc>
        <w:tc>
          <w:tcPr>
            <w:tcW w:w="1411" w:type="dxa"/>
            <w:vAlign w:val="bottom"/>
          </w:tcPr>
          <w:p w14:paraId="36A64AB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w:t>
            </w:r>
          </w:p>
        </w:tc>
      </w:tr>
      <w:tr w:rsidR="007933D2" w14:paraId="531CCE12"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799E0CDB"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3F603780"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Ciudad Lineal</w:t>
            </w:r>
          </w:p>
        </w:tc>
        <w:tc>
          <w:tcPr>
            <w:tcW w:w="1868" w:type="dxa"/>
            <w:vAlign w:val="bottom"/>
          </w:tcPr>
          <w:p w14:paraId="693E12C6"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17,00 €</w:t>
            </w:r>
          </w:p>
        </w:tc>
        <w:tc>
          <w:tcPr>
            <w:tcW w:w="1869" w:type="dxa"/>
            <w:vAlign w:val="bottom"/>
          </w:tcPr>
          <w:p w14:paraId="0D6317A4"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3,5%</w:t>
            </w:r>
          </w:p>
        </w:tc>
        <w:tc>
          <w:tcPr>
            <w:tcW w:w="1411" w:type="dxa"/>
            <w:vAlign w:val="bottom"/>
          </w:tcPr>
          <w:p w14:paraId="2D8E9CA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w:t>
            </w:r>
          </w:p>
        </w:tc>
      </w:tr>
      <w:tr w:rsidR="007933D2" w14:paraId="318671DA"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131A57BE" w14:textId="77777777" w:rsidR="007933D2"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74A4C746"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Chamberí</w:t>
            </w:r>
          </w:p>
        </w:tc>
        <w:tc>
          <w:tcPr>
            <w:tcW w:w="1868" w:type="dxa"/>
            <w:vAlign w:val="bottom"/>
          </w:tcPr>
          <w:p w14:paraId="707DAB8F"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22,05 €</w:t>
            </w:r>
          </w:p>
        </w:tc>
        <w:tc>
          <w:tcPr>
            <w:tcW w:w="1869" w:type="dxa"/>
            <w:vAlign w:val="bottom"/>
          </w:tcPr>
          <w:p w14:paraId="202B72C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2,8%</w:t>
            </w:r>
          </w:p>
        </w:tc>
        <w:tc>
          <w:tcPr>
            <w:tcW w:w="1411" w:type="dxa"/>
            <w:vAlign w:val="bottom"/>
          </w:tcPr>
          <w:p w14:paraId="3DDF107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w:t>
            </w:r>
          </w:p>
        </w:tc>
      </w:tr>
      <w:tr w:rsidR="007933D2" w14:paraId="7F6FE5C7"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DCA97E2" w14:textId="77777777" w:rsidR="007933D2"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30316ADB"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Moncloa - Aravaca</w:t>
            </w:r>
          </w:p>
        </w:tc>
        <w:tc>
          <w:tcPr>
            <w:tcW w:w="1868" w:type="dxa"/>
            <w:vAlign w:val="bottom"/>
          </w:tcPr>
          <w:p w14:paraId="72DD1E6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19,16 €</w:t>
            </w:r>
          </w:p>
        </w:tc>
        <w:tc>
          <w:tcPr>
            <w:tcW w:w="1869" w:type="dxa"/>
            <w:vAlign w:val="bottom"/>
          </w:tcPr>
          <w:p w14:paraId="27E48D98"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2,6%</w:t>
            </w:r>
          </w:p>
        </w:tc>
        <w:tc>
          <w:tcPr>
            <w:tcW w:w="1411" w:type="dxa"/>
            <w:vAlign w:val="bottom"/>
          </w:tcPr>
          <w:p w14:paraId="0618C5F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7933D2" w14:paraId="246D7E20"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2CEFAF5" w14:textId="77777777" w:rsidR="007933D2"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597E3FA0"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Barrio de Salamanca</w:t>
            </w:r>
          </w:p>
        </w:tc>
        <w:tc>
          <w:tcPr>
            <w:tcW w:w="1868" w:type="dxa"/>
            <w:vAlign w:val="bottom"/>
          </w:tcPr>
          <w:p w14:paraId="5B5BC6E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22,48 €</w:t>
            </w:r>
          </w:p>
        </w:tc>
        <w:tc>
          <w:tcPr>
            <w:tcW w:w="1869" w:type="dxa"/>
            <w:vAlign w:val="bottom"/>
          </w:tcPr>
          <w:p w14:paraId="6AEB4ED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2,5%</w:t>
            </w:r>
          </w:p>
        </w:tc>
        <w:tc>
          <w:tcPr>
            <w:tcW w:w="1411" w:type="dxa"/>
            <w:vAlign w:val="bottom"/>
          </w:tcPr>
          <w:p w14:paraId="603D22D0"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r>
      <w:tr w:rsidR="007933D2" w14:paraId="38509C6A"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178C4F12" w14:textId="77777777" w:rsidR="007933D2"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7CC216EA"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Villaverde</w:t>
            </w:r>
          </w:p>
        </w:tc>
        <w:tc>
          <w:tcPr>
            <w:tcW w:w="1868" w:type="dxa"/>
            <w:vAlign w:val="bottom"/>
          </w:tcPr>
          <w:p w14:paraId="3CF603BF"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14,99 €</w:t>
            </w:r>
          </w:p>
        </w:tc>
        <w:tc>
          <w:tcPr>
            <w:tcW w:w="1869" w:type="dxa"/>
            <w:vAlign w:val="bottom"/>
          </w:tcPr>
          <w:p w14:paraId="44FA903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1,6%</w:t>
            </w:r>
          </w:p>
        </w:tc>
        <w:tc>
          <w:tcPr>
            <w:tcW w:w="1411" w:type="dxa"/>
            <w:vAlign w:val="bottom"/>
          </w:tcPr>
          <w:p w14:paraId="5B7BD2B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w:t>
            </w:r>
          </w:p>
        </w:tc>
      </w:tr>
      <w:tr w:rsidR="007933D2" w14:paraId="637D48C5"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78D5CBD" w14:textId="77777777" w:rsidR="007933D2"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552B640C"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Retiro</w:t>
            </w:r>
          </w:p>
        </w:tc>
        <w:tc>
          <w:tcPr>
            <w:tcW w:w="1868" w:type="dxa"/>
            <w:vAlign w:val="bottom"/>
          </w:tcPr>
          <w:p w14:paraId="7CAA12B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20,10 €</w:t>
            </w:r>
          </w:p>
        </w:tc>
        <w:tc>
          <w:tcPr>
            <w:tcW w:w="1869" w:type="dxa"/>
            <w:vAlign w:val="bottom"/>
          </w:tcPr>
          <w:p w14:paraId="239C3DE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0,3%</w:t>
            </w:r>
          </w:p>
        </w:tc>
        <w:tc>
          <w:tcPr>
            <w:tcW w:w="1411" w:type="dxa"/>
            <w:vAlign w:val="bottom"/>
          </w:tcPr>
          <w:p w14:paraId="3BFFE83D"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w:t>
            </w:r>
          </w:p>
        </w:tc>
      </w:tr>
      <w:tr w:rsidR="007933D2" w14:paraId="53EEA409"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585D9AE3" w14:textId="77777777" w:rsidR="007933D2"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1A0BD0D5"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Latina</w:t>
            </w:r>
          </w:p>
        </w:tc>
        <w:tc>
          <w:tcPr>
            <w:tcW w:w="1868" w:type="dxa"/>
            <w:vAlign w:val="bottom"/>
          </w:tcPr>
          <w:p w14:paraId="5257311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16,77 €</w:t>
            </w:r>
          </w:p>
        </w:tc>
        <w:tc>
          <w:tcPr>
            <w:tcW w:w="1869" w:type="dxa"/>
            <w:vAlign w:val="bottom"/>
          </w:tcPr>
          <w:p w14:paraId="7603955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-0,2%</w:t>
            </w:r>
          </w:p>
        </w:tc>
        <w:tc>
          <w:tcPr>
            <w:tcW w:w="1411" w:type="dxa"/>
            <w:vAlign w:val="bottom"/>
          </w:tcPr>
          <w:p w14:paraId="02856E8C"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25,2%</w:t>
            </w:r>
          </w:p>
        </w:tc>
      </w:tr>
      <w:tr w:rsidR="007933D2" w14:paraId="212AA433"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517C970" w14:textId="77777777" w:rsidR="007933D2"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7C9781D6"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Centro</w:t>
            </w:r>
          </w:p>
        </w:tc>
        <w:tc>
          <w:tcPr>
            <w:tcW w:w="1868" w:type="dxa"/>
            <w:vAlign w:val="bottom"/>
          </w:tcPr>
          <w:p w14:paraId="5B5CD8C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21,82 €</w:t>
            </w:r>
          </w:p>
        </w:tc>
        <w:tc>
          <w:tcPr>
            <w:tcW w:w="1869" w:type="dxa"/>
            <w:vAlign w:val="bottom"/>
          </w:tcPr>
          <w:p w14:paraId="13F4B1F2"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-1,6%</w:t>
            </w:r>
          </w:p>
        </w:tc>
        <w:tc>
          <w:tcPr>
            <w:tcW w:w="1411" w:type="dxa"/>
            <w:vAlign w:val="bottom"/>
          </w:tcPr>
          <w:p w14:paraId="2D5B431E"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r>
      <w:tr w:rsidR="007933D2" w14:paraId="79C97A31"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7BEA0B3F" w14:textId="77777777" w:rsidR="007933D2"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5CBE5E1B"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Hortaleza</w:t>
            </w:r>
          </w:p>
        </w:tc>
        <w:tc>
          <w:tcPr>
            <w:tcW w:w="1868" w:type="dxa"/>
            <w:vAlign w:val="bottom"/>
          </w:tcPr>
          <w:p w14:paraId="0E2D1325"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16,19 €</w:t>
            </w:r>
          </w:p>
        </w:tc>
        <w:tc>
          <w:tcPr>
            <w:tcW w:w="1869" w:type="dxa"/>
            <w:vAlign w:val="bottom"/>
          </w:tcPr>
          <w:p w14:paraId="7244240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-4,3%</w:t>
            </w:r>
          </w:p>
        </w:tc>
        <w:tc>
          <w:tcPr>
            <w:tcW w:w="1411" w:type="dxa"/>
            <w:vAlign w:val="bottom"/>
          </w:tcPr>
          <w:p w14:paraId="3B279D47"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bl>
    <w:p w14:paraId="41619BFE" w14:textId="77777777" w:rsidR="007933D2"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7: Distritos con mayor descenso trimestral, interanual y precio</w:t>
      </w:r>
    </w:p>
    <w:tbl>
      <w:tblPr>
        <w:tblStyle w:val="a5"/>
        <w:tblW w:w="90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321"/>
        <w:gridCol w:w="1868"/>
        <w:gridCol w:w="1869"/>
        <w:gridCol w:w="1411"/>
      </w:tblGrid>
      <w:tr w:rsidR="007933D2" w14:paraId="6164AADC" w14:textId="77777777" w:rsidTr="007933D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vAlign w:val="center"/>
          </w:tcPr>
          <w:p w14:paraId="58AA3238" w14:textId="77777777" w:rsidR="007933D2" w:rsidRDefault="00000000">
            <w:pPr>
              <w:rPr>
                <w:rFonts w:ascii="Open Sans" w:eastAsia="Open Sans" w:hAnsi="Open Sans" w:cs="Open Sans"/>
                <w:sz w:val="22"/>
                <w:szCs w:val="22"/>
              </w:rPr>
            </w:pPr>
            <w:r>
              <w:rPr>
                <w:rFonts w:ascii="Open Sans" w:eastAsia="Open Sans" w:hAnsi="Open Sans" w:cs="Open Sans"/>
                <w:b w:val="0"/>
                <w:sz w:val="20"/>
                <w:szCs w:val="20"/>
              </w:rPr>
              <w:t>Ciudad</w:t>
            </w:r>
          </w:p>
        </w:tc>
        <w:tc>
          <w:tcPr>
            <w:tcW w:w="2321" w:type="dxa"/>
            <w:shd w:val="clear" w:color="auto" w:fill="1DBDC5"/>
            <w:vAlign w:val="center"/>
          </w:tcPr>
          <w:p w14:paraId="14556B1C" w14:textId="77777777" w:rsidR="007933D2"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Distrito</w:t>
            </w:r>
          </w:p>
        </w:tc>
        <w:tc>
          <w:tcPr>
            <w:tcW w:w="1868" w:type="dxa"/>
            <w:shd w:val="clear" w:color="auto" w:fill="1DBDC5"/>
          </w:tcPr>
          <w:p w14:paraId="2BFABFB4"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2024 (€/m²)</w:t>
            </w:r>
          </w:p>
        </w:tc>
        <w:tc>
          <w:tcPr>
            <w:tcW w:w="1869" w:type="dxa"/>
            <w:shd w:val="clear" w:color="auto" w:fill="1DBDC5"/>
          </w:tcPr>
          <w:p w14:paraId="4D992E83"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89A346E"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411" w:type="dxa"/>
            <w:shd w:val="clear" w:color="auto" w:fill="1DBDC5"/>
          </w:tcPr>
          <w:p w14:paraId="1EDA1576"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F761DDE" w14:textId="77777777" w:rsidR="007933D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933D2" w14:paraId="3FEC5ACF"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vAlign w:val="bottom"/>
          </w:tcPr>
          <w:p w14:paraId="6DFB9243"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6726F419"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Sarrià - Sant Gervasi</w:t>
            </w:r>
          </w:p>
        </w:tc>
        <w:tc>
          <w:tcPr>
            <w:tcW w:w="1868" w:type="dxa"/>
            <w:vAlign w:val="bottom"/>
          </w:tcPr>
          <w:p w14:paraId="5C6F425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21,92 €</w:t>
            </w:r>
          </w:p>
        </w:tc>
        <w:tc>
          <w:tcPr>
            <w:tcW w:w="1869" w:type="dxa"/>
            <w:vAlign w:val="bottom"/>
          </w:tcPr>
          <w:p w14:paraId="334FF21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6,5%</w:t>
            </w:r>
          </w:p>
        </w:tc>
        <w:tc>
          <w:tcPr>
            <w:tcW w:w="1411" w:type="dxa"/>
            <w:vAlign w:val="bottom"/>
          </w:tcPr>
          <w:p w14:paraId="1D07664D"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w:t>
            </w:r>
          </w:p>
        </w:tc>
      </w:tr>
      <w:tr w:rsidR="007933D2" w14:paraId="4D90B624"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696491EF"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523F7CC1"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Martí</w:t>
            </w:r>
          </w:p>
        </w:tc>
        <w:tc>
          <w:tcPr>
            <w:tcW w:w="1868" w:type="dxa"/>
            <w:vAlign w:val="bottom"/>
          </w:tcPr>
          <w:p w14:paraId="68A1C669"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22,98 €</w:t>
            </w:r>
          </w:p>
        </w:tc>
        <w:tc>
          <w:tcPr>
            <w:tcW w:w="1869" w:type="dxa"/>
            <w:vAlign w:val="bottom"/>
          </w:tcPr>
          <w:p w14:paraId="2145A33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5,9%</w:t>
            </w:r>
          </w:p>
        </w:tc>
        <w:tc>
          <w:tcPr>
            <w:tcW w:w="1411" w:type="dxa"/>
            <w:vAlign w:val="bottom"/>
          </w:tcPr>
          <w:p w14:paraId="0793D64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7933D2" w14:paraId="180DB79B"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43A85413"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2BAE444E"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Gràcia</w:t>
            </w:r>
          </w:p>
        </w:tc>
        <w:tc>
          <w:tcPr>
            <w:tcW w:w="1868" w:type="dxa"/>
            <w:vAlign w:val="bottom"/>
          </w:tcPr>
          <w:p w14:paraId="577F3149"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21,69 €</w:t>
            </w:r>
          </w:p>
        </w:tc>
        <w:tc>
          <w:tcPr>
            <w:tcW w:w="1869" w:type="dxa"/>
            <w:vAlign w:val="bottom"/>
          </w:tcPr>
          <w:p w14:paraId="4592AC4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4,5%</w:t>
            </w:r>
          </w:p>
        </w:tc>
        <w:tc>
          <w:tcPr>
            <w:tcW w:w="1411" w:type="dxa"/>
            <w:vAlign w:val="bottom"/>
          </w:tcPr>
          <w:p w14:paraId="26E77203"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r>
      <w:tr w:rsidR="007933D2" w14:paraId="2F2C06E1"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614978F8"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5AB29CC1"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Andreu</w:t>
            </w:r>
          </w:p>
        </w:tc>
        <w:tc>
          <w:tcPr>
            <w:tcW w:w="1868" w:type="dxa"/>
            <w:vAlign w:val="bottom"/>
          </w:tcPr>
          <w:p w14:paraId="1134901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18,36 €</w:t>
            </w:r>
          </w:p>
        </w:tc>
        <w:tc>
          <w:tcPr>
            <w:tcW w:w="1869" w:type="dxa"/>
            <w:vAlign w:val="bottom"/>
          </w:tcPr>
          <w:p w14:paraId="2887FB53"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4,2%</w:t>
            </w:r>
          </w:p>
        </w:tc>
        <w:tc>
          <w:tcPr>
            <w:tcW w:w="1411" w:type="dxa"/>
            <w:vAlign w:val="bottom"/>
          </w:tcPr>
          <w:p w14:paraId="03C1718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w:t>
            </w:r>
          </w:p>
        </w:tc>
      </w:tr>
      <w:tr w:rsidR="007933D2" w14:paraId="3805EFEF"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4710B53D"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6705B448"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 - Guinardó</w:t>
            </w:r>
          </w:p>
        </w:tc>
        <w:tc>
          <w:tcPr>
            <w:tcW w:w="1868" w:type="dxa"/>
            <w:vAlign w:val="bottom"/>
          </w:tcPr>
          <w:p w14:paraId="60E2272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18,14 €</w:t>
            </w:r>
          </w:p>
        </w:tc>
        <w:tc>
          <w:tcPr>
            <w:tcW w:w="1869" w:type="dxa"/>
            <w:vAlign w:val="bottom"/>
          </w:tcPr>
          <w:p w14:paraId="5F055D82"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w:t>
            </w:r>
          </w:p>
        </w:tc>
        <w:tc>
          <w:tcPr>
            <w:tcW w:w="1411" w:type="dxa"/>
            <w:vAlign w:val="bottom"/>
          </w:tcPr>
          <w:p w14:paraId="6BE1299A"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w:t>
            </w:r>
          </w:p>
        </w:tc>
      </w:tr>
      <w:tr w:rsidR="007933D2" w14:paraId="149CE9F6"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56D26862"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60FB5928"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Sants - Montjuïc</w:t>
            </w:r>
          </w:p>
        </w:tc>
        <w:tc>
          <w:tcPr>
            <w:tcW w:w="1868" w:type="dxa"/>
            <w:vAlign w:val="bottom"/>
          </w:tcPr>
          <w:p w14:paraId="2598406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19,77 €</w:t>
            </w:r>
          </w:p>
        </w:tc>
        <w:tc>
          <w:tcPr>
            <w:tcW w:w="1869" w:type="dxa"/>
            <w:vAlign w:val="bottom"/>
          </w:tcPr>
          <w:p w14:paraId="5CEB8655"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0,9%</w:t>
            </w:r>
          </w:p>
        </w:tc>
        <w:tc>
          <w:tcPr>
            <w:tcW w:w="1411" w:type="dxa"/>
            <w:vAlign w:val="bottom"/>
          </w:tcPr>
          <w:p w14:paraId="528D5FB1"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r>
      <w:tr w:rsidR="007933D2" w14:paraId="19C6C4D2"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62C841FB"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37981C31"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Ciutat Vella</w:t>
            </w:r>
          </w:p>
        </w:tc>
        <w:tc>
          <w:tcPr>
            <w:tcW w:w="1868" w:type="dxa"/>
            <w:vAlign w:val="bottom"/>
          </w:tcPr>
          <w:p w14:paraId="617E4DC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22,28 €</w:t>
            </w:r>
          </w:p>
        </w:tc>
        <w:tc>
          <w:tcPr>
            <w:tcW w:w="1869" w:type="dxa"/>
            <w:vAlign w:val="bottom"/>
          </w:tcPr>
          <w:p w14:paraId="4579C9A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0,7%</w:t>
            </w:r>
          </w:p>
        </w:tc>
        <w:tc>
          <w:tcPr>
            <w:tcW w:w="1411" w:type="dxa"/>
            <w:vAlign w:val="bottom"/>
          </w:tcPr>
          <w:p w14:paraId="6C3A75D1"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7933D2" w14:paraId="6A0AB95F" w14:textId="77777777" w:rsidTr="007933D2">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7979635C"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40E5ADAB" w14:textId="77777777" w:rsidR="007933D2"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Eixample</w:t>
            </w:r>
          </w:p>
        </w:tc>
        <w:tc>
          <w:tcPr>
            <w:tcW w:w="1868" w:type="dxa"/>
            <w:vAlign w:val="bottom"/>
          </w:tcPr>
          <w:p w14:paraId="46444CAB"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21,43 €</w:t>
            </w:r>
          </w:p>
        </w:tc>
        <w:tc>
          <w:tcPr>
            <w:tcW w:w="1869" w:type="dxa"/>
            <w:vAlign w:val="bottom"/>
          </w:tcPr>
          <w:p w14:paraId="453E03E7"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-1,6%</w:t>
            </w:r>
          </w:p>
        </w:tc>
        <w:tc>
          <w:tcPr>
            <w:tcW w:w="1411" w:type="dxa"/>
            <w:vAlign w:val="bottom"/>
          </w:tcPr>
          <w:p w14:paraId="77288F34" w14:textId="77777777" w:rsidR="007933D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r w:rsidR="007933D2" w14:paraId="59AFCEEF" w14:textId="77777777" w:rsidTr="007933D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3876588A" w14:textId="77777777" w:rsidR="007933D2"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2F2F769B" w14:textId="77777777" w:rsidR="007933D2"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Les Corts</w:t>
            </w:r>
          </w:p>
        </w:tc>
        <w:tc>
          <w:tcPr>
            <w:tcW w:w="1868" w:type="dxa"/>
            <w:vAlign w:val="bottom"/>
          </w:tcPr>
          <w:p w14:paraId="4AE5F54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19,54 €</w:t>
            </w:r>
          </w:p>
        </w:tc>
        <w:tc>
          <w:tcPr>
            <w:tcW w:w="1869" w:type="dxa"/>
            <w:vAlign w:val="bottom"/>
          </w:tcPr>
          <w:p w14:paraId="7300280B"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-4,7%</w:t>
            </w:r>
          </w:p>
        </w:tc>
        <w:tc>
          <w:tcPr>
            <w:tcW w:w="1411" w:type="dxa"/>
            <w:vAlign w:val="bottom"/>
          </w:tcPr>
          <w:p w14:paraId="680D1A1E" w14:textId="77777777" w:rsidR="007933D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r>
    </w:tbl>
    <w:p w14:paraId="48A27F17" w14:textId="77777777" w:rsidR="007933D2" w:rsidRDefault="007933D2">
      <w:pPr>
        <w:spacing w:line="276" w:lineRule="auto"/>
        <w:ind w:right="-574"/>
        <w:jc w:val="right"/>
        <w:rPr>
          <w:rFonts w:ascii="Open Sans Light" w:eastAsia="Open Sans Light" w:hAnsi="Open Sans Light" w:cs="Open Sans Light"/>
          <w:b/>
          <w:color w:val="303AB2"/>
        </w:rPr>
      </w:pPr>
    </w:p>
    <w:p w14:paraId="2EE0D2DE" w14:textId="77777777" w:rsidR="000C5AD7" w:rsidRDefault="000C5AD7">
      <w:pPr>
        <w:spacing w:line="276" w:lineRule="auto"/>
        <w:ind w:right="-574"/>
        <w:jc w:val="right"/>
        <w:rPr>
          <w:rFonts w:ascii="Open Sans Light" w:eastAsia="Open Sans Light" w:hAnsi="Open Sans Light" w:cs="Open Sans Light"/>
          <w:b/>
          <w:color w:val="303AB2"/>
        </w:rPr>
      </w:pPr>
    </w:p>
    <w:p w14:paraId="1CF26E26" w14:textId="020655C2" w:rsidR="007933D2"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B7864A6" w14:textId="77777777" w:rsidR="007933D2"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3" w:name="_heading=h.2s8eyo1" w:colFirst="0" w:colLast="0"/>
    <w:bookmarkEnd w:id="3"/>
    <w:p w14:paraId="74B9FAA9" w14:textId="77777777" w:rsidR="007933D2"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1DD214BE" w14:textId="77777777" w:rsidR="007933D2"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2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3DFB559" w14:textId="77777777" w:rsidR="007933D2"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Adevinta Spain</w:t>
      </w:r>
    </w:p>
    <w:p w14:paraId="383CD5C0" w14:textId="77777777" w:rsidR="007933D2" w:rsidRDefault="00000000">
      <w:pPr>
        <w:spacing w:before="143" w:after="200"/>
        <w:ind w:right="-574"/>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8">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3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32">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0E0E5FE" w14:textId="77777777" w:rsidR="007933D2"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EE40071" w14:textId="77777777" w:rsidR="007933D2"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2BF1A740" w14:textId="77777777" w:rsidR="007933D2"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3">
        <w:r>
          <w:rPr>
            <w:rFonts w:ascii="Open Sans" w:eastAsia="Open Sans" w:hAnsi="Open Sans" w:cs="Open Sans"/>
            <w:color w:val="1155CC"/>
            <w:sz w:val="22"/>
            <w:szCs w:val="22"/>
            <w:u w:val="single"/>
          </w:rPr>
          <w:t>adevinta.es</w:t>
        </w:r>
      </w:hyperlink>
    </w:p>
    <w:p w14:paraId="70A9FE91" w14:textId="77777777" w:rsidR="007933D2" w:rsidRDefault="007933D2">
      <w:pPr>
        <w:spacing w:after="160"/>
        <w:ind w:right="-574"/>
        <w:jc w:val="both"/>
        <w:rPr>
          <w:rFonts w:ascii="Open Sans" w:eastAsia="Open Sans" w:hAnsi="Open Sans" w:cs="Open Sans"/>
        </w:rPr>
      </w:pPr>
    </w:p>
    <w:p w14:paraId="4497E2FB" w14:textId="77777777" w:rsidR="007933D2" w:rsidRDefault="007933D2">
      <w:pPr>
        <w:spacing w:after="160"/>
        <w:ind w:right="-574"/>
        <w:jc w:val="both"/>
        <w:rPr>
          <w:rFonts w:ascii="Open Sans" w:eastAsia="Open Sans" w:hAnsi="Open Sans" w:cs="Open Sans"/>
        </w:rPr>
      </w:pPr>
    </w:p>
    <w:p w14:paraId="11EB9D04" w14:textId="77777777" w:rsidR="007933D2"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6F3502A" w14:textId="77777777" w:rsidR="007933D2"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F570718" w14:textId="77777777" w:rsidR="007933D2" w:rsidRDefault="00000000">
      <w:pPr>
        <w:shd w:val="clear" w:color="auto" w:fill="FFFFFF"/>
        <w:spacing w:line="276" w:lineRule="auto"/>
        <w:ind w:right="-574"/>
        <w:rPr>
          <w:rFonts w:ascii="Open Sans" w:eastAsia="Open Sans" w:hAnsi="Open Sans" w:cs="Open Sans"/>
          <w:color w:val="0000FF"/>
          <w:sz w:val="22"/>
          <w:szCs w:val="22"/>
          <w:u w:val="single"/>
        </w:rPr>
      </w:pPr>
      <w:hyperlink r:id="rId34">
        <w:r>
          <w:rPr>
            <w:rFonts w:ascii="Open Sans" w:eastAsia="Open Sans" w:hAnsi="Open Sans" w:cs="Open Sans"/>
            <w:color w:val="0000FF"/>
            <w:sz w:val="22"/>
            <w:szCs w:val="22"/>
            <w:u w:val="single"/>
          </w:rPr>
          <w:t>comunicacion@fotocasa.es</w:t>
        </w:r>
      </w:hyperlink>
    </w:p>
    <w:p w14:paraId="18B7E12A" w14:textId="77777777" w:rsidR="007933D2"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145B9A2" w14:textId="77777777" w:rsidR="007933D2" w:rsidRDefault="007933D2">
      <w:pPr>
        <w:spacing w:line="276" w:lineRule="auto"/>
        <w:ind w:right="-574"/>
        <w:rPr>
          <w:rFonts w:ascii="Open Sans Light" w:eastAsia="Open Sans Light" w:hAnsi="Open Sans Light" w:cs="Open Sans Light"/>
          <w:b/>
          <w:color w:val="303AB2"/>
          <w:sz w:val="22"/>
          <w:szCs w:val="22"/>
        </w:rPr>
      </w:pPr>
    </w:p>
    <w:p w14:paraId="4AEF7097" w14:textId="77777777" w:rsidR="007933D2" w:rsidRDefault="007933D2">
      <w:pPr>
        <w:spacing w:line="276" w:lineRule="auto"/>
        <w:ind w:right="-574"/>
        <w:rPr>
          <w:rFonts w:ascii="Open Sans Light" w:eastAsia="Open Sans Light" w:hAnsi="Open Sans Light" w:cs="Open Sans Light"/>
          <w:b/>
          <w:color w:val="303AB2"/>
          <w:sz w:val="22"/>
          <w:szCs w:val="22"/>
        </w:rPr>
      </w:pPr>
    </w:p>
    <w:p w14:paraId="5EBF2A8B" w14:textId="77777777" w:rsidR="007933D2"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6D00098" w14:textId="77777777" w:rsidR="007933D2"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4B3A8D9" w14:textId="77777777" w:rsidR="007933D2" w:rsidRPr="000C5AD7"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35">
        <w:r w:rsidRPr="000C5AD7">
          <w:rPr>
            <w:rFonts w:ascii="Open Sans" w:eastAsia="Open Sans" w:hAnsi="Open Sans" w:cs="Open Sans"/>
            <w:color w:val="0000FF"/>
            <w:sz w:val="22"/>
            <w:szCs w:val="22"/>
            <w:u w:val="single"/>
            <w:lang w:val="en-US"/>
          </w:rPr>
          <w:t>rtorne@llorenteycuenca.com</w:t>
        </w:r>
      </w:hyperlink>
      <w:r w:rsidRPr="000C5AD7">
        <w:rPr>
          <w:rFonts w:ascii="Open Sans" w:eastAsia="Open Sans" w:hAnsi="Open Sans" w:cs="Open Sans"/>
          <w:color w:val="0000FF"/>
          <w:sz w:val="22"/>
          <w:szCs w:val="22"/>
          <w:lang w:val="en-US"/>
        </w:rPr>
        <w:tab/>
      </w:r>
      <w:r w:rsidRPr="000C5AD7">
        <w:rPr>
          <w:rFonts w:ascii="Open Sans" w:eastAsia="Open Sans" w:hAnsi="Open Sans" w:cs="Open Sans"/>
          <w:color w:val="0000FF"/>
          <w:sz w:val="22"/>
          <w:szCs w:val="22"/>
          <w:lang w:val="en-US"/>
        </w:rPr>
        <w:tab/>
      </w:r>
      <w:r w:rsidRPr="000C5AD7">
        <w:rPr>
          <w:rFonts w:ascii="Open Sans" w:eastAsia="Open Sans" w:hAnsi="Open Sans" w:cs="Open Sans"/>
          <w:color w:val="0000FF"/>
          <w:sz w:val="22"/>
          <w:szCs w:val="22"/>
          <w:lang w:val="en-US"/>
        </w:rPr>
        <w:tab/>
      </w:r>
    </w:p>
    <w:p w14:paraId="0B6180AD" w14:textId="77777777" w:rsidR="007933D2" w:rsidRPr="000C5AD7" w:rsidRDefault="00000000">
      <w:pPr>
        <w:shd w:val="clear" w:color="auto" w:fill="FFFFFF"/>
        <w:spacing w:line="276" w:lineRule="auto"/>
        <w:ind w:right="-574"/>
        <w:rPr>
          <w:rFonts w:ascii="Open Sans" w:eastAsia="Open Sans" w:hAnsi="Open Sans" w:cs="Open Sans"/>
          <w:color w:val="000000"/>
          <w:sz w:val="22"/>
          <w:szCs w:val="22"/>
          <w:lang w:val="en-US"/>
        </w:rPr>
      </w:pPr>
      <w:r w:rsidRPr="000C5AD7">
        <w:rPr>
          <w:rFonts w:ascii="Open Sans" w:eastAsia="Open Sans" w:hAnsi="Open Sans" w:cs="Open Sans"/>
          <w:color w:val="000000"/>
          <w:sz w:val="22"/>
          <w:szCs w:val="22"/>
          <w:lang w:val="en-US"/>
        </w:rPr>
        <w:t xml:space="preserve">638 68 19 85      </w:t>
      </w:r>
      <w:r w:rsidRPr="000C5AD7">
        <w:rPr>
          <w:rFonts w:ascii="Open Sans" w:eastAsia="Open Sans" w:hAnsi="Open Sans" w:cs="Open Sans"/>
          <w:color w:val="000000"/>
          <w:sz w:val="22"/>
          <w:szCs w:val="22"/>
          <w:lang w:val="en-US"/>
        </w:rPr>
        <w:tab/>
      </w:r>
      <w:r w:rsidRPr="000C5AD7">
        <w:rPr>
          <w:rFonts w:ascii="Open Sans" w:eastAsia="Open Sans" w:hAnsi="Open Sans" w:cs="Open Sans"/>
          <w:color w:val="000000"/>
          <w:sz w:val="22"/>
          <w:szCs w:val="22"/>
          <w:lang w:val="en-US"/>
        </w:rPr>
        <w:tab/>
      </w:r>
      <w:r w:rsidRPr="000C5AD7">
        <w:rPr>
          <w:rFonts w:ascii="Open Sans" w:eastAsia="Open Sans" w:hAnsi="Open Sans" w:cs="Open Sans"/>
          <w:color w:val="000000"/>
          <w:sz w:val="22"/>
          <w:szCs w:val="22"/>
          <w:lang w:val="en-US"/>
        </w:rPr>
        <w:tab/>
      </w:r>
      <w:r w:rsidRPr="000C5AD7">
        <w:rPr>
          <w:rFonts w:ascii="Open Sans" w:eastAsia="Open Sans" w:hAnsi="Open Sans" w:cs="Open Sans"/>
          <w:color w:val="000000"/>
          <w:sz w:val="22"/>
          <w:szCs w:val="22"/>
          <w:lang w:val="en-US"/>
        </w:rPr>
        <w:tab/>
      </w:r>
      <w:r w:rsidRPr="000C5AD7">
        <w:rPr>
          <w:rFonts w:ascii="Open Sans" w:eastAsia="Open Sans" w:hAnsi="Open Sans" w:cs="Open Sans"/>
          <w:color w:val="000000"/>
          <w:sz w:val="22"/>
          <w:szCs w:val="22"/>
          <w:lang w:val="en-US"/>
        </w:rPr>
        <w:tab/>
      </w:r>
      <w:r w:rsidRPr="000C5AD7">
        <w:rPr>
          <w:rFonts w:ascii="Open Sans" w:eastAsia="Open Sans" w:hAnsi="Open Sans" w:cs="Open Sans"/>
          <w:color w:val="000000"/>
          <w:sz w:val="22"/>
          <w:szCs w:val="22"/>
          <w:lang w:val="en-US"/>
        </w:rPr>
        <w:tab/>
      </w:r>
      <w:r w:rsidRPr="000C5AD7">
        <w:rPr>
          <w:rFonts w:ascii="Open Sans" w:eastAsia="Open Sans" w:hAnsi="Open Sans" w:cs="Open Sans"/>
          <w:color w:val="000000"/>
          <w:sz w:val="22"/>
          <w:szCs w:val="22"/>
          <w:lang w:val="en-US"/>
        </w:rPr>
        <w:tab/>
      </w:r>
      <w:r w:rsidRPr="000C5AD7">
        <w:rPr>
          <w:rFonts w:ascii="Open Sans" w:eastAsia="Open Sans" w:hAnsi="Open Sans" w:cs="Open Sans"/>
          <w:color w:val="000000"/>
          <w:sz w:val="22"/>
          <w:szCs w:val="22"/>
          <w:lang w:val="en-US"/>
        </w:rPr>
        <w:tab/>
      </w:r>
    </w:p>
    <w:p w14:paraId="36921948" w14:textId="77777777" w:rsidR="007933D2" w:rsidRPr="000C5AD7" w:rsidRDefault="00000000">
      <w:pPr>
        <w:shd w:val="clear" w:color="auto" w:fill="FFFFFF"/>
        <w:ind w:right="-574"/>
        <w:rPr>
          <w:rFonts w:ascii="Arial" w:eastAsia="Arial" w:hAnsi="Arial" w:cs="Arial"/>
          <w:color w:val="222222"/>
          <w:sz w:val="22"/>
          <w:szCs w:val="22"/>
          <w:lang w:val="en-US"/>
        </w:rPr>
      </w:pPr>
      <w:r w:rsidRPr="000C5AD7">
        <w:rPr>
          <w:rFonts w:ascii="Arial" w:eastAsia="Arial" w:hAnsi="Arial" w:cs="Arial"/>
          <w:color w:val="222222"/>
          <w:sz w:val="22"/>
          <w:szCs w:val="22"/>
          <w:lang w:val="en-US"/>
        </w:rPr>
        <w:tab/>
      </w:r>
    </w:p>
    <w:p w14:paraId="1DE0ADFC" w14:textId="77777777" w:rsidR="007933D2" w:rsidRPr="000C5AD7" w:rsidRDefault="00000000">
      <w:pPr>
        <w:shd w:val="clear" w:color="auto" w:fill="FFFFFF"/>
        <w:ind w:right="-574"/>
        <w:rPr>
          <w:rFonts w:ascii="Arial" w:eastAsia="Arial" w:hAnsi="Arial" w:cs="Arial"/>
          <w:color w:val="222222"/>
          <w:sz w:val="22"/>
          <w:szCs w:val="22"/>
          <w:lang w:val="en-US"/>
        </w:rPr>
      </w:pPr>
      <w:r w:rsidRPr="000C5AD7">
        <w:rPr>
          <w:rFonts w:ascii="Arial" w:eastAsia="Arial" w:hAnsi="Arial" w:cs="Arial"/>
          <w:color w:val="222222"/>
          <w:sz w:val="22"/>
          <w:szCs w:val="22"/>
          <w:lang w:val="en-US"/>
        </w:rPr>
        <w:tab/>
      </w:r>
      <w:r w:rsidRPr="000C5AD7">
        <w:rPr>
          <w:rFonts w:ascii="Arial" w:eastAsia="Arial" w:hAnsi="Arial" w:cs="Arial"/>
          <w:color w:val="222222"/>
          <w:sz w:val="22"/>
          <w:szCs w:val="22"/>
          <w:lang w:val="en-US"/>
        </w:rPr>
        <w:tab/>
      </w:r>
      <w:r w:rsidRPr="000C5AD7">
        <w:rPr>
          <w:rFonts w:ascii="Arial" w:eastAsia="Arial" w:hAnsi="Arial" w:cs="Arial"/>
          <w:color w:val="222222"/>
          <w:sz w:val="22"/>
          <w:szCs w:val="22"/>
          <w:lang w:val="en-US"/>
        </w:rPr>
        <w:tab/>
      </w:r>
      <w:r w:rsidRPr="000C5AD7">
        <w:rPr>
          <w:rFonts w:ascii="Arial" w:eastAsia="Arial" w:hAnsi="Arial" w:cs="Arial"/>
          <w:color w:val="222222"/>
          <w:sz w:val="22"/>
          <w:szCs w:val="22"/>
          <w:lang w:val="en-US"/>
        </w:rPr>
        <w:tab/>
      </w:r>
      <w:r w:rsidRPr="000C5AD7">
        <w:rPr>
          <w:rFonts w:ascii="Arial" w:eastAsia="Arial" w:hAnsi="Arial" w:cs="Arial"/>
          <w:color w:val="222222"/>
          <w:sz w:val="22"/>
          <w:szCs w:val="22"/>
          <w:lang w:val="en-US"/>
        </w:rPr>
        <w:tab/>
      </w:r>
      <w:r w:rsidRPr="000C5AD7">
        <w:rPr>
          <w:rFonts w:ascii="Arial" w:eastAsia="Arial" w:hAnsi="Arial" w:cs="Arial"/>
          <w:color w:val="222222"/>
          <w:sz w:val="22"/>
          <w:szCs w:val="22"/>
          <w:lang w:val="en-US"/>
        </w:rPr>
        <w:tab/>
        <w:t xml:space="preserve">     </w:t>
      </w:r>
    </w:p>
    <w:p w14:paraId="4F7F5352" w14:textId="77777777" w:rsidR="007933D2" w:rsidRPr="000C5AD7" w:rsidRDefault="00000000">
      <w:pPr>
        <w:shd w:val="clear" w:color="auto" w:fill="FFFFFF"/>
        <w:ind w:right="-574"/>
        <w:rPr>
          <w:rFonts w:ascii="Open Sans" w:eastAsia="Open Sans" w:hAnsi="Open Sans" w:cs="Open Sans"/>
          <w:b/>
          <w:color w:val="000000"/>
          <w:sz w:val="22"/>
          <w:szCs w:val="22"/>
          <w:lang w:val="en-US"/>
        </w:rPr>
      </w:pPr>
      <w:r w:rsidRPr="000C5AD7">
        <w:rPr>
          <w:rFonts w:ascii="Open Sans" w:eastAsia="Open Sans" w:hAnsi="Open Sans" w:cs="Open Sans"/>
          <w:b/>
          <w:color w:val="000000"/>
          <w:sz w:val="22"/>
          <w:szCs w:val="22"/>
          <w:lang w:val="en-US"/>
        </w:rPr>
        <w:t>Fanny Merino</w:t>
      </w:r>
    </w:p>
    <w:p w14:paraId="62AC4229" w14:textId="77777777" w:rsidR="007933D2" w:rsidRPr="000C5AD7" w:rsidRDefault="00000000">
      <w:pPr>
        <w:shd w:val="clear" w:color="auto" w:fill="FFFFFF"/>
        <w:ind w:right="-574"/>
        <w:rPr>
          <w:rFonts w:ascii="Open Sans" w:eastAsia="Open Sans" w:hAnsi="Open Sans" w:cs="Open Sans"/>
          <w:b/>
          <w:color w:val="000000"/>
          <w:sz w:val="22"/>
          <w:szCs w:val="22"/>
          <w:lang w:val="en-US"/>
        </w:rPr>
      </w:pPr>
      <w:hyperlink r:id="rId36">
        <w:r w:rsidRPr="000C5AD7">
          <w:rPr>
            <w:rFonts w:ascii="Open Sans" w:eastAsia="Open Sans" w:hAnsi="Open Sans" w:cs="Open Sans"/>
            <w:color w:val="0000FF"/>
            <w:sz w:val="22"/>
            <w:szCs w:val="22"/>
            <w:u w:val="single"/>
            <w:lang w:val="en-US"/>
          </w:rPr>
          <w:t>emerino@llorenteycuenca.com</w:t>
        </w:r>
      </w:hyperlink>
      <w:r w:rsidRPr="000C5AD7">
        <w:rPr>
          <w:rFonts w:ascii="Open Sans" w:eastAsia="Open Sans" w:hAnsi="Open Sans" w:cs="Open Sans"/>
          <w:color w:val="0000FF"/>
          <w:sz w:val="22"/>
          <w:szCs w:val="22"/>
          <w:lang w:val="en-US"/>
        </w:rPr>
        <w:tab/>
      </w:r>
      <w:r w:rsidRPr="000C5AD7">
        <w:rPr>
          <w:rFonts w:ascii="Open Sans" w:eastAsia="Open Sans" w:hAnsi="Open Sans" w:cs="Open Sans"/>
          <w:color w:val="0000FF"/>
          <w:sz w:val="22"/>
          <w:szCs w:val="22"/>
          <w:lang w:val="en-US"/>
        </w:rPr>
        <w:tab/>
      </w:r>
    </w:p>
    <w:p w14:paraId="057302C7" w14:textId="77777777" w:rsidR="007933D2" w:rsidRDefault="00000000">
      <w:pPr>
        <w:shd w:val="clear" w:color="auto" w:fill="FFFFFF"/>
        <w:ind w:right="-574"/>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83E44A4" w14:textId="77777777" w:rsidR="007933D2" w:rsidRDefault="007933D2">
      <w:pPr>
        <w:shd w:val="clear" w:color="auto" w:fill="FFFFFF"/>
        <w:ind w:right="-574"/>
        <w:rPr>
          <w:rFonts w:ascii="Open Sans" w:eastAsia="Open Sans" w:hAnsi="Open Sans" w:cs="Open Sans"/>
          <w:color w:val="000000"/>
          <w:sz w:val="22"/>
          <w:szCs w:val="22"/>
        </w:rPr>
      </w:pPr>
    </w:p>
    <w:p w14:paraId="77DC11D4" w14:textId="77777777" w:rsidR="007933D2" w:rsidRDefault="007933D2">
      <w:pPr>
        <w:shd w:val="clear" w:color="auto" w:fill="FFFFFF"/>
        <w:ind w:right="-574"/>
        <w:rPr>
          <w:rFonts w:ascii="Open Sans" w:eastAsia="Open Sans" w:hAnsi="Open Sans" w:cs="Open Sans"/>
          <w:color w:val="000000"/>
          <w:sz w:val="22"/>
          <w:szCs w:val="22"/>
        </w:rPr>
      </w:pPr>
    </w:p>
    <w:p w14:paraId="50A4F271" w14:textId="77777777" w:rsidR="007933D2" w:rsidRDefault="007933D2">
      <w:pPr>
        <w:spacing w:line="276" w:lineRule="auto"/>
        <w:ind w:right="-574"/>
        <w:jc w:val="right"/>
        <w:rPr>
          <w:rFonts w:ascii="Open Sans" w:eastAsia="Open Sans" w:hAnsi="Open Sans" w:cs="Open Sans"/>
          <w:color w:val="000000"/>
          <w:sz w:val="21"/>
          <w:szCs w:val="21"/>
        </w:rPr>
      </w:pPr>
    </w:p>
    <w:sectPr w:rsidR="007933D2">
      <w:footerReference w:type="default" r:id="rId3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C2801" w14:textId="77777777" w:rsidR="00F16DF2" w:rsidRDefault="00F16DF2">
      <w:r>
        <w:separator/>
      </w:r>
    </w:p>
  </w:endnote>
  <w:endnote w:type="continuationSeparator" w:id="0">
    <w:p w14:paraId="44E10EF7" w14:textId="77777777" w:rsidR="00F16DF2" w:rsidRDefault="00F1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BEC5E" w14:textId="77777777" w:rsidR="007933D2"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C5AD7">
      <w:rPr>
        <w:noProof/>
        <w:color w:val="000000"/>
      </w:rPr>
      <w:t>1</w:t>
    </w:r>
    <w:r>
      <w:rPr>
        <w:color w:val="000000"/>
      </w:rPr>
      <w:fldChar w:fldCharType="end"/>
    </w:r>
  </w:p>
  <w:p w14:paraId="1FC7B608" w14:textId="77777777" w:rsidR="007933D2" w:rsidRDefault="007933D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951F1" w14:textId="77777777" w:rsidR="00F16DF2" w:rsidRDefault="00F16DF2">
      <w:r>
        <w:separator/>
      </w:r>
    </w:p>
  </w:footnote>
  <w:footnote w:type="continuationSeparator" w:id="0">
    <w:p w14:paraId="6AD2BC61" w14:textId="77777777" w:rsidR="00F16DF2" w:rsidRDefault="00F1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37235"/>
    <w:multiLevelType w:val="multilevel"/>
    <w:tmpl w:val="58180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450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D2"/>
    <w:rsid w:val="000C5AD7"/>
    <w:rsid w:val="007933D2"/>
    <w:rsid w:val="00F16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E3A1"/>
  <w15:docId w15:val="{2F26BBF7-15B2-4065-95F4-2C1CA061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C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0C5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570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8VscwtH15EU" TargetMode="External"/><Relationship Id="rId18" Type="http://schemas.openxmlformats.org/officeDocument/2006/relationships/image" Target="media/image6.png"/><Relationship Id="rId26" Type="http://schemas.openxmlformats.org/officeDocument/2006/relationships/hyperlink" Target="https://www.fotocasa.es/es/quienes-somos/"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image" Target="media/image5.png"/><Relationship Id="rId25" Type="http://schemas.openxmlformats.org/officeDocument/2006/relationships/hyperlink" Target="https://www.adevinta.com/" TargetMode="External"/><Relationship Id="rId33" Type="http://schemas.openxmlformats.org/officeDocument/2006/relationships/hyperlink" Target="http://adevinta.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rensa.fotocasa.es" TargetMode="External"/><Relationship Id="rId32" Type="http://schemas.openxmlformats.org/officeDocument/2006/relationships/hyperlink" Target="https://www.milanuncios.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otocasa.es/indice/" TargetMode="External"/><Relationship Id="rId28" Type="http://schemas.openxmlformats.org/officeDocument/2006/relationships/hyperlink" Target="https://www.habitaclia.com/" TargetMode="External"/><Relationship Id="rId36"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 TargetMode="External"/><Relationship Id="rId31"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youtu.be/8VscwtH15EU" TargetMode="External"/><Relationship Id="rId14" Type="http://schemas.openxmlformats.org/officeDocument/2006/relationships/image" Target="media/image2.jpeg"/><Relationship Id="rId22" Type="http://schemas.openxmlformats.org/officeDocument/2006/relationships/hyperlink" Target="http://fotocasa.es" TargetMode="External"/><Relationship Id="rId27" Type="http://schemas.openxmlformats.org/officeDocument/2006/relationships/hyperlink" Target="https://www.fotocasa.es/es/" TargetMode="External"/><Relationship Id="rId30" Type="http://schemas.openxmlformats.org/officeDocument/2006/relationships/hyperlink" Target="https://www.coches.net/" TargetMode="External"/><Relationship Id="rId35" Type="http://schemas.openxmlformats.org/officeDocument/2006/relationships/hyperlink" Target="mailto:rtorne@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3-NOTAS%20DE%20PRENSA\02-ALQUILER\2024\03-MARZO\PRENSA%20ALQUILER%20MAR-202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0742143301076452E-2"/>
          <c:y val="4.561825201212729E-2"/>
          <c:w val="0.94885678271547336"/>
          <c:h val="0.63083298798176535"/>
        </c:manualLayout>
      </c:layout>
      <c:barChart>
        <c:barDir val="col"/>
        <c:grouping val="clustered"/>
        <c:varyColors val="0"/>
        <c:ser>
          <c:idx val="0"/>
          <c:order val="0"/>
          <c:tx>
            <c:strRef>
              <c:f>'ccaa tablas'!$C$20</c:f>
              <c:strCache>
                <c:ptCount val="1"/>
                <c:pt idx="0">
                  <c:v>  % trimestral</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'ccaa tablas'!$B$26:$B$31</c:f>
              <c:strCache>
                <c:ptCount val="6"/>
                <c:pt idx="0">
                  <c:v>  T1                             2019</c:v>
                </c:pt>
                <c:pt idx="1">
                  <c:v>  T1                           2020</c:v>
                </c:pt>
                <c:pt idx="2">
                  <c:v>  T1                             2021</c:v>
                </c:pt>
                <c:pt idx="3">
                  <c:v>  T1                             2022</c:v>
                </c:pt>
                <c:pt idx="4">
                  <c:v>  T1                             2023</c:v>
                </c:pt>
                <c:pt idx="5">
                  <c:v>  T1                             2024</c:v>
                </c:pt>
              </c:strCache>
            </c:strRef>
          </c:cat>
          <c:val>
            <c:numRef>
              <c:f>'ccaa tablas'!$C$26:$C$31</c:f>
              <c:numCache>
                <c:formatCode>0.0%</c:formatCode>
                <c:ptCount val="6"/>
                <c:pt idx="0">
                  <c:v>1.7543859649122799E-2</c:v>
                </c:pt>
                <c:pt idx="1">
                  <c:v>6.483300589390964E-2</c:v>
                </c:pt>
                <c:pt idx="2">
                  <c:v>-1.8779342723004796E-2</c:v>
                </c:pt>
                <c:pt idx="3">
                  <c:v>2.531645569620251E-2</c:v>
                </c:pt>
                <c:pt idx="4">
                  <c:v>4.7144152311876825E-2</c:v>
                </c:pt>
                <c:pt idx="5">
                  <c:v>6.0034305317324121E-2</c:v>
                </c:pt>
              </c:numCache>
            </c:numRef>
          </c:val>
          <c:extLst>
            <c:ext xmlns:c16="http://schemas.microsoft.com/office/drawing/2014/chart" uri="{C3380CC4-5D6E-409C-BE32-E72D297353CC}">
              <c16:uniqueId val="{00000000-4216-4669-8FA8-EC3F912BAB19}"/>
            </c:ext>
          </c:extLst>
        </c:ser>
        <c:ser>
          <c:idx val="1"/>
          <c:order val="1"/>
          <c:tx>
            <c:strRef>
              <c:f>'ccaa tablas'!$D$20</c:f>
              <c:strCache>
                <c:ptCount val="1"/>
                <c:pt idx="0">
                  <c:v> % interanual</c:v>
                </c:pt>
              </c:strCache>
            </c:strRef>
          </c:tx>
          <c:spPr>
            <a:solidFill>
              <a:srgbClr val="5B9BD5">
                <a:lumMod val="75000"/>
              </a:srgbClr>
            </a:solidFill>
            <a:ln>
              <a:noFill/>
            </a:ln>
            <a:effectLst/>
          </c:spPr>
          <c:invertIfNegative val="0"/>
          <c:dLbls>
            <c:dLbl>
              <c:idx val="1"/>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16-4669-8FA8-EC3F912BAB19}"/>
                </c:ext>
              </c:extLst>
            </c:dLbl>
            <c:dLbl>
              <c:idx val="2"/>
              <c:layout>
                <c:manualLayout>
                  <c:x val="-3.7589828961839857E-3"/>
                  <c:y val="-7.01645829074643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16-4669-8FA8-EC3F912BAB19}"/>
                </c:ext>
              </c:extLst>
            </c:dLbl>
            <c:dLbl>
              <c:idx val="3"/>
              <c:layout>
                <c:manualLayout>
                  <c:x val="6.79117147707979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16-4669-8FA8-EC3F912BAB1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 tablas'!$B$26:$B$31</c:f>
              <c:strCache>
                <c:ptCount val="6"/>
                <c:pt idx="0">
                  <c:v>  T1                             2019</c:v>
                </c:pt>
                <c:pt idx="1">
                  <c:v>  T1                           2020</c:v>
                </c:pt>
                <c:pt idx="2">
                  <c:v>  T1                             2021</c:v>
                </c:pt>
                <c:pt idx="3">
                  <c:v>  T1                             2022</c:v>
                </c:pt>
                <c:pt idx="4">
                  <c:v>  T1                             2023</c:v>
                </c:pt>
                <c:pt idx="5">
                  <c:v>  T1                             2024</c:v>
                </c:pt>
              </c:strCache>
            </c:strRef>
          </c:cat>
          <c:val>
            <c:numRef>
              <c:f>'ccaa tablas'!$D$26:$D$31</c:f>
              <c:numCache>
                <c:formatCode>0.0%</c:formatCode>
                <c:ptCount val="6"/>
                <c:pt idx="0">
                  <c:v>4.670912951167723E-2</c:v>
                </c:pt>
                <c:pt idx="1">
                  <c:v>9.9391480730223178E-2</c:v>
                </c:pt>
                <c:pt idx="2">
                  <c:v>-3.597785977859784E-2</c:v>
                </c:pt>
                <c:pt idx="3">
                  <c:v>7.6555023923445048E-3</c:v>
                </c:pt>
                <c:pt idx="4">
                  <c:v>9.6866096866096998E-2</c:v>
                </c:pt>
                <c:pt idx="5">
                  <c:v>7.0129870129870014E-2</c:v>
                </c:pt>
              </c:numCache>
            </c:numRef>
          </c:val>
          <c:extLst>
            <c:ext xmlns:c16="http://schemas.microsoft.com/office/drawing/2014/chart" uri="{C3380CC4-5D6E-409C-BE32-E72D297353CC}">
              <c16:uniqueId val="{00000004-4216-4669-8FA8-EC3F912BAB19}"/>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cross"/>
        <c:minorTickMark val="none"/>
        <c:tickLblPos val="low"/>
        <c:spPr>
          <a:noFill/>
          <a:ln w="22225" cap="flat" cmpd="sng" algn="ctr">
            <a:solidFill>
              <a:sysClr val="windowText" lastClr="000000"/>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ysClr val="windowText" lastClr="000000"/>
                </a:solidFill>
                <a:latin typeface="Open Sans"/>
                <a:ea typeface="+mn-ea"/>
                <a:cs typeface="+mn-cs"/>
              </a:defRPr>
            </a:pPr>
            <a:endParaRPr lang="es-ES"/>
          </a:p>
        </c:txPr>
      </c:legendEntry>
      <c:layout>
        <c:manualLayout>
          <c:xMode val="edge"/>
          <c:yMode val="edge"/>
          <c:x val="6.2923538269520018E-2"/>
          <c:y val="0.84631262587520117"/>
          <c:w val="0.85926224347185198"/>
          <c:h val="0.1128739020562669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aEDAsAYNARYLUg4rtkQJ7klIaw==">CgMxLjAyCGguZ2pkZ3hzMgloLjMwajB6bGwyCWguMWZvYjl0ZTIJaC4yczhleW8xOAByITFaM0NUTnZHV01KTjFfLTFJbXBndjNXQXdPRkNqWk9Hcg==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2804</Words>
  <Characters>15422</Characters>
  <Application>Microsoft Office Word</Application>
  <DocSecurity>0</DocSecurity>
  <Lines>128</Lines>
  <Paragraphs>36</Paragraphs>
  <ScaleCrop>false</ScaleCrop>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cp:revision>
  <dcterms:created xsi:type="dcterms:W3CDTF">2021-04-13T15:00:00Z</dcterms:created>
  <dcterms:modified xsi:type="dcterms:W3CDTF">2024-04-02T14:27:00Z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2024-03-31T18:48:57Z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8e5f0cb8-44e8-45cb-8d5b-aab3967745b4</vt:lpwstr>
  </property>
  <property fmtid="{D5CDD505-2E9C-101B-9397-08002B2CF9AE}" pid="8" name="MSIP_Label_defa4170-0d19-0005-0004-bc88714345d2_ContentBits">
    <vt:lpwstr>0</vt:lpwstr>
  </property>
</Properties>
</file>