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576D7" w14:textId="77777777" w:rsidR="001239B0" w:rsidRDefault="00000000">
      <w:pPr>
        <w:ind w:right="-574"/>
      </w:pPr>
      <w:r>
        <w:rPr>
          <w:noProof/>
        </w:rPr>
        <w:drawing>
          <wp:anchor distT="0" distB="0" distL="114300" distR="114300" simplePos="0" relativeHeight="251658240" behindDoc="0" locked="0" layoutInCell="1" hidden="0" allowOverlap="1" wp14:anchorId="43470F9D" wp14:editId="182ED29A">
            <wp:simplePos x="0" y="0"/>
            <wp:positionH relativeFrom="column">
              <wp:posOffset>-1080134</wp:posOffset>
            </wp:positionH>
            <wp:positionV relativeFrom="paragraph">
              <wp:posOffset>-447674</wp:posOffset>
            </wp:positionV>
            <wp:extent cx="7581265" cy="1019175"/>
            <wp:effectExtent l="0" t="0" r="0" b="0"/>
            <wp:wrapNone/>
            <wp:docPr id="165105667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7581265" cy="1019175"/>
                    </a:xfrm>
                    <a:prstGeom prst="rect">
                      <a:avLst/>
                    </a:prstGeom>
                    <a:ln/>
                  </pic:spPr>
                </pic:pic>
              </a:graphicData>
            </a:graphic>
          </wp:anchor>
        </w:drawing>
      </w:r>
    </w:p>
    <w:p w14:paraId="0BFCBD85" w14:textId="77777777" w:rsidR="001239B0" w:rsidRDefault="001239B0">
      <w:pPr>
        <w:ind w:right="-574"/>
        <w:jc w:val="right"/>
        <w:rPr>
          <w:rFonts w:ascii="National" w:eastAsia="National" w:hAnsi="National" w:cs="National"/>
          <w:color w:val="303AB2"/>
          <w:sz w:val="36"/>
          <w:szCs w:val="36"/>
        </w:rPr>
      </w:pPr>
    </w:p>
    <w:p w14:paraId="79FF5F9E" w14:textId="77777777" w:rsidR="001239B0" w:rsidRDefault="001239B0">
      <w:pPr>
        <w:ind w:right="-574"/>
        <w:jc w:val="right"/>
        <w:rPr>
          <w:rFonts w:ascii="National" w:eastAsia="National" w:hAnsi="National" w:cs="National"/>
          <w:color w:val="303AB2"/>
          <w:sz w:val="36"/>
          <w:szCs w:val="36"/>
        </w:rPr>
      </w:pPr>
    </w:p>
    <w:p w14:paraId="55043B77" w14:textId="77777777" w:rsidR="001239B0" w:rsidRDefault="001239B0">
      <w:pPr>
        <w:ind w:right="-574"/>
        <w:rPr>
          <w:rFonts w:ascii="National" w:eastAsia="National" w:hAnsi="National" w:cs="National"/>
          <w:color w:val="303AB2"/>
          <w:sz w:val="16"/>
          <w:szCs w:val="16"/>
        </w:rPr>
      </w:pPr>
    </w:p>
    <w:p w14:paraId="1E6A22DE" w14:textId="77777777" w:rsidR="001239B0"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PRIMER TRIMESTRE 2024: PRECIO VIVIENDA EN VENTA</w:t>
      </w:r>
    </w:p>
    <w:p w14:paraId="68C861EF" w14:textId="5EB2621C" w:rsidR="001239B0" w:rsidRDefault="00000000">
      <w:pPr>
        <w:spacing w:line="276" w:lineRule="auto"/>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en España sube un 2,5% trimestral y un 7,4% interanual  </w:t>
      </w:r>
    </w:p>
    <w:p w14:paraId="6A61EC02" w14:textId="77777777" w:rsidR="001239B0" w:rsidRDefault="001239B0">
      <w:pPr>
        <w:ind w:right="-574"/>
        <w:rPr>
          <w:rFonts w:ascii="National" w:eastAsia="National" w:hAnsi="National" w:cs="National"/>
          <w:b/>
          <w:color w:val="303AB2"/>
          <w:sz w:val="16"/>
          <w:szCs w:val="16"/>
        </w:rPr>
      </w:pPr>
    </w:p>
    <w:p w14:paraId="49A7EEEE" w14:textId="77777777" w:rsidR="001239B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de la vivienda se incrementa un 7,4% interanual y sitúa su precio mensual en 2.259 euros/m</w:t>
      </w:r>
      <w:r>
        <w:rPr>
          <w:rFonts w:ascii="Open Sans" w:eastAsia="Open Sans" w:hAnsi="Open Sans" w:cs="Open Sans"/>
          <w:color w:val="303AB2"/>
          <w:vertAlign w:val="superscript"/>
        </w:rPr>
        <w:t>2</w:t>
      </w:r>
    </w:p>
    <w:p w14:paraId="4A85F102" w14:textId="5FDDE215" w:rsidR="001239B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Aumenta el precio de la vivienda de segunda mano en el primer trimestre en 14 Comunidades Autónomas, en 37 provincias y en el 71% de los municipios </w:t>
      </w:r>
    </w:p>
    <w:p w14:paraId="1928A1E4" w14:textId="3A5D5369" w:rsidR="001239B0" w:rsidRPr="000F478B" w:rsidRDefault="000F478B">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303AB2"/>
        </w:rPr>
      </w:pPr>
      <w:hyperlink r:id="rId7" w:history="1">
        <w:r w:rsidR="00000000" w:rsidRPr="000F478B">
          <w:rPr>
            <w:rStyle w:val="Hipervnculo"/>
            <w:rFonts w:ascii="Open Sans" w:eastAsia="Open Sans" w:hAnsi="Open Sans" w:cs="Open Sans"/>
            <w:b/>
            <w:bCs/>
          </w:rPr>
          <w:t>Aquí se puede ver un vídeo de la directora de Estudios de Fotocasa</w:t>
        </w:r>
      </w:hyperlink>
    </w:p>
    <w:p w14:paraId="46D76DF6" w14:textId="77777777" w:rsidR="001239B0" w:rsidRDefault="001239B0">
      <w:pPr>
        <w:spacing w:line="276" w:lineRule="auto"/>
        <w:ind w:left="360" w:right="-574"/>
        <w:jc w:val="both"/>
        <w:rPr>
          <w:rFonts w:ascii="Open Sans" w:eastAsia="Open Sans" w:hAnsi="Open Sans" w:cs="Open Sans"/>
          <w:color w:val="303AB2"/>
        </w:rPr>
      </w:pPr>
    </w:p>
    <w:p w14:paraId="51A250CE" w14:textId="77777777" w:rsidR="001239B0" w:rsidRDefault="00000000">
      <w:pPr>
        <w:spacing w:line="276" w:lineRule="auto"/>
        <w:ind w:right="-574"/>
        <w:jc w:val="both"/>
        <w:rPr>
          <w:rFonts w:ascii="Open Sans" w:eastAsia="Open Sans" w:hAnsi="Open Sans" w:cs="Open Sans"/>
          <w:color w:val="303AB2"/>
        </w:rPr>
      </w:pPr>
      <w:r>
        <w:rPr>
          <w:rFonts w:ascii="Open Sans" w:eastAsia="Open Sans" w:hAnsi="Open Sans" w:cs="Open Sans"/>
          <w:color w:val="303AB2"/>
        </w:rPr>
        <w:t>Madrid, 2 de abril de 2024</w:t>
      </w:r>
    </w:p>
    <w:p w14:paraId="220C3023" w14:textId="77777777" w:rsidR="000F478B" w:rsidRDefault="000F478B">
      <w:pPr>
        <w:spacing w:line="276" w:lineRule="auto"/>
        <w:ind w:right="-574"/>
        <w:jc w:val="both"/>
        <w:rPr>
          <w:rFonts w:ascii="Open Sans Light" w:eastAsia="Open Sans Light" w:hAnsi="Open Sans Light" w:cs="Open Sans Light"/>
          <w:color w:val="303AB2"/>
        </w:rPr>
      </w:pPr>
    </w:p>
    <w:p w14:paraId="5B02D1E4" w14:textId="77777777" w:rsidR="001239B0" w:rsidRDefault="00000000">
      <w:pPr>
        <w:spacing w:line="276" w:lineRule="auto"/>
        <w:ind w:right="-574"/>
        <w:jc w:val="both"/>
        <w:rPr>
          <w:color w:val="000000"/>
        </w:rPr>
      </w:pPr>
      <w:r>
        <w:rPr>
          <w:rFonts w:ascii="Open Sans" w:eastAsia="Open Sans" w:hAnsi="Open Sans" w:cs="Open Sans"/>
          <w:color w:val="000000"/>
        </w:rPr>
        <w:t xml:space="preserve">En los primeros tres meses de año, España ha experimentado variaciones positivas en el precio de la vivienda de segunda mano, pero en concreto, </w:t>
      </w:r>
      <w:r w:rsidRPr="000F478B">
        <w:rPr>
          <w:rFonts w:ascii="Open Sans" w:eastAsia="Open Sans" w:hAnsi="Open Sans" w:cs="Open Sans"/>
          <w:b/>
          <w:bCs/>
          <w:color w:val="000000"/>
        </w:rPr>
        <w:t xml:space="preserve">cierra el primer trimestre del año con un incremento trimestral del 2,5% y </w:t>
      </w:r>
      <w:r w:rsidRPr="000F478B">
        <w:rPr>
          <w:rFonts w:ascii="Open Sans" w:eastAsia="Open Sans" w:hAnsi="Open Sans" w:cs="Open Sans"/>
          <w:b/>
          <w:bCs/>
        </w:rPr>
        <w:t>otro del</w:t>
      </w:r>
      <w:r w:rsidRPr="000F478B">
        <w:rPr>
          <w:rFonts w:ascii="Open Sans" w:eastAsia="Open Sans" w:hAnsi="Open Sans" w:cs="Open Sans"/>
          <w:b/>
          <w:bCs/>
          <w:color w:val="000000"/>
        </w:rPr>
        <w:t xml:space="preserve"> 7,4% interanual</w:t>
      </w:r>
      <w:r>
        <w:rPr>
          <w:rFonts w:ascii="Open Sans" w:eastAsia="Open Sans" w:hAnsi="Open Sans" w:cs="Open Sans"/>
          <w:color w:val="000000"/>
        </w:rPr>
        <w:t xml:space="preserve">, según los datos del Índice Inmobiliario </w:t>
      </w:r>
      <w:hyperlink r:id="rId8">
        <w:r>
          <w:rPr>
            <w:rFonts w:ascii="Open Sans" w:eastAsia="Open Sans" w:hAnsi="Open Sans" w:cs="Open Sans"/>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 xml:space="preserve">Estos </w:t>
      </w:r>
      <w:r>
        <w:rPr>
          <w:rFonts w:ascii="Open Sans" w:eastAsia="Open Sans" w:hAnsi="Open Sans" w:cs="Open Sans"/>
        </w:rPr>
        <w:t xml:space="preserve">aumentos </w:t>
      </w:r>
      <w:r>
        <w:rPr>
          <w:rFonts w:ascii="Open Sans" w:eastAsia="Open Sans" w:hAnsi="Open Sans" w:cs="Open Sans"/>
          <w:color w:val="000000"/>
        </w:rPr>
        <w:t>detectados en marzo sitúan el precio de la vivienda en venta en 2.259 euros por metro cuadrado.</w:t>
      </w:r>
      <w:r>
        <w:rPr>
          <w:color w:val="000000"/>
        </w:rPr>
        <w:t xml:space="preserve"> </w:t>
      </w:r>
    </w:p>
    <w:p w14:paraId="163AF69E" w14:textId="77777777" w:rsidR="001239B0" w:rsidRDefault="001239B0">
      <w:pPr>
        <w:spacing w:line="276" w:lineRule="auto"/>
        <w:ind w:right="-574"/>
        <w:jc w:val="both"/>
        <w:rPr>
          <w:color w:val="000000"/>
        </w:rPr>
      </w:pPr>
    </w:p>
    <w:p w14:paraId="6F13B641" w14:textId="77777777" w:rsidR="001239B0"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 xml:space="preserve">Variación trimestral e interanual en el primer </w:t>
      </w:r>
    </w:p>
    <w:p w14:paraId="6243D7EB" w14:textId="77777777" w:rsidR="001239B0" w:rsidRDefault="00000000">
      <w:pPr>
        <w:spacing w:line="276" w:lineRule="auto"/>
        <w:ind w:right="-574"/>
        <w:jc w:val="center"/>
        <w:rPr>
          <w:rFonts w:ascii="Open Sans" w:eastAsia="Open Sans" w:hAnsi="Open Sans" w:cs="Open Sans"/>
          <w:color w:val="000000"/>
        </w:rPr>
      </w:pPr>
      <w:r>
        <w:rPr>
          <w:noProof/>
        </w:rPr>
        <w:drawing>
          <wp:inline distT="0" distB="0" distL="0" distR="0" wp14:anchorId="57522C3F" wp14:editId="0C037DB0">
            <wp:extent cx="5052060" cy="2529840"/>
            <wp:effectExtent l="0" t="0" r="0" b="3810"/>
            <wp:docPr id="1651056672" name="Gráfico 1651056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BF3965" w14:textId="77777777" w:rsidR="001239B0" w:rsidRDefault="00000000">
      <w:pPr>
        <w:spacing w:line="276" w:lineRule="auto"/>
        <w:ind w:right="-574"/>
        <w:jc w:val="both"/>
        <w:rPr>
          <w:rFonts w:ascii="Open Sans" w:eastAsia="Open Sans" w:hAnsi="Open Sans" w:cs="Open Sans"/>
          <w:b/>
          <w:bCs/>
        </w:rPr>
      </w:pPr>
      <w:r>
        <w:rPr>
          <w:rFonts w:ascii="Open Sans" w:eastAsia="Open Sans" w:hAnsi="Open Sans" w:cs="Open Sans"/>
        </w:rPr>
        <w:lastRenderedPageBreak/>
        <w:t xml:space="preserve">“La compra de vivienda en España continúa atravesando un periodo de alta demanda a esperas de la posible bajada de tipos de interés. Se produce un gran distanciamiento de la demanda con respecto a la oferta, lo que provoca tensiones en el precio. De hecho, el abultado crecimiento interanual indica un calentamiento del precio en vez de una tendencia hacia la moderación. Mientras la demanda continúe intensa, avivada por una incertidumbre que se disipa en el plano macroeconómico y por un mercado laboral resiliente, continuaremos viendo actividad en el mercado, lo que hará que los precios se mantengan al alza”, </w:t>
      </w:r>
      <w:r w:rsidRPr="000F478B">
        <w:rPr>
          <w:rFonts w:ascii="Open Sans" w:eastAsia="Open Sans" w:hAnsi="Open Sans" w:cs="Open Sans"/>
          <w:b/>
          <w:bCs/>
        </w:rPr>
        <w:t xml:space="preserve">explica María Matos, directora de Estudios y portavoz de </w:t>
      </w:r>
      <w:hyperlink r:id="rId10">
        <w:r w:rsidRPr="000F478B">
          <w:rPr>
            <w:rFonts w:ascii="Open Sans" w:eastAsia="Open Sans" w:hAnsi="Open Sans" w:cs="Open Sans"/>
            <w:b/>
            <w:bCs/>
            <w:color w:val="1155CC"/>
            <w:u w:val="single"/>
          </w:rPr>
          <w:t>Fotocasa</w:t>
        </w:r>
      </w:hyperlink>
      <w:r w:rsidRPr="000F478B">
        <w:rPr>
          <w:rFonts w:ascii="Open Sans" w:eastAsia="Open Sans" w:hAnsi="Open Sans" w:cs="Open Sans"/>
          <w:b/>
          <w:bCs/>
        </w:rPr>
        <w:t xml:space="preserve">. </w:t>
      </w:r>
    </w:p>
    <w:p w14:paraId="0888D2CE" w14:textId="77777777" w:rsidR="000F478B" w:rsidRDefault="000F478B">
      <w:pPr>
        <w:spacing w:line="276" w:lineRule="auto"/>
        <w:ind w:right="-574"/>
        <w:jc w:val="both"/>
        <w:rPr>
          <w:rFonts w:ascii="Open Sans" w:eastAsia="Open Sans" w:hAnsi="Open Sans" w:cs="Open Sans"/>
          <w:b/>
          <w:bCs/>
        </w:rPr>
      </w:pPr>
    </w:p>
    <w:p w14:paraId="58B61C36" w14:textId="694A5E06" w:rsidR="000F478B" w:rsidRDefault="000F478B" w:rsidP="000F478B">
      <w:pPr>
        <w:spacing w:line="276" w:lineRule="auto"/>
        <w:ind w:right="-574"/>
        <w:jc w:val="center"/>
        <w:rPr>
          <w:rFonts w:ascii="Open Sans" w:eastAsia="Open Sans" w:hAnsi="Open Sans" w:cs="Open Sans"/>
          <w:b/>
          <w:bCs/>
        </w:rPr>
      </w:pPr>
      <w:hyperlink r:id="rId11" w:history="1">
        <w:r w:rsidRPr="000F478B">
          <w:rPr>
            <w:rStyle w:val="Hipervnculo"/>
            <w:rFonts w:ascii="Open Sans" w:eastAsia="Open Sans" w:hAnsi="Open Sans" w:cs="Open Sans"/>
            <w:b/>
            <w:bCs/>
          </w:rPr>
          <w:t>Declaraciones de María Matos, directora de Estudios de Fotocasa</w:t>
        </w:r>
      </w:hyperlink>
    </w:p>
    <w:p w14:paraId="55A4BA33" w14:textId="7C2574E7" w:rsidR="000F478B" w:rsidRDefault="000F478B" w:rsidP="000F478B">
      <w:pPr>
        <w:pStyle w:val="NormalWeb"/>
        <w:jc w:val="center"/>
      </w:pPr>
      <w:r>
        <w:rPr>
          <w:noProof/>
        </w:rPr>
        <w:drawing>
          <wp:inline distT="0" distB="0" distL="0" distR="0" wp14:anchorId="3BC37D25" wp14:editId="46C6B2AB">
            <wp:extent cx="5844540" cy="3039876"/>
            <wp:effectExtent l="0" t="0" r="3810" b="8255"/>
            <wp:docPr id="1041319739" name="Imagen 1" descr="Interfaz de usuario gráfica, Aplicación&#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19739" name="Imagen 1" descr="Interfaz de usuario gráfica, Aplicación&#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9862" cy="3047845"/>
                    </a:xfrm>
                    <a:prstGeom prst="rect">
                      <a:avLst/>
                    </a:prstGeom>
                    <a:noFill/>
                    <a:ln>
                      <a:noFill/>
                    </a:ln>
                  </pic:spPr>
                </pic:pic>
              </a:graphicData>
            </a:graphic>
          </wp:inline>
        </w:drawing>
      </w:r>
    </w:p>
    <w:p w14:paraId="0B709658" w14:textId="77777777" w:rsidR="000F478B" w:rsidRDefault="000F478B">
      <w:pPr>
        <w:spacing w:line="276" w:lineRule="auto"/>
        <w:ind w:right="-574"/>
        <w:jc w:val="both"/>
        <w:rPr>
          <w:rFonts w:ascii="Open Sans" w:eastAsia="Open Sans" w:hAnsi="Open Sans" w:cs="Open Sans"/>
        </w:rPr>
      </w:pPr>
    </w:p>
    <w:p w14:paraId="0144EE08"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CCAA, este primer trimestre de 2024 se presenta con 14 subidas trimestrales y 16 interanuales. La </w:t>
      </w:r>
      <w:r>
        <w:rPr>
          <w:rFonts w:ascii="Open Sans" w:eastAsia="Open Sans" w:hAnsi="Open Sans" w:cs="Open Sans"/>
        </w:rPr>
        <w:t>c</w:t>
      </w:r>
      <w:r>
        <w:rPr>
          <w:rFonts w:ascii="Open Sans" w:eastAsia="Open Sans" w:hAnsi="Open Sans" w:cs="Open Sans"/>
          <w:color w:val="000000"/>
        </w:rPr>
        <w:t xml:space="preserve">omunidad con el mayor incremento trimestral es Baleares con 6,4%, seguida de Canarias (5,9%), Andalucía (3,8%), Baleares (3,1%),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(3,0%), Región de Murcia (2,8%), Cataluña (2,4%), Cantabria (2,2%), País Vasco (1,5%), Extremadura (1,2%), Castilla y León (1,1%), Galicia (1,1%), Asturias (0,5%) y Castilla-La Mancha (0,2%). Por otro lado, los descensos trimestrales corresponden a las comunidades de La Rioja (-0,8%), Aragón (-1,2%) y Navarra (-2,5%).</w:t>
      </w:r>
    </w:p>
    <w:p w14:paraId="4C6C6C57" w14:textId="77777777" w:rsidR="001239B0" w:rsidRDefault="001239B0">
      <w:pPr>
        <w:spacing w:line="276" w:lineRule="auto"/>
        <w:ind w:right="-574"/>
        <w:jc w:val="both"/>
        <w:rPr>
          <w:rFonts w:ascii="Open Sans Light" w:eastAsia="Open Sans Light" w:hAnsi="Open Sans Light" w:cs="Open Sans Light"/>
          <w:b/>
          <w:color w:val="303AB2"/>
          <w:sz w:val="28"/>
          <w:szCs w:val="28"/>
        </w:rPr>
      </w:pPr>
    </w:p>
    <w:p w14:paraId="4F38A5A3" w14:textId="77777777" w:rsidR="000F478B" w:rsidRDefault="000F478B">
      <w:pPr>
        <w:spacing w:line="276" w:lineRule="auto"/>
        <w:ind w:right="-574"/>
        <w:jc w:val="both"/>
        <w:rPr>
          <w:rFonts w:ascii="Open Sans Light" w:eastAsia="Open Sans Light" w:hAnsi="Open Sans Light" w:cs="Open Sans Light"/>
          <w:b/>
          <w:color w:val="303AB2"/>
          <w:sz w:val="28"/>
          <w:szCs w:val="28"/>
        </w:rPr>
      </w:pPr>
    </w:p>
    <w:p w14:paraId="768531BA"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primer trimestre por CCAA</w:t>
      </w:r>
    </w:p>
    <w:p w14:paraId="6ED195FE" w14:textId="77777777" w:rsidR="001239B0"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4E2D0B87" wp14:editId="493C833F">
            <wp:extent cx="5669280" cy="4000500"/>
            <wp:effectExtent l="0" t="0" r="7620" b="0"/>
            <wp:docPr id="1651056674" name="image1.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Gráfico&#10;&#10;Descripción generada automáticamente con confianza media"/>
                    <pic:cNvPicPr preferRelativeResize="0"/>
                  </pic:nvPicPr>
                  <pic:blipFill>
                    <a:blip r:embed="rId13"/>
                    <a:srcRect/>
                    <a:stretch>
                      <a:fillRect/>
                    </a:stretch>
                  </pic:blipFill>
                  <pic:spPr>
                    <a:xfrm>
                      <a:off x="0" y="0"/>
                      <a:ext cx="5669280" cy="4000500"/>
                    </a:xfrm>
                    <a:prstGeom prst="rect">
                      <a:avLst/>
                    </a:prstGeom>
                    <a:ln/>
                  </pic:spPr>
                </pic:pic>
              </a:graphicData>
            </a:graphic>
          </wp:inline>
        </w:drawing>
      </w:r>
    </w:p>
    <w:p w14:paraId="797420FD" w14:textId="77777777" w:rsidR="001239B0" w:rsidRDefault="001239B0">
      <w:pPr>
        <w:spacing w:line="276" w:lineRule="auto"/>
        <w:ind w:right="-574"/>
        <w:jc w:val="center"/>
        <w:rPr>
          <w:rFonts w:ascii="Open Sans Light" w:eastAsia="Open Sans Light" w:hAnsi="Open Sans Light" w:cs="Open Sans Light"/>
          <w:b/>
          <w:color w:val="303AB2"/>
          <w:sz w:val="28"/>
          <w:szCs w:val="28"/>
        </w:rPr>
      </w:pPr>
    </w:p>
    <w:p w14:paraId="532FD943" w14:textId="77777777" w:rsidR="000F478B" w:rsidRDefault="000F478B">
      <w:pPr>
        <w:spacing w:line="276" w:lineRule="auto"/>
        <w:ind w:right="-574"/>
        <w:jc w:val="center"/>
        <w:rPr>
          <w:rFonts w:ascii="Open Sans Light" w:eastAsia="Open Sans Light" w:hAnsi="Open Sans Light" w:cs="Open Sans Light"/>
          <w:b/>
          <w:color w:val="303AB2"/>
          <w:sz w:val="28"/>
          <w:szCs w:val="28"/>
        </w:rPr>
      </w:pPr>
    </w:p>
    <w:p w14:paraId="77228384" w14:textId="489F761F" w:rsidR="001239B0" w:rsidRDefault="00000000">
      <w:pPr>
        <w:spacing w:line="276" w:lineRule="auto"/>
        <w:ind w:right="-574"/>
        <w:jc w:val="both"/>
        <w:rPr>
          <w:rFonts w:ascii="Open Sans" w:eastAsia="Open Sans" w:hAnsi="Open Sans" w:cs="Open Sans"/>
          <w:color w:val="000000"/>
        </w:rPr>
      </w:pPr>
      <w:r w:rsidRPr="00A12CF4">
        <w:rPr>
          <w:rFonts w:ascii="Open Sans" w:eastAsia="Open Sans" w:hAnsi="Open Sans" w:cs="Open Sans"/>
          <w:b/>
          <w:bCs/>
          <w:color w:val="000000"/>
        </w:rPr>
        <w:t>En cuanto al ranking de precios por comunidades</w:t>
      </w:r>
      <w:r>
        <w:rPr>
          <w:rFonts w:ascii="Open Sans" w:eastAsia="Open Sans" w:hAnsi="Open Sans" w:cs="Open Sans"/>
          <w:color w:val="000000"/>
        </w:rPr>
        <w:t xml:space="preserve">, Baleares y Madrid, ocupan los primeros puestos, </w:t>
      </w:r>
      <w:r>
        <w:rPr>
          <w:rFonts w:ascii="Open Sans" w:eastAsia="Open Sans" w:hAnsi="Open Sans" w:cs="Open Sans"/>
        </w:rPr>
        <w:t>superando</w:t>
      </w:r>
      <w:r>
        <w:rPr>
          <w:rFonts w:ascii="Open Sans" w:eastAsia="Open Sans" w:hAnsi="Open Sans" w:cs="Open Sans"/>
          <w:color w:val="000000"/>
        </w:rPr>
        <w:t xml:space="preserve"> la barrera de los 3.000 euros, en concreto </w:t>
      </w:r>
      <w:r>
        <w:rPr>
          <w:rFonts w:ascii="Open Sans" w:eastAsia="Open Sans" w:hAnsi="Open Sans" w:cs="Open Sans"/>
        </w:rPr>
        <w:t>el precio medio de una vivienda de segunda mano en</w:t>
      </w:r>
      <w:r>
        <w:rPr>
          <w:rFonts w:ascii="Open Sans" w:eastAsia="Open Sans" w:hAnsi="Open Sans" w:cs="Open Sans"/>
          <w:color w:val="000000"/>
        </w:rPr>
        <w:t xml:space="preserve"> Madrid </w:t>
      </w:r>
      <w:r>
        <w:rPr>
          <w:rFonts w:ascii="Open Sans" w:eastAsia="Open Sans" w:hAnsi="Open Sans" w:cs="Open Sans"/>
        </w:rPr>
        <w:t xml:space="preserve">se sitúa en </w:t>
      </w:r>
      <w:r>
        <w:rPr>
          <w:rFonts w:ascii="Open Sans" w:eastAsia="Open Sans" w:hAnsi="Open Sans" w:cs="Open Sans"/>
          <w:color w:val="000000"/>
        </w:rPr>
        <w:t>4.008 euros/m</w:t>
      </w:r>
      <w:r>
        <w:rPr>
          <w:rFonts w:ascii="Open Sans" w:eastAsia="Open Sans" w:hAnsi="Open Sans" w:cs="Open Sans"/>
          <w:color w:val="000000"/>
          <w:vertAlign w:val="superscript"/>
        </w:rPr>
        <w:t>2</w:t>
      </w:r>
      <w:r>
        <w:rPr>
          <w:rFonts w:ascii="Open Sans" w:eastAsia="Open Sans" w:hAnsi="Open Sans" w:cs="Open Sans"/>
          <w:color w:val="000000"/>
        </w:rPr>
        <w:t xml:space="preserve">, Baleares </w:t>
      </w:r>
      <w:r>
        <w:rPr>
          <w:rFonts w:ascii="Open Sans" w:eastAsia="Open Sans" w:hAnsi="Open Sans" w:cs="Open Sans"/>
        </w:rPr>
        <w:t>en</w:t>
      </w:r>
      <w:r>
        <w:rPr>
          <w:rFonts w:ascii="Open Sans" w:eastAsia="Open Sans" w:hAnsi="Open Sans" w:cs="Open Sans"/>
          <w:color w:val="000000"/>
        </w:rPr>
        <w:t xml:space="preserve"> 3.968 euros/m</w:t>
      </w:r>
      <w:r>
        <w:rPr>
          <w:rFonts w:ascii="Open Sans" w:eastAsia="Open Sans" w:hAnsi="Open Sans" w:cs="Open Sans"/>
          <w:color w:val="000000"/>
          <w:vertAlign w:val="superscript"/>
        </w:rPr>
        <w:t>2</w:t>
      </w:r>
      <w:r>
        <w:rPr>
          <w:rFonts w:ascii="Open Sans" w:eastAsia="Open Sans" w:hAnsi="Open Sans" w:cs="Open Sans"/>
          <w:color w:val="000000"/>
        </w:rPr>
        <w:t xml:space="preserve"> y País Vasco </w:t>
      </w:r>
      <w:r>
        <w:rPr>
          <w:rFonts w:ascii="Open Sans" w:eastAsia="Open Sans" w:hAnsi="Open Sans" w:cs="Open Sans"/>
        </w:rPr>
        <w:t>en</w:t>
      </w:r>
      <w:r>
        <w:rPr>
          <w:rFonts w:ascii="Open Sans" w:eastAsia="Open Sans" w:hAnsi="Open Sans" w:cs="Open Sans"/>
          <w:color w:val="000000"/>
        </w:rPr>
        <w:t xml:space="preserve"> 3.139 euros/m</w:t>
      </w:r>
      <w:r>
        <w:rPr>
          <w:rFonts w:ascii="Open Sans" w:eastAsia="Open Sans" w:hAnsi="Open Sans" w:cs="Open Sans"/>
          <w:color w:val="000000"/>
          <w:vertAlign w:val="superscript"/>
        </w:rPr>
        <w:t>2</w:t>
      </w:r>
      <w:r>
        <w:rPr>
          <w:rFonts w:ascii="Open Sans" w:eastAsia="Open Sans" w:hAnsi="Open Sans" w:cs="Open Sans"/>
          <w:color w:val="000000"/>
        </w:rPr>
        <w:t>. Le siguen las comunidades de Cataluña con 2.827 euros/m</w:t>
      </w:r>
      <w:r>
        <w:rPr>
          <w:rFonts w:ascii="Open Sans" w:eastAsia="Open Sans" w:hAnsi="Open Sans" w:cs="Open Sans"/>
          <w:color w:val="000000"/>
          <w:vertAlign w:val="superscript"/>
        </w:rPr>
        <w:t>2</w:t>
      </w:r>
      <w:r>
        <w:rPr>
          <w:rFonts w:ascii="Open Sans" w:eastAsia="Open Sans" w:hAnsi="Open Sans" w:cs="Open Sans"/>
          <w:color w:val="000000"/>
        </w:rPr>
        <w:t>, Canarias con 2.563 euros/m</w:t>
      </w:r>
      <w:r>
        <w:rPr>
          <w:rFonts w:ascii="Open Sans" w:eastAsia="Open Sans" w:hAnsi="Open Sans" w:cs="Open Sans"/>
          <w:color w:val="000000"/>
          <w:vertAlign w:val="superscript"/>
        </w:rPr>
        <w:t>2</w:t>
      </w:r>
      <w:r>
        <w:rPr>
          <w:rFonts w:ascii="Open Sans" w:eastAsia="Open Sans" w:hAnsi="Open Sans" w:cs="Open Sans"/>
          <w:color w:val="000000"/>
        </w:rPr>
        <w:t>, Andalucía con 2.070 euros/m</w:t>
      </w:r>
      <w:r>
        <w:rPr>
          <w:rFonts w:ascii="Open Sans" w:eastAsia="Open Sans" w:hAnsi="Open Sans" w:cs="Open Sans"/>
          <w:color w:val="000000"/>
          <w:vertAlign w:val="superscript"/>
        </w:rPr>
        <w:t>2</w:t>
      </w:r>
      <w:r>
        <w:rPr>
          <w:rFonts w:ascii="Open Sans" w:eastAsia="Open Sans" w:hAnsi="Open Sans" w:cs="Open Sans"/>
          <w:color w:val="000000"/>
        </w:rPr>
        <w:t>, Navarra con 2.012 euros/m</w:t>
      </w:r>
      <w:r>
        <w:rPr>
          <w:rFonts w:ascii="Open Sans" w:eastAsia="Open Sans" w:hAnsi="Open Sans" w:cs="Open Sans"/>
          <w:color w:val="000000"/>
          <w:vertAlign w:val="superscript"/>
        </w:rPr>
        <w:t>2</w:t>
      </w:r>
      <w:r>
        <w:rPr>
          <w:rFonts w:ascii="Open Sans" w:eastAsia="Open Sans" w:hAnsi="Open Sans" w:cs="Open Sans"/>
          <w:color w:val="000000"/>
        </w:rPr>
        <w:t>, Cantabria con 1.954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1.810 euros/m</w:t>
      </w:r>
      <w:r>
        <w:rPr>
          <w:rFonts w:ascii="Open Sans" w:eastAsia="Open Sans" w:hAnsi="Open Sans" w:cs="Open Sans"/>
          <w:color w:val="000000"/>
          <w:vertAlign w:val="superscript"/>
        </w:rPr>
        <w:t>2</w:t>
      </w:r>
      <w:r>
        <w:rPr>
          <w:rFonts w:ascii="Open Sans" w:eastAsia="Open Sans" w:hAnsi="Open Sans" w:cs="Open Sans"/>
          <w:color w:val="000000"/>
        </w:rPr>
        <w:t>, Galicia con 1.739 euros/m</w:t>
      </w:r>
      <w:r>
        <w:rPr>
          <w:rFonts w:ascii="Open Sans" w:eastAsia="Open Sans" w:hAnsi="Open Sans" w:cs="Open Sans"/>
          <w:color w:val="000000"/>
          <w:vertAlign w:val="superscript"/>
        </w:rPr>
        <w:t>2</w:t>
      </w:r>
      <w:r>
        <w:rPr>
          <w:rFonts w:ascii="Open Sans" w:eastAsia="Open Sans" w:hAnsi="Open Sans" w:cs="Open Sans"/>
          <w:color w:val="000000"/>
        </w:rPr>
        <w:t>, Aragón con 1.725 euros/m</w:t>
      </w:r>
      <w:r>
        <w:rPr>
          <w:rFonts w:ascii="Open Sans" w:eastAsia="Open Sans" w:hAnsi="Open Sans" w:cs="Open Sans"/>
          <w:color w:val="000000"/>
          <w:vertAlign w:val="superscript"/>
        </w:rPr>
        <w:t>2</w:t>
      </w:r>
      <w:r>
        <w:rPr>
          <w:rFonts w:ascii="Open Sans" w:eastAsia="Open Sans" w:hAnsi="Open Sans" w:cs="Open Sans"/>
          <w:color w:val="000000"/>
        </w:rPr>
        <w:t>, Asturias con 1.666 euros/m</w:t>
      </w:r>
      <w:r>
        <w:rPr>
          <w:rFonts w:ascii="Open Sans" w:eastAsia="Open Sans" w:hAnsi="Open Sans" w:cs="Open Sans"/>
          <w:color w:val="000000"/>
          <w:vertAlign w:val="superscript"/>
        </w:rPr>
        <w:t>2</w:t>
      </w:r>
      <w:r>
        <w:rPr>
          <w:rFonts w:ascii="Open Sans" w:eastAsia="Open Sans" w:hAnsi="Open Sans" w:cs="Open Sans"/>
          <w:color w:val="000000"/>
        </w:rPr>
        <w:t>, La Rioja con 1.656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1.498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1.344 euros/m</w:t>
      </w:r>
      <w:r>
        <w:rPr>
          <w:rFonts w:ascii="Open Sans" w:eastAsia="Open Sans" w:hAnsi="Open Sans" w:cs="Open Sans"/>
          <w:color w:val="000000"/>
          <w:vertAlign w:val="superscript"/>
        </w:rPr>
        <w:t>2</w:t>
      </w:r>
      <w:r>
        <w:rPr>
          <w:rFonts w:ascii="Open Sans" w:eastAsia="Open Sans" w:hAnsi="Open Sans" w:cs="Open Sans"/>
          <w:color w:val="000000"/>
        </w:rPr>
        <w:t>, Extremadura con 1.206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1.204 euros/m</w:t>
      </w:r>
      <w:r>
        <w:rPr>
          <w:rFonts w:ascii="Open Sans" w:eastAsia="Open Sans" w:hAnsi="Open Sans" w:cs="Open Sans"/>
          <w:color w:val="000000"/>
          <w:vertAlign w:val="superscript"/>
        </w:rPr>
        <w:t>2</w:t>
      </w:r>
      <w:r>
        <w:rPr>
          <w:rFonts w:ascii="Open Sans" w:eastAsia="Open Sans" w:hAnsi="Open Sans" w:cs="Open Sans"/>
          <w:color w:val="000000"/>
        </w:rPr>
        <w:t>.</w:t>
      </w:r>
    </w:p>
    <w:p w14:paraId="2E48EDC8" w14:textId="77777777" w:rsidR="000F478B" w:rsidRDefault="000F478B">
      <w:pPr>
        <w:spacing w:line="276" w:lineRule="auto"/>
        <w:ind w:right="-574"/>
        <w:jc w:val="both"/>
        <w:rPr>
          <w:rFonts w:ascii="Open Sans" w:eastAsia="Open Sans" w:hAnsi="Open Sans" w:cs="Open Sans"/>
          <w:color w:val="000000"/>
        </w:rPr>
      </w:pPr>
    </w:p>
    <w:p w14:paraId="563A9720" w14:textId="77777777" w:rsidR="000F478B" w:rsidRDefault="000F478B">
      <w:pPr>
        <w:spacing w:line="276" w:lineRule="auto"/>
        <w:ind w:right="-574"/>
        <w:jc w:val="both"/>
        <w:rPr>
          <w:rFonts w:ascii="Open Sans" w:eastAsia="Open Sans" w:hAnsi="Open Sans" w:cs="Open Sans"/>
          <w:color w:val="000000"/>
        </w:rPr>
      </w:pPr>
    </w:p>
    <w:p w14:paraId="30E81FB8" w14:textId="77777777" w:rsidR="000F478B" w:rsidRDefault="000F478B">
      <w:pPr>
        <w:spacing w:line="276" w:lineRule="auto"/>
        <w:ind w:right="-574"/>
        <w:jc w:val="both"/>
        <w:rPr>
          <w:rFonts w:ascii="Open Sans" w:eastAsia="Open Sans" w:hAnsi="Open Sans" w:cs="Open Sans"/>
          <w:color w:val="000000"/>
        </w:rPr>
      </w:pPr>
    </w:p>
    <w:p w14:paraId="5BC8A35C" w14:textId="77777777" w:rsidR="000F478B" w:rsidRDefault="000F478B">
      <w:pPr>
        <w:spacing w:line="276" w:lineRule="auto"/>
        <w:ind w:right="-574"/>
        <w:jc w:val="both"/>
        <w:rPr>
          <w:rFonts w:ascii="Open Sans" w:eastAsia="Open Sans" w:hAnsi="Open Sans" w:cs="Open Sans"/>
          <w:color w:val="000000"/>
        </w:rPr>
      </w:pPr>
    </w:p>
    <w:p w14:paraId="3A8977D3" w14:textId="77777777" w:rsidR="000F478B" w:rsidRDefault="000F478B">
      <w:pPr>
        <w:spacing w:line="276" w:lineRule="auto"/>
        <w:ind w:right="-574"/>
        <w:jc w:val="both"/>
        <w:rPr>
          <w:rFonts w:ascii="Open Sans" w:eastAsia="Open Sans" w:hAnsi="Open Sans" w:cs="Open Sans"/>
          <w:color w:val="000000"/>
        </w:rPr>
      </w:pPr>
    </w:p>
    <w:p w14:paraId="021C57AB"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primer trimestre por CCAA</w:t>
      </w:r>
    </w:p>
    <w:p w14:paraId="145BE037"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37C429F9" wp14:editId="6D95ADD3">
            <wp:extent cx="5646420" cy="3977640"/>
            <wp:effectExtent l="0" t="0" r="0" b="3810"/>
            <wp:docPr id="1651056676" name="image4.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pic:cNvPicPr preferRelativeResize="0"/>
                  </pic:nvPicPr>
                  <pic:blipFill>
                    <a:blip r:embed="rId14"/>
                    <a:srcRect l="591" r="591"/>
                    <a:stretch>
                      <a:fillRect/>
                    </a:stretch>
                  </pic:blipFill>
                  <pic:spPr>
                    <a:xfrm>
                      <a:off x="0" y="0"/>
                      <a:ext cx="5646420" cy="3977640"/>
                    </a:xfrm>
                    <a:prstGeom prst="rect">
                      <a:avLst/>
                    </a:prstGeom>
                    <a:ln/>
                  </pic:spPr>
                </pic:pic>
              </a:graphicData>
            </a:graphic>
          </wp:inline>
        </w:drawing>
      </w:r>
    </w:p>
    <w:p w14:paraId="23B54E17" w14:textId="77777777" w:rsidR="001239B0" w:rsidRDefault="001239B0">
      <w:pPr>
        <w:spacing w:line="276" w:lineRule="auto"/>
        <w:ind w:right="-574"/>
        <w:jc w:val="both"/>
        <w:rPr>
          <w:rFonts w:ascii="Open Sans" w:eastAsia="Open Sans" w:hAnsi="Open Sans" w:cs="Open Sans"/>
          <w:color w:val="000000"/>
        </w:rPr>
      </w:pPr>
    </w:p>
    <w:p w14:paraId="7D8183FF" w14:textId="77777777" w:rsidR="001239B0" w:rsidRDefault="001239B0">
      <w:pPr>
        <w:spacing w:line="276" w:lineRule="auto"/>
        <w:ind w:right="-574"/>
        <w:jc w:val="center"/>
        <w:rPr>
          <w:rFonts w:ascii="Open Sans" w:eastAsia="Open Sans" w:hAnsi="Open Sans" w:cs="Open Sans"/>
          <w:color w:val="000000"/>
        </w:rPr>
      </w:pPr>
    </w:p>
    <w:p w14:paraId="6CB1BDF4" w14:textId="77777777" w:rsidR="001239B0"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79D11E44"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primer trimestre de 2024 se presenta con 37 subidas trimestrales (74%) y 42 subidas interanuales (84%). Las tres provincias con mayores descensos trimestrales son Santa Cruz de Tenerife (8,8%) Valladolid (6,4%) y Madrid (6,4%). Por otro lado, las tres provincias que presentan los mayores incrementos trimestrales son Cuenca (-6,3%), Teruel (-3,2%) y Navarra (-2,5%).</w:t>
      </w:r>
    </w:p>
    <w:p w14:paraId="668314CE" w14:textId="77777777" w:rsidR="001239B0" w:rsidRDefault="001239B0">
      <w:pPr>
        <w:spacing w:line="276" w:lineRule="auto"/>
        <w:ind w:right="-574"/>
        <w:jc w:val="both"/>
        <w:rPr>
          <w:rFonts w:ascii="Open Sans" w:eastAsia="Open Sans" w:hAnsi="Open Sans" w:cs="Open Sans"/>
          <w:color w:val="000000"/>
        </w:rPr>
      </w:pPr>
    </w:p>
    <w:p w14:paraId="4DC217A6"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seis superan la barrera de los 3.000 euros. El orden de las provincias con el precio de la vivienda más elevado es Madrid con 4.008 euros/m</w:t>
      </w:r>
      <w:r>
        <w:rPr>
          <w:rFonts w:ascii="Open Sans" w:eastAsia="Open Sans" w:hAnsi="Open Sans" w:cs="Open Sans"/>
          <w:color w:val="000000"/>
          <w:vertAlign w:val="superscript"/>
        </w:rPr>
        <w:t>2</w:t>
      </w:r>
      <w:r>
        <w:rPr>
          <w:rFonts w:ascii="Open Sans" w:eastAsia="Open Sans" w:hAnsi="Open Sans" w:cs="Open Sans"/>
          <w:color w:val="000000"/>
        </w:rPr>
        <w:t>, Illes Balears con 3.968 euros/m</w:t>
      </w:r>
      <w:r>
        <w:rPr>
          <w:rFonts w:ascii="Open Sans" w:eastAsia="Open Sans" w:hAnsi="Open Sans" w:cs="Open Sans"/>
          <w:color w:val="000000"/>
          <w:vertAlign w:val="superscript"/>
        </w:rPr>
        <w:t>2</w:t>
      </w:r>
      <w:r>
        <w:rPr>
          <w:rFonts w:ascii="Open Sans" w:eastAsia="Open Sans" w:hAnsi="Open Sans" w:cs="Open Sans"/>
          <w:color w:val="000000"/>
        </w:rPr>
        <w:t>, Gipuzkoa con 3.550 euros/m</w:t>
      </w:r>
      <w:r>
        <w:rPr>
          <w:rFonts w:ascii="Open Sans" w:eastAsia="Open Sans" w:hAnsi="Open Sans" w:cs="Open Sans"/>
          <w:color w:val="000000"/>
          <w:vertAlign w:val="superscript"/>
        </w:rPr>
        <w:t>2</w:t>
      </w:r>
      <w:r>
        <w:rPr>
          <w:rFonts w:ascii="Open Sans" w:eastAsia="Open Sans" w:hAnsi="Open Sans" w:cs="Open Sans"/>
          <w:color w:val="000000"/>
        </w:rPr>
        <w:t>, Málaga con 3.473 euros/m</w:t>
      </w:r>
      <w:r>
        <w:rPr>
          <w:rFonts w:ascii="Open Sans" w:eastAsia="Open Sans" w:hAnsi="Open Sans" w:cs="Open Sans"/>
          <w:color w:val="000000"/>
          <w:vertAlign w:val="superscript"/>
        </w:rPr>
        <w:t>2</w:t>
      </w:r>
      <w:r>
        <w:rPr>
          <w:rFonts w:ascii="Open Sans" w:eastAsia="Open Sans" w:hAnsi="Open Sans" w:cs="Open Sans"/>
          <w:color w:val="000000"/>
        </w:rPr>
        <w:t>, Barcelona con 3.138 euros/m</w:t>
      </w:r>
      <w:r>
        <w:rPr>
          <w:rFonts w:ascii="Open Sans" w:eastAsia="Open Sans" w:hAnsi="Open Sans" w:cs="Open Sans"/>
          <w:color w:val="000000"/>
          <w:vertAlign w:val="superscript"/>
        </w:rPr>
        <w:t>2</w:t>
      </w:r>
      <w:r>
        <w:rPr>
          <w:rFonts w:ascii="Open Sans" w:eastAsia="Open Sans" w:hAnsi="Open Sans" w:cs="Open Sans"/>
          <w:color w:val="000000"/>
        </w:rPr>
        <w:t xml:space="preserve"> y Bizkaia con 3.056 euros/m</w:t>
      </w:r>
      <w:r>
        <w:rPr>
          <w:rFonts w:ascii="Open Sans" w:eastAsia="Open Sans" w:hAnsi="Open Sans" w:cs="Open Sans"/>
          <w:color w:val="000000"/>
          <w:vertAlign w:val="superscript"/>
        </w:rPr>
        <w:t>2</w:t>
      </w:r>
      <w:r>
        <w:rPr>
          <w:rFonts w:ascii="Open Sans" w:eastAsia="Open Sans" w:hAnsi="Open Sans" w:cs="Open Sans"/>
          <w:color w:val="000000"/>
        </w:rPr>
        <w:t>.</w:t>
      </w:r>
    </w:p>
    <w:p w14:paraId="2A121BF7" w14:textId="77777777" w:rsidR="001239B0" w:rsidRDefault="001239B0">
      <w:pPr>
        <w:spacing w:line="276" w:lineRule="auto"/>
        <w:ind w:right="-574"/>
        <w:jc w:val="both"/>
        <w:rPr>
          <w:rFonts w:ascii="Open Sans" w:eastAsia="Open Sans" w:hAnsi="Open Sans" w:cs="Open Sans"/>
          <w:color w:val="000000"/>
        </w:rPr>
      </w:pPr>
    </w:p>
    <w:p w14:paraId="13C79259" w14:textId="77777777" w:rsidR="001239B0" w:rsidRDefault="001239B0">
      <w:pPr>
        <w:spacing w:line="276" w:lineRule="auto"/>
        <w:ind w:right="-574"/>
        <w:jc w:val="both"/>
        <w:rPr>
          <w:rFonts w:ascii="Open Sans" w:eastAsia="Open Sans" w:hAnsi="Open Sans" w:cs="Open Sans"/>
          <w:color w:val="000000"/>
        </w:rPr>
      </w:pPr>
    </w:p>
    <w:p w14:paraId="1EAC0FC7"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primer trimestre por provincias</w:t>
      </w:r>
    </w:p>
    <w:p w14:paraId="49E6037C" w14:textId="77777777" w:rsidR="001239B0"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1D1F3317" wp14:editId="50F7C1CF">
            <wp:extent cx="5285974" cy="3912541"/>
            <wp:effectExtent l="0" t="0" r="0" b="0"/>
            <wp:docPr id="1651056675" name="image6.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10;&#10;Descripción generada automáticamente"/>
                    <pic:cNvPicPr preferRelativeResize="0"/>
                  </pic:nvPicPr>
                  <pic:blipFill>
                    <a:blip r:embed="rId15"/>
                    <a:srcRect/>
                    <a:stretch>
                      <a:fillRect/>
                    </a:stretch>
                  </pic:blipFill>
                  <pic:spPr>
                    <a:xfrm>
                      <a:off x="0" y="0"/>
                      <a:ext cx="5285974" cy="3912541"/>
                    </a:xfrm>
                    <a:prstGeom prst="rect">
                      <a:avLst/>
                    </a:prstGeom>
                    <a:ln/>
                  </pic:spPr>
                </pic:pic>
              </a:graphicData>
            </a:graphic>
          </wp:inline>
        </w:drawing>
      </w:r>
    </w:p>
    <w:p w14:paraId="18207CBF" w14:textId="77777777" w:rsidR="001239B0" w:rsidRDefault="001239B0">
      <w:pPr>
        <w:spacing w:line="276" w:lineRule="auto"/>
        <w:ind w:right="-574"/>
        <w:jc w:val="both"/>
        <w:rPr>
          <w:rFonts w:ascii="Open Sans" w:eastAsia="Open Sans" w:hAnsi="Open Sans" w:cs="Open Sans"/>
          <w:color w:val="000000"/>
        </w:rPr>
      </w:pPr>
    </w:p>
    <w:p w14:paraId="315E76EA"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bookmarkStart w:id="0" w:name="_heading=h.gjdgxs" w:colFirst="0" w:colLast="0"/>
      <w:bookmarkEnd w:id="0"/>
      <w:r>
        <w:rPr>
          <w:rFonts w:ascii="Open Sans Light" w:eastAsia="Open Sans Light" w:hAnsi="Open Sans Light" w:cs="Open Sans Light"/>
          <w:b/>
          <w:color w:val="303AB2"/>
          <w:sz w:val="28"/>
          <w:szCs w:val="28"/>
        </w:rPr>
        <w:t>Precio de la vivienda en el primer trimestre por provincia</w:t>
      </w:r>
    </w:p>
    <w:p w14:paraId="1004CC72" w14:textId="77777777" w:rsidR="001239B0"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4BD314D7" wp14:editId="7BD3527F">
            <wp:extent cx="5331706" cy="4105752"/>
            <wp:effectExtent l="0" t="0" r="0" b="0"/>
            <wp:docPr id="1651056678" name="image3.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urbujas&#10;&#10;Descripción generada automáticamente"/>
                    <pic:cNvPicPr preferRelativeResize="0"/>
                  </pic:nvPicPr>
                  <pic:blipFill>
                    <a:blip r:embed="rId16"/>
                    <a:srcRect/>
                    <a:stretch>
                      <a:fillRect/>
                    </a:stretch>
                  </pic:blipFill>
                  <pic:spPr>
                    <a:xfrm>
                      <a:off x="0" y="0"/>
                      <a:ext cx="5331706" cy="4105752"/>
                    </a:xfrm>
                    <a:prstGeom prst="rect">
                      <a:avLst/>
                    </a:prstGeom>
                    <a:ln/>
                  </pic:spPr>
                </pic:pic>
              </a:graphicData>
            </a:graphic>
          </wp:inline>
        </w:drawing>
      </w:r>
    </w:p>
    <w:p w14:paraId="35F94F01" w14:textId="77777777" w:rsidR="001239B0"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w:t>
      </w:r>
    </w:p>
    <w:p w14:paraId="3858B992" w14:textId="77777777" w:rsidR="001239B0" w:rsidRDefault="001239B0">
      <w:pPr>
        <w:spacing w:line="276" w:lineRule="auto"/>
        <w:ind w:right="-574"/>
        <w:rPr>
          <w:rFonts w:ascii="Open Sans Light" w:eastAsia="Open Sans Light" w:hAnsi="Open Sans Light" w:cs="Open Sans Light"/>
          <w:b/>
          <w:color w:val="303AB2"/>
          <w:sz w:val="16"/>
          <w:szCs w:val="16"/>
        </w:rPr>
      </w:pPr>
    </w:p>
    <w:p w14:paraId="3ED3F892"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capitales de provincias este primer trimestre de 2024 se presenta con 42 subidas trimestrales (84%) y 46 interanuales (92%). Las tres capitales con el mayor incremento trimestral son Málaga capital (10,6%), Guadalajara capital (7,5%) y Pontevedra capital (7,4%). Por otro lado, las tres capitales que más han descendido trimestralmente el precio de la vivienda en este periodo son: Teruel capital (-2,4%), Lugo capital (-1,5%) y Zaragoza capital (-1,4%).</w:t>
      </w:r>
    </w:p>
    <w:p w14:paraId="64F3CD68" w14:textId="77777777" w:rsidR="001239B0" w:rsidRDefault="001239B0">
      <w:pPr>
        <w:spacing w:line="276" w:lineRule="auto"/>
        <w:ind w:right="-574"/>
        <w:jc w:val="both"/>
        <w:rPr>
          <w:rFonts w:ascii="Open Sans" w:eastAsia="Open Sans" w:hAnsi="Open Sans" w:cs="Open Sans"/>
          <w:color w:val="000000"/>
        </w:rPr>
      </w:pPr>
    </w:p>
    <w:p w14:paraId="781BFCD9"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capitales, seis capitales superan la barrera de los 3.000 euros y son:</w:t>
      </w:r>
      <w:r>
        <w:t xml:space="preserve"> </w:t>
      </w:r>
      <w:r>
        <w:rPr>
          <w:rFonts w:ascii="Open Sans" w:eastAsia="Open Sans" w:hAnsi="Open Sans" w:cs="Open Sans"/>
          <w:color w:val="000000"/>
        </w:rPr>
        <w:t>Donostia - San Sebastián con 6.263 euros/m</w:t>
      </w:r>
      <w:r>
        <w:rPr>
          <w:rFonts w:ascii="Open Sans" w:eastAsia="Open Sans" w:hAnsi="Open Sans" w:cs="Open Sans"/>
          <w:color w:val="000000"/>
          <w:vertAlign w:val="superscript"/>
        </w:rPr>
        <w:t>2</w:t>
      </w:r>
      <w:r>
        <w:rPr>
          <w:rFonts w:ascii="Open Sans" w:eastAsia="Open Sans" w:hAnsi="Open Sans" w:cs="Open Sans"/>
          <w:color w:val="000000"/>
        </w:rPr>
        <w:t>, Madrid capital con 5.146 euros/m</w:t>
      </w:r>
      <w:r>
        <w:rPr>
          <w:rFonts w:ascii="Open Sans" w:eastAsia="Open Sans" w:hAnsi="Open Sans" w:cs="Open Sans"/>
          <w:color w:val="000000"/>
          <w:vertAlign w:val="superscript"/>
        </w:rPr>
        <w:t>2</w:t>
      </w:r>
      <w:r>
        <w:rPr>
          <w:rFonts w:ascii="Open Sans" w:eastAsia="Open Sans" w:hAnsi="Open Sans" w:cs="Open Sans"/>
          <w:color w:val="000000"/>
        </w:rPr>
        <w:t>, Barcelona capital con 4.644 euros/m</w:t>
      </w:r>
      <w:r>
        <w:rPr>
          <w:rFonts w:ascii="Open Sans" w:eastAsia="Open Sans" w:hAnsi="Open Sans" w:cs="Open Sans"/>
          <w:color w:val="000000"/>
          <w:vertAlign w:val="superscript"/>
        </w:rPr>
        <w:t>2</w:t>
      </w:r>
      <w:r>
        <w:rPr>
          <w:rFonts w:ascii="Open Sans" w:eastAsia="Open Sans" w:hAnsi="Open Sans" w:cs="Open Sans"/>
          <w:color w:val="000000"/>
        </w:rPr>
        <w:t>, Palma de Mallorca con 4.147 euros/m</w:t>
      </w:r>
      <w:r>
        <w:rPr>
          <w:rFonts w:ascii="Open Sans" w:eastAsia="Open Sans" w:hAnsi="Open Sans" w:cs="Open Sans"/>
          <w:color w:val="000000"/>
          <w:vertAlign w:val="superscript"/>
        </w:rPr>
        <w:t>2</w:t>
      </w:r>
      <w:r>
        <w:rPr>
          <w:rFonts w:ascii="Open Sans" w:eastAsia="Open Sans" w:hAnsi="Open Sans" w:cs="Open Sans"/>
          <w:color w:val="000000"/>
        </w:rPr>
        <w:t>, Málaga capital con 3.683 euros/m</w:t>
      </w:r>
      <w:r>
        <w:rPr>
          <w:rFonts w:ascii="Open Sans" w:eastAsia="Open Sans" w:hAnsi="Open Sans" w:cs="Open Sans"/>
          <w:color w:val="000000"/>
          <w:vertAlign w:val="superscript"/>
        </w:rPr>
        <w:t>2</w:t>
      </w:r>
      <w:r>
        <w:rPr>
          <w:rFonts w:ascii="Open Sans" w:eastAsia="Open Sans" w:hAnsi="Open Sans" w:cs="Open Sans"/>
          <w:color w:val="000000"/>
        </w:rPr>
        <w:t>, Bilbao con 3.640 euros/m</w:t>
      </w:r>
      <w:r>
        <w:rPr>
          <w:rFonts w:ascii="Open Sans" w:eastAsia="Open Sans" w:hAnsi="Open Sans" w:cs="Open Sans"/>
          <w:color w:val="000000"/>
          <w:vertAlign w:val="superscript"/>
        </w:rPr>
        <w:t>2</w:t>
      </w:r>
      <w:r>
        <w:rPr>
          <w:rFonts w:ascii="Open Sans" w:eastAsia="Open Sans" w:hAnsi="Open Sans" w:cs="Open Sans"/>
          <w:color w:val="000000"/>
        </w:rPr>
        <w:t xml:space="preserve"> y Pamplona / Iruña con 3.011 euros/m</w:t>
      </w:r>
      <w:r>
        <w:rPr>
          <w:rFonts w:ascii="Open Sans" w:eastAsia="Open Sans" w:hAnsi="Open Sans" w:cs="Open Sans"/>
          <w:color w:val="000000"/>
          <w:vertAlign w:val="superscript"/>
        </w:rPr>
        <w:t>2</w:t>
      </w:r>
      <w:r>
        <w:rPr>
          <w:rFonts w:ascii="Open Sans" w:eastAsia="Open Sans" w:hAnsi="Open Sans" w:cs="Open Sans"/>
          <w:color w:val="000000"/>
        </w:rPr>
        <w:t>.</w:t>
      </w:r>
    </w:p>
    <w:p w14:paraId="64C00A83" w14:textId="77777777" w:rsidR="001239B0" w:rsidRDefault="001239B0">
      <w:pPr>
        <w:spacing w:line="276" w:lineRule="auto"/>
        <w:ind w:right="-574"/>
        <w:jc w:val="center"/>
        <w:rPr>
          <w:rFonts w:ascii="Open Sans Light" w:eastAsia="Open Sans Light" w:hAnsi="Open Sans Light" w:cs="Open Sans Light"/>
          <w:b/>
          <w:color w:val="303AB2"/>
          <w:sz w:val="28"/>
          <w:szCs w:val="28"/>
        </w:rPr>
      </w:pPr>
    </w:p>
    <w:p w14:paraId="36604332"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primer trimestre por capitales</w:t>
      </w:r>
    </w:p>
    <w:p w14:paraId="25FE9574"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noProof/>
          <w:color w:val="000000"/>
        </w:rPr>
        <w:drawing>
          <wp:inline distT="0" distB="0" distL="0" distR="0" wp14:anchorId="7510BC88" wp14:editId="1E1DAAEA">
            <wp:extent cx="5396230" cy="3925570"/>
            <wp:effectExtent l="0" t="0" r="0" b="0"/>
            <wp:docPr id="1651056677" name="image2.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Gráfico&#10;&#10;Descripción generada automáticamente"/>
                    <pic:cNvPicPr preferRelativeResize="0"/>
                  </pic:nvPicPr>
                  <pic:blipFill>
                    <a:blip r:embed="rId17"/>
                    <a:srcRect/>
                    <a:stretch>
                      <a:fillRect/>
                    </a:stretch>
                  </pic:blipFill>
                  <pic:spPr>
                    <a:xfrm>
                      <a:off x="0" y="0"/>
                      <a:ext cx="5396230" cy="3925570"/>
                    </a:xfrm>
                    <a:prstGeom prst="rect">
                      <a:avLst/>
                    </a:prstGeom>
                    <a:ln/>
                  </pic:spPr>
                </pic:pic>
              </a:graphicData>
            </a:graphic>
          </wp:inline>
        </w:drawing>
      </w:r>
    </w:p>
    <w:p w14:paraId="32B85723" w14:textId="77777777" w:rsidR="001239B0" w:rsidRDefault="001239B0">
      <w:pPr>
        <w:spacing w:line="276" w:lineRule="auto"/>
        <w:ind w:right="-574"/>
        <w:jc w:val="center"/>
        <w:rPr>
          <w:rFonts w:ascii="Open Sans" w:eastAsia="Open Sans" w:hAnsi="Open Sans" w:cs="Open Sans"/>
          <w:color w:val="000000"/>
        </w:rPr>
      </w:pPr>
    </w:p>
    <w:p w14:paraId="64F3A4F1" w14:textId="77777777" w:rsidR="001239B0" w:rsidRDefault="001239B0">
      <w:pPr>
        <w:spacing w:line="276" w:lineRule="auto"/>
        <w:ind w:right="-574"/>
        <w:jc w:val="center"/>
        <w:rPr>
          <w:rFonts w:ascii="Open Sans Light" w:eastAsia="Open Sans Light" w:hAnsi="Open Sans Light" w:cs="Open Sans Light"/>
          <w:b/>
          <w:color w:val="303AB2"/>
          <w:sz w:val="28"/>
          <w:szCs w:val="28"/>
        </w:rPr>
      </w:pPr>
    </w:p>
    <w:p w14:paraId="720B9979" w14:textId="77777777" w:rsidR="001239B0" w:rsidRDefault="001239B0">
      <w:pPr>
        <w:spacing w:line="276" w:lineRule="auto"/>
        <w:ind w:right="-574"/>
        <w:jc w:val="center"/>
        <w:rPr>
          <w:rFonts w:ascii="Open Sans Light" w:eastAsia="Open Sans Light" w:hAnsi="Open Sans Light" w:cs="Open Sans Light"/>
          <w:b/>
          <w:color w:val="303AB2"/>
          <w:sz w:val="28"/>
          <w:szCs w:val="28"/>
        </w:rPr>
      </w:pPr>
    </w:p>
    <w:p w14:paraId="38444C23" w14:textId="77777777" w:rsidR="00A12CF4" w:rsidRDefault="00A12CF4">
      <w:pPr>
        <w:spacing w:line="276" w:lineRule="auto"/>
        <w:ind w:right="-574"/>
        <w:jc w:val="center"/>
        <w:rPr>
          <w:rFonts w:ascii="Open Sans Light" w:eastAsia="Open Sans Light" w:hAnsi="Open Sans Light" w:cs="Open Sans Light"/>
          <w:b/>
          <w:color w:val="303AB2"/>
          <w:sz w:val="28"/>
          <w:szCs w:val="28"/>
        </w:rPr>
      </w:pPr>
    </w:p>
    <w:p w14:paraId="420BB4B0"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primer trimestre por capitales</w:t>
      </w:r>
    </w:p>
    <w:p w14:paraId="561F95FC" w14:textId="77777777" w:rsidR="001239B0" w:rsidRDefault="001239B0">
      <w:pPr>
        <w:spacing w:line="276" w:lineRule="auto"/>
        <w:ind w:right="-574"/>
        <w:jc w:val="center"/>
        <w:rPr>
          <w:rFonts w:ascii="Open Sans Light" w:eastAsia="Open Sans Light" w:hAnsi="Open Sans Light" w:cs="Open Sans Light"/>
          <w:b/>
          <w:color w:val="303AB2"/>
          <w:sz w:val="28"/>
          <w:szCs w:val="28"/>
        </w:rPr>
      </w:pPr>
    </w:p>
    <w:p w14:paraId="14C9BA6B" w14:textId="77777777" w:rsidR="001239B0"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73329012" wp14:editId="75CE0429">
            <wp:extent cx="5396230" cy="4071620"/>
            <wp:effectExtent l="0" t="0" r="0" b="0"/>
            <wp:docPr id="1651056679" name="image5.png"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Icono&#10;&#10;Descripción generada automáticamente con confianza media"/>
                    <pic:cNvPicPr preferRelativeResize="0"/>
                  </pic:nvPicPr>
                  <pic:blipFill>
                    <a:blip r:embed="rId18"/>
                    <a:srcRect/>
                    <a:stretch>
                      <a:fillRect/>
                    </a:stretch>
                  </pic:blipFill>
                  <pic:spPr>
                    <a:xfrm>
                      <a:off x="0" y="0"/>
                      <a:ext cx="5396230" cy="4071620"/>
                    </a:xfrm>
                    <a:prstGeom prst="rect">
                      <a:avLst/>
                    </a:prstGeom>
                    <a:ln/>
                  </pic:spPr>
                </pic:pic>
              </a:graphicData>
            </a:graphic>
          </wp:inline>
        </w:drawing>
      </w:r>
    </w:p>
    <w:p w14:paraId="1A01547E" w14:textId="77777777" w:rsidR="001239B0" w:rsidRDefault="001239B0">
      <w:pPr>
        <w:spacing w:line="276" w:lineRule="auto"/>
        <w:ind w:right="-574"/>
        <w:jc w:val="both"/>
        <w:rPr>
          <w:rFonts w:ascii="Open Sans Light" w:eastAsia="Open Sans Light" w:hAnsi="Open Sans Light" w:cs="Open Sans Light"/>
          <w:b/>
          <w:color w:val="303AB2"/>
          <w:sz w:val="28"/>
          <w:szCs w:val="28"/>
        </w:rPr>
      </w:pPr>
    </w:p>
    <w:p w14:paraId="40133366" w14:textId="77777777" w:rsidR="001239B0"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de España</w:t>
      </w:r>
    </w:p>
    <w:p w14:paraId="3BA7B0CA" w14:textId="77777777" w:rsidR="001239B0" w:rsidRDefault="001239B0">
      <w:pPr>
        <w:spacing w:line="276" w:lineRule="auto"/>
        <w:ind w:right="-574"/>
        <w:jc w:val="both"/>
        <w:rPr>
          <w:rFonts w:ascii="Open Sans" w:eastAsia="Open Sans" w:hAnsi="Open Sans" w:cs="Open Sans"/>
          <w:color w:val="000000"/>
        </w:rPr>
      </w:pPr>
    </w:p>
    <w:p w14:paraId="2B35FBF8"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850 ciudades españolas analizadas por </w:t>
      </w:r>
      <w:hyperlink r:id="rId19">
        <w:r>
          <w:rPr>
            <w:rFonts w:ascii="Open Sans" w:eastAsia="Open Sans" w:hAnsi="Open Sans" w:cs="Open Sans"/>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marzo de 2024, en el 71% de ellas se producen incrementos en el precio de la vivienda por metro cuadrado. </w:t>
      </w:r>
    </w:p>
    <w:p w14:paraId="5110109D" w14:textId="77777777" w:rsidR="001239B0" w:rsidRDefault="001239B0">
      <w:pPr>
        <w:spacing w:line="276" w:lineRule="auto"/>
        <w:ind w:right="-574"/>
        <w:jc w:val="both"/>
        <w:rPr>
          <w:rFonts w:ascii="Open Sans" w:eastAsia="Open Sans" w:hAnsi="Open Sans" w:cs="Open Sans"/>
          <w:color w:val="000000"/>
        </w:rPr>
      </w:pPr>
    </w:p>
    <w:p w14:paraId="705A47BA" w14:textId="77777777" w:rsidR="001239B0"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estas subidas trimestrales, en 47 ciudades el incremento del precio ha estado por encima del 10%. La ciudad de </w:t>
      </w:r>
      <w:proofErr w:type="spellStart"/>
      <w:r>
        <w:rPr>
          <w:rFonts w:ascii="Open Sans" w:eastAsia="Open Sans" w:hAnsi="Open Sans" w:cs="Open Sans"/>
          <w:color w:val="000000"/>
        </w:rPr>
        <w:t>L'Alcúdia</w:t>
      </w:r>
      <w:proofErr w:type="spellEnd"/>
      <w:r>
        <w:rPr>
          <w:rFonts w:ascii="Open Sans" w:eastAsia="Open Sans" w:hAnsi="Open Sans" w:cs="Open Sans"/>
          <w:color w:val="000000"/>
        </w:rPr>
        <w:t xml:space="preserve"> de </w:t>
      </w:r>
      <w:proofErr w:type="spellStart"/>
      <w:r>
        <w:rPr>
          <w:rFonts w:ascii="Open Sans" w:eastAsia="Open Sans" w:hAnsi="Open Sans" w:cs="Open Sans"/>
          <w:color w:val="000000"/>
        </w:rPr>
        <w:t>Crespins</w:t>
      </w:r>
      <w:proofErr w:type="spellEnd"/>
      <w:r>
        <w:rPr>
          <w:rFonts w:ascii="Open Sans" w:eastAsia="Open Sans" w:hAnsi="Open Sans" w:cs="Open Sans"/>
          <w:color w:val="000000"/>
        </w:rPr>
        <w:t xml:space="preserve"> (Valencia) ha visto disparar los precios del metro cuadrado de vivienda un 64%. A ésta, se le suman los también altos incrementos trimestrales de las ciudades de Cartaya (53,1%), Benijófar (41,6%), Fuensalida (35,2%), Mutxamel (24,5%), Churriana de la Vega (24,3%), La Orotava (20,9%) y Carballo (20,6%). Por otro lado, las tres ciudades con los descensos más acusados son:</w:t>
      </w:r>
      <w:r>
        <w:t xml:space="preserve"> </w:t>
      </w:r>
      <w:r>
        <w:rPr>
          <w:rFonts w:ascii="Open Sans" w:eastAsia="Open Sans" w:hAnsi="Open Sans" w:cs="Open Sans"/>
          <w:color w:val="000000"/>
        </w:rPr>
        <w:t>Huétor Vega (-34,8%), Vegas del Genil (-24,9%) y Alcalá de los Gazules (-23,0%).</w:t>
      </w:r>
    </w:p>
    <w:p w14:paraId="527E8B9A" w14:textId="77777777" w:rsidR="001239B0"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El orden de los municipios que superan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son Eivissa con 6.724 euros/m</w:t>
      </w:r>
      <w:r>
        <w:rPr>
          <w:rFonts w:ascii="Open Sans" w:eastAsia="Open Sans" w:hAnsi="Open Sans" w:cs="Open Sans"/>
          <w:color w:val="000000"/>
          <w:vertAlign w:val="superscript"/>
        </w:rPr>
        <w:t>2</w:t>
      </w:r>
      <w:r>
        <w:rPr>
          <w:rFonts w:ascii="Open Sans" w:eastAsia="Open Sans" w:hAnsi="Open Sans" w:cs="Open Sans"/>
          <w:color w:val="000000"/>
        </w:rPr>
        <w:t>, Donostia - San Sebastián con 6.263 euros/m</w:t>
      </w:r>
      <w:r>
        <w:rPr>
          <w:rFonts w:ascii="Open Sans" w:eastAsia="Open Sans" w:hAnsi="Open Sans" w:cs="Open Sans"/>
          <w:color w:val="000000"/>
          <w:vertAlign w:val="superscript"/>
        </w:rPr>
        <w:t>2</w:t>
      </w:r>
      <w:r>
        <w:rPr>
          <w:rFonts w:ascii="Open Sans" w:eastAsia="Open Sans" w:hAnsi="Open Sans" w:cs="Open Sans"/>
          <w:color w:val="000000"/>
        </w:rPr>
        <w:t>, Zarautz con 6.114 euros/m</w:t>
      </w:r>
      <w:r>
        <w:rPr>
          <w:rFonts w:ascii="Open Sans" w:eastAsia="Open Sans" w:hAnsi="Open Sans" w:cs="Open Sans"/>
          <w:color w:val="000000"/>
          <w:vertAlign w:val="superscript"/>
        </w:rPr>
        <w:t>2</w:t>
      </w:r>
      <w:r>
        <w:rPr>
          <w:rFonts w:ascii="Open Sans" w:eastAsia="Open Sans" w:hAnsi="Open Sans" w:cs="Open Sans"/>
          <w:color w:val="000000"/>
        </w:rPr>
        <w:t>, Andratx con 5.865 euros/m</w:t>
      </w:r>
      <w:r>
        <w:rPr>
          <w:rFonts w:ascii="Open Sans" w:eastAsia="Open Sans" w:hAnsi="Open Sans" w:cs="Open Sans"/>
          <w:color w:val="000000"/>
          <w:vertAlign w:val="superscript"/>
        </w:rPr>
        <w:t>2</w:t>
      </w:r>
      <w:r>
        <w:rPr>
          <w:rFonts w:ascii="Open Sans" w:eastAsia="Open Sans" w:hAnsi="Open Sans" w:cs="Open Sans"/>
          <w:color w:val="000000"/>
        </w:rPr>
        <w:t>, Calvià 5.831 con euros/m</w:t>
      </w:r>
      <w:r>
        <w:rPr>
          <w:rFonts w:ascii="Open Sans" w:eastAsia="Open Sans" w:hAnsi="Open Sans" w:cs="Open Sans"/>
          <w:color w:val="000000"/>
          <w:vertAlign w:val="superscript"/>
        </w:rPr>
        <w:t>2</w:t>
      </w:r>
      <w:r>
        <w:rPr>
          <w:rFonts w:ascii="Open Sans" w:eastAsia="Open Sans" w:hAnsi="Open Sans" w:cs="Open Sans"/>
          <w:color w:val="000000"/>
        </w:rPr>
        <w:t>, La Moraleja con 5.671 euros/m</w:t>
      </w:r>
      <w:r>
        <w:rPr>
          <w:rFonts w:ascii="Open Sans" w:eastAsia="Open Sans" w:hAnsi="Open Sans" w:cs="Open Sans"/>
          <w:color w:val="000000"/>
          <w:vertAlign w:val="superscript"/>
        </w:rPr>
        <w:t>2</w:t>
      </w:r>
      <w:r>
        <w:rPr>
          <w:rFonts w:ascii="Open Sans" w:eastAsia="Open Sans" w:hAnsi="Open Sans" w:cs="Open Sans"/>
          <w:color w:val="000000"/>
        </w:rPr>
        <w:t xml:space="preserve">, Santa Eulària des </w:t>
      </w:r>
      <w:proofErr w:type="spellStart"/>
      <w:r>
        <w:rPr>
          <w:rFonts w:ascii="Open Sans" w:eastAsia="Open Sans" w:hAnsi="Open Sans" w:cs="Open Sans"/>
          <w:color w:val="000000"/>
        </w:rPr>
        <w:t>Riu</w:t>
      </w:r>
      <w:proofErr w:type="spellEnd"/>
      <w:r>
        <w:rPr>
          <w:rFonts w:ascii="Open Sans" w:eastAsia="Open Sans" w:hAnsi="Open Sans" w:cs="Open Sans"/>
          <w:color w:val="000000"/>
        </w:rPr>
        <w:t xml:space="preserve"> con 5.534 euros/m</w:t>
      </w:r>
      <w:r>
        <w:rPr>
          <w:rFonts w:ascii="Open Sans" w:eastAsia="Open Sans" w:hAnsi="Open Sans" w:cs="Open Sans"/>
          <w:color w:val="000000"/>
          <w:vertAlign w:val="superscript"/>
        </w:rPr>
        <w:t>2</w:t>
      </w:r>
      <w:r>
        <w:rPr>
          <w:rFonts w:ascii="Open Sans" w:eastAsia="Open Sans" w:hAnsi="Open Sans" w:cs="Open Sans"/>
          <w:color w:val="000000"/>
        </w:rPr>
        <w:t xml:space="preserve">, Sant Josep de </w:t>
      </w:r>
      <w:proofErr w:type="spellStart"/>
      <w:r>
        <w:rPr>
          <w:rFonts w:ascii="Open Sans" w:eastAsia="Open Sans" w:hAnsi="Open Sans" w:cs="Open Sans"/>
          <w:color w:val="000000"/>
        </w:rPr>
        <w:t>sa</w:t>
      </w:r>
      <w:proofErr w:type="spellEnd"/>
      <w:r>
        <w:rPr>
          <w:rFonts w:ascii="Open Sans" w:eastAsia="Open Sans" w:hAnsi="Open Sans" w:cs="Open Sans"/>
          <w:color w:val="000000"/>
        </w:rPr>
        <w:t xml:space="preserve"> Talaia con 5.448 euros/m</w:t>
      </w:r>
      <w:r>
        <w:rPr>
          <w:rFonts w:ascii="Open Sans" w:eastAsia="Open Sans" w:hAnsi="Open Sans" w:cs="Open Sans"/>
          <w:color w:val="000000"/>
          <w:vertAlign w:val="superscript"/>
        </w:rPr>
        <w:t>2</w:t>
      </w:r>
      <w:r>
        <w:rPr>
          <w:rFonts w:ascii="Open Sans" w:eastAsia="Open Sans" w:hAnsi="Open Sans" w:cs="Open Sans"/>
          <w:color w:val="000000"/>
        </w:rPr>
        <w:t>, Sant Cugat del Vallès con 5.194 euros/m</w:t>
      </w:r>
      <w:r>
        <w:rPr>
          <w:rFonts w:ascii="Open Sans" w:eastAsia="Open Sans" w:hAnsi="Open Sans" w:cs="Open Sans"/>
          <w:color w:val="000000"/>
          <w:vertAlign w:val="superscript"/>
        </w:rPr>
        <w:t>2</w:t>
      </w:r>
      <w:r>
        <w:rPr>
          <w:rFonts w:ascii="Open Sans" w:eastAsia="Open Sans" w:hAnsi="Open Sans" w:cs="Open Sans"/>
          <w:color w:val="000000"/>
        </w:rPr>
        <w:t xml:space="preserve"> y Madrid capital con 5.146 euros/m</w:t>
      </w:r>
      <w:r>
        <w:rPr>
          <w:rFonts w:ascii="Open Sans" w:eastAsia="Open Sans" w:hAnsi="Open Sans" w:cs="Open Sans"/>
          <w:color w:val="000000"/>
          <w:vertAlign w:val="superscript"/>
        </w:rPr>
        <w:t>2</w:t>
      </w:r>
      <w:r>
        <w:rPr>
          <w:rFonts w:ascii="Open Sans" w:eastAsia="Open Sans" w:hAnsi="Open Sans" w:cs="Open Sans"/>
          <w:color w:val="000000"/>
        </w:rPr>
        <w:t>.</w:t>
      </w:r>
    </w:p>
    <w:p w14:paraId="5BBE757A" w14:textId="77777777" w:rsidR="001239B0"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34AD9DB1" w14:textId="77777777" w:rsidR="001239B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20 de los 21 distritos con variación trimestral analizados por </w:t>
      </w:r>
      <w:hyperlink r:id="rId20">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cinco mayores incrementos de la vivienda corresponden a los distritos de Moratalaz (9,4%), Chamberí (8,5%), Retiro (7,6%), Usera (6,8%), Ciudad Lineal (5,5%). Por otro lado, el único distrito en el que desciende el precio de la vivienda trimestral en marzo es Vicálvaro con -3,7%.  </w:t>
      </w:r>
    </w:p>
    <w:p w14:paraId="03875703" w14:textId="77777777" w:rsidR="001239B0" w:rsidRDefault="001239B0">
      <w:pPr>
        <w:spacing w:line="276" w:lineRule="auto"/>
        <w:jc w:val="both"/>
        <w:rPr>
          <w:rFonts w:ascii="Open Sans" w:eastAsia="Open Sans" w:hAnsi="Open Sans" w:cs="Open Sans"/>
          <w:color w:val="000000"/>
        </w:rPr>
      </w:pPr>
    </w:p>
    <w:p w14:paraId="7A21BB0B" w14:textId="77777777" w:rsidR="001239B0" w:rsidRDefault="00000000">
      <w:pPr>
        <w:spacing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al precio por metro cuadrado en marzo, vemos que los tres distritos más caros son Barrio de Salamanca con 8.429 euros/m</w:t>
      </w:r>
      <w:r>
        <w:rPr>
          <w:rFonts w:ascii="Open Sans" w:eastAsia="Open Sans" w:hAnsi="Open Sans" w:cs="Open Sans"/>
          <w:color w:val="000000"/>
          <w:vertAlign w:val="superscript"/>
        </w:rPr>
        <w:t>2</w:t>
      </w:r>
      <w:r>
        <w:rPr>
          <w:rFonts w:ascii="Open Sans" w:eastAsia="Open Sans" w:hAnsi="Open Sans" w:cs="Open Sans"/>
          <w:color w:val="000000"/>
        </w:rPr>
        <w:t>, Chamberí con 7.024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Centro con 6.922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2.043 euros/m</w:t>
      </w:r>
      <w:r>
        <w:rPr>
          <w:rFonts w:ascii="Open Sans" w:eastAsia="Open Sans" w:hAnsi="Open Sans" w:cs="Open Sans"/>
          <w:color w:val="000000"/>
          <w:vertAlign w:val="superscript"/>
        </w:rPr>
        <w:t>2</w:t>
      </w:r>
      <w:r>
        <w:rPr>
          <w:rFonts w:ascii="Open Sans" w:eastAsia="Open Sans" w:hAnsi="Open Sans" w:cs="Open Sans"/>
          <w:color w:val="000000"/>
        </w:rPr>
        <w:t>, Puente de Vallecas con 2.450 euros/m</w:t>
      </w:r>
      <w:r>
        <w:rPr>
          <w:rFonts w:ascii="Open Sans" w:eastAsia="Open Sans" w:hAnsi="Open Sans" w:cs="Open Sans"/>
          <w:color w:val="000000"/>
          <w:vertAlign w:val="superscript"/>
        </w:rPr>
        <w:t>2</w:t>
      </w:r>
      <w:r>
        <w:rPr>
          <w:rFonts w:ascii="Open Sans" w:eastAsia="Open Sans" w:hAnsi="Open Sans" w:cs="Open Sans"/>
          <w:color w:val="000000"/>
        </w:rPr>
        <w:t xml:space="preserve"> y Usera con 2.494 euros/m</w:t>
      </w:r>
      <w:r>
        <w:rPr>
          <w:rFonts w:ascii="Open Sans" w:eastAsia="Open Sans" w:hAnsi="Open Sans" w:cs="Open Sans"/>
          <w:color w:val="000000"/>
          <w:vertAlign w:val="superscript"/>
        </w:rPr>
        <w:t>2</w:t>
      </w:r>
      <w:r>
        <w:rPr>
          <w:rFonts w:ascii="Open Sans" w:eastAsia="Open Sans" w:hAnsi="Open Sans" w:cs="Open Sans"/>
          <w:color w:val="000000"/>
        </w:rPr>
        <w:t>.</w:t>
      </w:r>
    </w:p>
    <w:p w14:paraId="7B119498" w14:textId="77777777" w:rsidR="001239B0"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6C7E984E" w14:textId="77777777" w:rsidR="001239B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nueve de los diez distritos con variación trimestral analizados por </w:t>
      </w:r>
      <w:hyperlink r:id="rId21">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 la vivienda corresponden a los distritos de Sant Martí (5,8%), Sant Andreu (4,9%), Sarrià - Sant Gervasi (4,7%),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(4,5%), Sants - Montjuïc (4,5%), Eixample (4,5%), Les Corts (3,6%), Horta - Guinardó (2,7%) y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(2,7%). Por otro lado, el distrito en donde el precio del alquiler desciende es Gràcia con -0,2%. </w:t>
      </w:r>
    </w:p>
    <w:p w14:paraId="4FA5E9BD" w14:textId="77777777" w:rsidR="001239B0" w:rsidRDefault="001239B0">
      <w:pPr>
        <w:spacing w:line="276" w:lineRule="auto"/>
        <w:jc w:val="both"/>
        <w:rPr>
          <w:rFonts w:ascii="Open Sans" w:eastAsia="Open Sans" w:hAnsi="Open Sans" w:cs="Open Sans"/>
          <w:color w:val="000000"/>
        </w:rPr>
      </w:pPr>
    </w:p>
    <w:p w14:paraId="2B04C5D0" w14:textId="77777777" w:rsidR="001239B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marzo, vemos que los tres distritos más caros son Sarrià - Sant Gervasi con 6.152 euros/m</w:t>
      </w:r>
      <w:r>
        <w:rPr>
          <w:rFonts w:ascii="Open Sans" w:eastAsia="Open Sans" w:hAnsi="Open Sans" w:cs="Open Sans"/>
          <w:color w:val="000000"/>
          <w:vertAlign w:val="superscript"/>
        </w:rPr>
        <w:t>2</w:t>
      </w:r>
      <w:r>
        <w:rPr>
          <w:rFonts w:ascii="Open Sans" w:eastAsia="Open Sans" w:hAnsi="Open Sans" w:cs="Open Sans"/>
          <w:color w:val="000000"/>
        </w:rPr>
        <w:t>, Eixample con 5.950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Les Corts con 5.290 euros/m</w:t>
      </w:r>
      <w:r>
        <w:rPr>
          <w:rFonts w:ascii="Open Sans" w:eastAsia="Open Sans" w:hAnsi="Open Sans" w:cs="Open Sans"/>
          <w:color w:val="000000"/>
          <w:vertAlign w:val="superscript"/>
        </w:rPr>
        <w:t>2</w:t>
      </w:r>
      <w:r>
        <w:rPr>
          <w:rFonts w:ascii="Open Sans" w:eastAsia="Open Sans" w:hAnsi="Open Sans" w:cs="Open Sans"/>
          <w:color w:val="000000"/>
        </w:rPr>
        <w:t xml:space="preserve">. Por otro lado, los distritos con el precio de la vivienda más económico son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2.849 euros/m</w:t>
      </w:r>
      <w:r>
        <w:rPr>
          <w:rFonts w:ascii="Open Sans" w:eastAsia="Open Sans" w:hAnsi="Open Sans" w:cs="Open Sans"/>
          <w:color w:val="000000"/>
          <w:vertAlign w:val="superscript"/>
        </w:rPr>
        <w:t>2</w:t>
      </w:r>
      <w:r>
        <w:rPr>
          <w:rFonts w:ascii="Open Sans" w:eastAsia="Open Sans" w:hAnsi="Open Sans" w:cs="Open Sans"/>
          <w:color w:val="000000"/>
        </w:rPr>
        <w:t xml:space="preserve"> y Sant Andreu con 3.573 euros/m</w:t>
      </w:r>
      <w:r>
        <w:rPr>
          <w:rFonts w:ascii="Open Sans" w:eastAsia="Open Sans" w:hAnsi="Open Sans" w:cs="Open Sans"/>
          <w:color w:val="000000"/>
          <w:vertAlign w:val="superscript"/>
        </w:rPr>
        <w:t>2</w:t>
      </w:r>
      <w:r>
        <w:rPr>
          <w:rFonts w:ascii="Open Sans" w:eastAsia="Open Sans" w:hAnsi="Open Sans" w:cs="Open Sans"/>
          <w:color w:val="000000"/>
        </w:rPr>
        <w:t>.</w:t>
      </w:r>
    </w:p>
    <w:p w14:paraId="46E0036E" w14:textId="77777777" w:rsidR="001239B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TABLAS DE PRECIOS Y DE EVOLUCIONES (3)</w:t>
      </w:r>
    </w:p>
    <w:p w14:paraId="1AF0738C" w14:textId="77777777" w:rsidR="001239B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(mar. 2024)</w:t>
      </w:r>
    </w:p>
    <w:tbl>
      <w:tblPr>
        <w:tblStyle w:val="a"/>
        <w:tblW w:w="8954"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482"/>
        <w:gridCol w:w="2290"/>
        <w:gridCol w:w="2169"/>
        <w:gridCol w:w="2013"/>
      </w:tblGrid>
      <w:tr w:rsidR="001239B0" w14:paraId="2A0D99F3" w14:textId="77777777" w:rsidTr="001239B0">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center"/>
          </w:tcPr>
          <w:p w14:paraId="158D7A82"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Comunidades </w:t>
            </w:r>
          </w:p>
        </w:tc>
        <w:tc>
          <w:tcPr>
            <w:tcW w:w="2290" w:type="dxa"/>
            <w:shd w:val="clear" w:color="auto" w:fill="1DBDC5"/>
          </w:tcPr>
          <w:p w14:paraId="6FA18CFD"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2024</w:t>
            </w:r>
          </w:p>
          <w:p w14:paraId="23AAB5DB"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2169" w:type="dxa"/>
            <w:shd w:val="clear" w:color="auto" w:fill="1DBDC5"/>
          </w:tcPr>
          <w:p w14:paraId="670F546B"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trimestral (%)</w:t>
            </w:r>
          </w:p>
        </w:tc>
        <w:tc>
          <w:tcPr>
            <w:tcW w:w="2013" w:type="dxa"/>
            <w:shd w:val="clear" w:color="auto" w:fill="1DBDC5"/>
          </w:tcPr>
          <w:p w14:paraId="5226801C"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39B0" w14:paraId="4615241F"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66D7C8B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290" w:type="dxa"/>
            <w:vAlign w:val="bottom"/>
          </w:tcPr>
          <w:p w14:paraId="7F3BA1E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4.008 €</w:t>
            </w:r>
          </w:p>
        </w:tc>
        <w:tc>
          <w:tcPr>
            <w:tcW w:w="2169" w:type="dxa"/>
            <w:vAlign w:val="bottom"/>
          </w:tcPr>
          <w:p w14:paraId="2DBE956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2013" w:type="dxa"/>
            <w:vAlign w:val="bottom"/>
          </w:tcPr>
          <w:p w14:paraId="03754CE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w:t>
            </w:r>
          </w:p>
        </w:tc>
      </w:tr>
      <w:tr w:rsidR="001239B0" w14:paraId="3058BC85"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417950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290" w:type="dxa"/>
            <w:vAlign w:val="bottom"/>
          </w:tcPr>
          <w:p w14:paraId="07BDDAC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2.563 €</w:t>
            </w:r>
          </w:p>
        </w:tc>
        <w:tc>
          <w:tcPr>
            <w:tcW w:w="2169" w:type="dxa"/>
            <w:vAlign w:val="bottom"/>
          </w:tcPr>
          <w:p w14:paraId="197DFF7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5,9%</w:t>
            </w:r>
          </w:p>
        </w:tc>
        <w:tc>
          <w:tcPr>
            <w:tcW w:w="2013" w:type="dxa"/>
            <w:vAlign w:val="bottom"/>
          </w:tcPr>
          <w:p w14:paraId="11BD906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25,1%</w:t>
            </w:r>
          </w:p>
        </w:tc>
      </w:tr>
      <w:tr w:rsidR="001239B0" w14:paraId="30E95CBC"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574507A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290" w:type="dxa"/>
            <w:vAlign w:val="bottom"/>
          </w:tcPr>
          <w:p w14:paraId="0E4309C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2.070 €</w:t>
            </w:r>
          </w:p>
        </w:tc>
        <w:tc>
          <w:tcPr>
            <w:tcW w:w="2169" w:type="dxa"/>
            <w:vAlign w:val="bottom"/>
          </w:tcPr>
          <w:p w14:paraId="3CDBD48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c>
          <w:tcPr>
            <w:tcW w:w="2013" w:type="dxa"/>
            <w:vAlign w:val="bottom"/>
          </w:tcPr>
          <w:p w14:paraId="58758E8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r>
      <w:tr w:rsidR="001239B0" w14:paraId="4E2688D0"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039758A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290" w:type="dxa"/>
            <w:vAlign w:val="bottom"/>
          </w:tcPr>
          <w:p w14:paraId="6031265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3.968 €</w:t>
            </w:r>
          </w:p>
        </w:tc>
        <w:tc>
          <w:tcPr>
            <w:tcW w:w="2169" w:type="dxa"/>
            <w:vAlign w:val="bottom"/>
          </w:tcPr>
          <w:p w14:paraId="58995E8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c>
          <w:tcPr>
            <w:tcW w:w="2013" w:type="dxa"/>
            <w:vAlign w:val="bottom"/>
          </w:tcPr>
          <w:p w14:paraId="0ECC495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1239B0" w14:paraId="07AB4621"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75B773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2290" w:type="dxa"/>
            <w:vAlign w:val="bottom"/>
          </w:tcPr>
          <w:p w14:paraId="4AF9692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1.810 €</w:t>
            </w:r>
          </w:p>
        </w:tc>
        <w:tc>
          <w:tcPr>
            <w:tcW w:w="2169" w:type="dxa"/>
            <w:vAlign w:val="bottom"/>
          </w:tcPr>
          <w:p w14:paraId="5D43AD6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c>
          <w:tcPr>
            <w:tcW w:w="2013" w:type="dxa"/>
            <w:vAlign w:val="bottom"/>
          </w:tcPr>
          <w:p w14:paraId="0860E12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w:t>
            </w:r>
          </w:p>
        </w:tc>
      </w:tr>
      <w:tr w:rsidR="001239B0" w14:paraId="07DE8A40"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50AE1E1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290" w:type="dxa"/>
            <w:vAlign w:val="bottom"/>
          </w:tcPr>
          <w:p w14:paraId="42C5BB8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1.344 €</w:t>
            </w:r>
          </w:p>
        </w:tc>
        <w:tc>
          <w:tcPr>
            <w:tcW w:w="2169" w:type="dxa"/>
            <w:vAlign w:val="bottom"/>
          </w:tcPr>
          <w:p w14:paraId="36B86CC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2013" w:type="dxa"/>
            <w:vAlign w:val="bottom"/>
          </w:tcPr>
          <w:p w14:paraId="5C3211B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w:t>
            </w:r>
          </w:p>
        </w:tc>
      </w:tr>
      <w:tr w:rsidR="001239B0" w14:paraId="2F3B532E"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7F6A7AE2"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290" w:type="dxa"/>
            <w:vAlign w:val="bottom"/>
          </w:tcPr>
          <w:p w14:paraId="32F934C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2.827 €</w:t>
            </w:r>
          </w:p>
        </w:tc>
        <w:tc>
          <w:tcPr>
            <w:tcW w:w="2169" w:type="dxa"/>
            <w:vAlign w:val="bottom"/>
          </w:tcPr>
          <w:p w14:paraId="1D6B6A5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2,4%</w:t>
            </w:r>
          </w:p>
        </w:tc>
        <w:tc>
          <w:tcPr>
            <w:tcW w:w="2013" w:type="dxa"/>
            <w:vAlign w:val="bottom"/>
          </w:tcPr>
          <w:p w14:paraId="3CDAC16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1239B0" w14:paraId="7B777E58"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11F2EAB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290" w:type="dxa"/>
            <w:vAlign w:val="bottom"/>
          </w:tcPr>
          <w:p w14:paraId="2F237AF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1.954 €</w:t>
            </w:r>
          </w:p>
        </w:tc>
        <w:tc>
          <w:tcPr>
            <w:tcW w:w="2169" w:type="dxa"/>
            <w:vAlign w:val="bottom"/>
          </w:tcPr>
          <w:p w14:paraId="7F316C0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c>
          <w:tcPr>
            <w:tcW w:w="2013" w:type="dxa"/>
            <w:vAlign w:val="bottom"/>
          </w:tcPr>
          <w:p w14:paraId="260A7D5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1239B0" w14:paraId="087790A0"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236ECF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290" w:type="dxa"/>
            <w:vAlign w:val="bottom"/>
          </w:tcPr>
          <w:p w14:paraId="002D379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3.139 €</w:t>
            </w:r>
          </w:p>
        </w:tc>
        <w:tc>
          <w:tcPr>
            <w:tcW w:w="2169" w:type="dxa"/>
            <w:vAlign w:val="bottom"/>
          </w:tcPr>
          <w:p w14:paraId="61B970D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w:t>
            </w:r>
          </w:p>
        </w:tc>
        <w:tc>
          <w:tcPr>
            <w:tcW w:w="2013" w:type="dxa"/>
            <w:vAlign w:val="bottom"/>
          </w:tcPr>
          <w:p w14:paraId="222BE18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1239B0" w14:paraId="44A66BA7"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6DF3ED6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290" w:type="dxa"/>
            <w:vAlign w:val="bottom"/>
          </w:tcPr>
          <w:p w14:paraId="41E7EA8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1.206 €</w:t>
            </w:r>
          </w:p>
        </w:tc>
        <w:tc>
          <w:tcPr>
            <w:tcW w:w="2169" w:type="dxa"/>
            <w:vAlign w:val="bottom"/>
          </w:tcPr>
          <w:p w14:paraId="791E048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c>
          <w:tcPr>
            <w:tcW w:w="2013" w:type="dxa"/>
            <w:vAlign w:val="bottom"/>
          </w:tcPr>
          <w:p w14:paraId="0FA1938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r>
      <w:tr w:rsidR="001239B0" w14:paraId="0569F1D8"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F7CC0EE"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290" w:type="dxa"/>
            <w:vAlign w:val="bottom"/>
          </w:tcPr>
          <w:p w14:paraId="30024D7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1.498 €</w:t>
            </w:r>
          </w:p>
        </w:tc>
        <w:tc>
          <w:tcPr>
            <w:tcW w:w="2169" w:type="dxa"/>
            <w:vAlign w:val="bottom"/>
          </w:tcPr>
          <w:p w14:paraId="6361BFD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c>
          <w:tcPr>
            <w:tcW w:w="2013" w:type="dxa"/>
            <w:vAlign w:val="bottom"/>
          </w:tcPr>
          <w:p w14:paraId="380A7CF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r w:rsidR="001239B0" w14:paraId="3726140F"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4C6FAF9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290" w:type="dxa"/>
            <w:vAlign w:val="bottom"/>
          </w:tcPr>
          <w:p w14:paraId="73AF9ED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1.739 €</w:t>
            </w:r>
          </w:p>
        </w:tc>
        <w:tc>
          <w:tcPr>
            <w:tcW w:w="2169" w:type="dxa"/>
            <w:vAlign w:val="bottom"/>
          </w:tcPr>
          <w:p w14:paraId="336ED69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c>
          <w:tcPr>
            <w:tcW w:w="2013" w:type="dxa"/>
            <w:vAlign w:val="bottom"/>
          </w:tcPr>
          <w:p w14:paraId="3E2BF36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1239B0" w14:paraId="46979268"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4ADC422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290" w:type="dxa"/>
            <w:vAlign w:val="bottom"/>
          </w:tcPr>
          <w:p w14:paraId="7EE3205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1.666 €</w:t>
            </w:r>
          </w:p>
        </w:tc>
        <w:tc>
          <w:tcPr>
            <w:tcW w:w="2169" w:type="dxa"/>
            <w:vAlign w:val="bottom"/>
          </w:tcPr>
          <w:p w14:paraId="6A5DB18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0,5%</w:t>
            </w:r>
          </w:p>
        </w:tc>
        <w:tc>
          <w:tcPr>
            <w:tcW w:w="2013" w:type="dxa"/>
            <w:vAlign w:val="bottom"/>
          </w:tcPr>
          <w:p w14:paraId="277174B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r>
      <w:tr w:rsidR="001239B0" w14:paraId="4D124DBC"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FD8784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290" w:type="dxa"/>
            <w:vAlign w:val="bottom"/>
          </w:tcPr>
          <w:p w14:paraId="6E8ADCC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1.204 €</w:t>
            </w:r>
          </w:p>
        </w:tc>
        <w:tc>
          <w:tcPr>
            <w:tcW w:w="2169" w:type="dxa"/>
            <w:vAlign w:val="bottom"/>
          </w:tcPr>
          <w:p w14:paraId="6043FBA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0,2%</w:t>
            </w:r>
          </w:p>
        </w:tc>
        <w:tc>
          <w:tcPr>
            <w:tcW w:w="2013" w:type="dxa"/>
            <w:vAlign w:val="bottom"/>
          </w:tcPr>
          <w:p w14:paraId="2B1B302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1239B0" w14:paraId="30BD7EE9"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523D06C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290" w:type="dxa"/>
            <w:vAlign w:val="bottom"/>
          </w:tcPr>
          <w:p w14:paraId="0A39E63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1.656 €</w:t>
            </w:r>
          </w:p>
        </w:tc>
        <w:tc>
          <w:tcPr>
            <w:tcW w:w="2169" w:type="dxa"/>
            <w:vAlign w:val="bottom"/>
          </w:tcPr>
          <w:p w14:paraId="6A40E73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-0,8%</w:t>
            </w:r>
          </w:p>
        </w:tc>
        <w:tc>
          <w:tcPr>
            <w:tcW w:w="2013" w:type="dxa"/>
            <w:vAlign w:val="bottom"/>
          </w:tcPr>
          <w:p w14:paraId="56F283F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1239B0" w14:paraId="60FE9326"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70BA84D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290" w:type="dxa"/>
            <w:vAlign w:val="bottom"/>
          </w:tcPr>
          <w:p w14:paraId="3E87F26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1.725 €</w:t>
            </w:r>
          </w:p>
        </w:tc>
        <w:tc>
          <w:tcPr>
            <w:tcW w:w="2169" w:type="dxa"/>
            <w:vAlign w:val="bottom"/>
          </w:tcPr>
          <w:p w14:paraId="006BCE8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-1,2%</w:t>
            </w:r>
          </w:p>
        </w:tc>
        <w:tc>
          <w:tcPr>
            <w:tcW w:w="2013" w:type="dxa"/>
            <w:vAlign w:val="bottom"/>
          </w:tcPr>
          <w:p w14:paraId="42DE30A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1239B0" w14:paraId="278FEFE5" w14:textId="77777777" w:rsidTr="001239B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15FFB7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290" w:type="dxa"/>
            <w:vAlign w:val="bottom"/>
          </w:tcPr>
          <w:p w14:paraId="7A3FA65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2.012 €</w:t>
            </w:r>
          </w:p>
        </w:tc>
        <w:tc>
          <w:tcPr>
            <w:tcW w:w="2169" w:type="dxa"/>
            <w:vAlign w:val="bottom"/>
          </w:tcPr>
          <w:p w14:paraId="76DDB08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w:t>
            </w:r>
          </w:p>
        </w:tc>
        <w:tc>
          <w:tcPr>
            <w:tcW w:w="2013" w:type="dxa"/>
            <w:vAlign w:val="bottom"/>
          </w:tcPr>
          <w:p w14:paraId="31C9D8D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1239B0" w14:paraId="62AC0A66" w14:textId="77777777" w:rsidTr="001239B0">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57F2E47B"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290" w:type="dxa"/>
            <w:vAlign w:val="bottom"/>
          </w:tcPr>
          <w:p w14:paraId="1C3416A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2.259 €</w:t>
            </w:r>
          </w:p>
        </w:tc>
        <w:tc>
          <w:tcPr>
            <w:tcW w:w="2169" w:type="dxa"/>
            <w:vAlign w:val="bottom"/>
          </w:tcPr>
          <w:p w14:paraId="1556DC7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2,5%</w:t>
            </w:r>
          </w:p>
        </w:tc>
        <w:tc>
          <w:tcPr>
            <w:tcW w:w="2013" w:type="dxa"/>
            <w:vAlign w:val="bottom"/>
          </w:tcPr>
          <w:p w14:paraId="40539C9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7,4%</w:t>
            </w:r>
          </w:p>
        </w:tc>
      </w:tr>
    </w:tbl>
    <w:p w14:paraId="7D17E350" w14:textId="77777777" w:rsidR="001239B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descenso trimestral (mar. 2024)</w:t>
      </w:r>
    </w:p>
    <w:tbl>
      <w:tblPr>
        <w:tblStyle w:val="a0"/>
        <w:tblW w:w="9024"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689"/>
        <w:gridCol w:w="2551"/>
        <w:gridCol w:w="1701"/>
        <w:gridCol w:w="2083"/>
      </w:tblGrid>
      <w:tr w:rsidR="001239B0" w14:paraId="2D011152" w14:textId="77777777" w:rsidTr="001239B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1878625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551" w:type="dxa"/>
            <w:shd w:val="clear" w:color="auto" w:fill="1DBDC5"/>
          </w:tcPr>
          <w:p w14:paraId="5D622548"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2024</w:t>
            </w:r>
          </w:p>
          <w:p w14:paraId="193D2E66"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1701" w:type="dxa"/>
            <w:shd w:val="clear" w:color="auto" w:fill="1DBDC5"/>
          </w:tcPr>
          <w:p w14:paraId="5B29C077"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trimestral (%)</w:t>
            </w:r>
          </w:p>
        </w:tc>
        <w:tc>
          <w:tcPr>
            <w:tcW w:w="2083" w:type="dxa"/>
            <w:shd w:val="clear" w:color="auto" w:fill="1DBDC5"/>
          </w:tcPr>
          <w:p w14:paraId="6BC98505"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39B0" w14:paraId="4E7B2580"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D023E0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551" w:type="dxa"/>
            <w:vAlign w:val="bottom"/>
          </w:tcPr>
          <w:p w14:paraId="7A13223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2.927 €</w:t>
            </w:r>
          </w:p>
        </w:tc>
        <w:tc>
          <w:tcPr>
            <w:tcW w:w="1701" w:type="dxa"/>
            <w:vAlign w:val="bottom"/>
          </w:tcPr>
          <w:p w14:paraId="4B15236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8,8%</w:t>
            </w:r>
          </w:p>
        </w:tc>
        <w:tc>
          <w:tcPr>
            <w:tcW w:w="2083" w:type="dxa"/>
            <w:vAlign w:val="bottom"/>
          </w:tcPr>
          <w:p w14:paraId="04FBE48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33,5%</w:t>
            </w:r>
          </w:p>
        </w:tc>
      </w:tr>
      <w:tr w:rsidR="001239B0" w14:paraId="3EF0F58B"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55A6F2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551" w:type="dxa"/>
            <w:vAlign w:val="bottom"/>
          </w:tcPr>
          <w:p w14:paraId="5966E1D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1.729 €</w:t>
            </w:r>
          </w:p>
        </w:tc>
        <w:tc>
          <w:tcPr>
            <w:tcW w:w="1701" w:type="dxa"/>
            <w:vAlign w:val="bottom"/>
          </w:tcPr>
          <w:p w14:paraId="5AF3CC0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6,4%</w:t>
            </w:r>
          </w:p>
        </w:tc>
        <w:tc>
          <w:tcPr>
            <w:tcW w:w="2083" w:type="dxa"/>
            <w:vAlign w:val="bottom"/>
          </w:tcPr>
          <w:p w14:paraId="55E7F6B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8,5%</w:t>
            </w:r>
          </w:p>
        </w:tc>
      </w:tr>
      <w:tr w:rsidR="001239B0" w14:paraId="6D8F9B7F"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D08A34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vAlign w:val="bottom"/>
          </w:tcPr>
          <w:p w14:paraId="0F6C7CB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4.008 €</w:t>
            </w:r>
          </w:p>
        </w:tc>
        <w:tc>
          <w:tcPr>
            <w:tcW w:w="1701" w:type="dxa"/>
            <w:vAlign w:val="bottom"/>
          </w:tcPr>
          <w:p w14:paraId="4FFA1D0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6,4%</w:t>
            </w:r>
          </w:p>
        </w:tc>
        <w:tc>
          <w:tcPr>
            <w:tcW w:w="2083" w:type="dxa"/>
            <w:vAlign w:val="bottom"/>
          </w:tcPr>
          <w:p w14:paraId="493767A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16,3%</w:t>
            </w:r>
          </w:p>
        </w:tc>
      </w:tr>
      <w:tr w:rsidR="001239B0" w14:paraId="48B9B954"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94D5BB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551" w:type="dxa"/>
            <w:vAlign w:val="bottom"/>
          </w:tcPr>
          <w:p w14:paraId="67C32ED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3.473 €</w:t>
            </w:r>
          </w:p>
        </w:tc>
        <w:tc>
          <w:tcPr>
            <w:tcW w:w="1701" w:type="dxa"/>
            <w:vAlign w:val="bottom"/>
          </w:tcPr>
          <w:p w14:paraId="45E938B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5,4%</w:t>
            </w:r>
          </w:p>
        </w:tc>
        <w:tc>
          <w:tcPr>
            <w:tcW w:w="2083" w:type="dxa"/>
            <w:vAlign w:val="bottom"/>
          </w:tcPr>
          <w:p w14:paraId="1F317DF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19,8%</w:t>
            </w:r>
          </w:p>
        </w:tc>
      </w:tr>
      <w:tr w:rsidR="001239B0" w14:paraId="6DE6BB66"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807B47E"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551" w:type="dxa"/>
            <w:vAlign w:val="bottom"/>
          </w:tcPr>
          <w:p w14:paraId="7AA40B9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2.574 €</w:t>
            </w:r>
          </w:p>
        </w:tc>
        <w:tc>
          <w:tcPr>
            <w:tcW w:w="1701" w:type="dxa"/>
            <w:vAlign w:val="bottom"/>
          </w:tcPr>
          <w:p w14:paraId="025E1E3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3,9%</w:t>
            </w:r>
          </w:p>
        </w:tc>
        <w:tc>
          <w:tcPr>
            <w:tcW w:w="2083" w:type="dxa"/>
            <w:vAlign w:val="bottom"/>
          </w:tcPr>
          <w:p w14:paraId="6FBAD76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9,0%</w:t>
            </w:r>
          </w:p>
        </w:tc>
      </w:tr>
      <w:tr w:rsidR="001239B0" w14:paraId="1984A027"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7B02A52"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551" w:type="dxa"/>
            <w:vAlign w:val="bottom"/>
          </w:tcPr>
          <w:p w14:paraId="4C5465C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color w:val="000000"/>
                <w:sz w:val="22"/>
                <w:szCs w:val="22"/>
              </w:rPr>
              <w:t>1.501 €</w:t>
            </w:r>
          </w:p>
        </w:tc>
        <w:tc>
          <w:tcPr>
            <w:tcW w:w="1701" w:type="dxa"/>
            <w:vAlign w:val="bottom"/>
          </w:tcPr>
          <w:p w14:paraId="5CD162E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3,9%</w:t>
            </w:r>
          </w:p>
        </w:tc>
        <w:tc>
          <w:tcPr>
            <w:tcW w:w="2083" w:type="dxa"/>
            <w:vAlign w:val="bottom"/>
          </w:tcPr>
          <w:p w14:paraId="67CC091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16,4%</w:t>
            </w:r>
          </w:p>
        </w:tc>
      </w:tr>
      <w:tr w:rsidR="001239B0" w14:paraId="29915247"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000BCE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551" w:type="dxa"/>
            <w:vAlign w:val="bottom"/>
          </w:tcPr>
          <w:p w14:paraId="075ACCD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1.891 €</w:t>
            </w:r>
          </w:p>
        </w:tc>
        <w:tc>
          <w:tcPr>
            <w:tcW w:w="1701" w:type="dxa"/>
            <w:vAlign w:val="bottom"/>
          </w:tcPr>
          <w:p w14:paraId="4172454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c>
          <w:tcPr>
            <w:tcW w:w="2083" w:type="dxa"/>
            <w:vAlign w:val="bottom"/>
          </w:tcPr>
          <w:p w14:paraId="57D88C7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r>
      <w:tr w:rsidR="001239B0" w14:paraId="74ACD195"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70E253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551" w:type="dxa"/>
            <w:vAlign w:val="bottom"/>
          </w:tcPr>
          <w:p w14:paraId="04B77EE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2.096 €</w:t>
            </w:r>
          </w:p>
        </w:tc>
        <w:tc>
          <w:tcPr>
            <w:tcW w:w="1701" w:type="dxa"/>
            <w:vAlign w:val="bottom"/>
          </w:tcPr>
          <w:p w14:paraId="0E8B894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c>
          <w:tcPr>
            <w:tcW w:w="2083" w:type="dxa"/>
            <w:vAlign w:val="bottom"/>
          </w:tcPr>
          <w:p w14:paraId="1A1D64B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w:t>
            </w:r>
          </w:p>
        </w:tc>
      </w:tr>
      <w:tr w:rsidR="001239B0" w14:paraId="724A30C4"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4F147E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551" w:type="dxa"/>
            <w:vAlign w:val="bottom"/>
          </w:tcPr>
          <w:p w14:paraId="5761203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1.570 €</w:t>
            </w:r>
          </w:p>
        </w:tc>
        <w:tc>
          <w:tcPr>
            <w:tcW w:w="1701" w:type="dxa"/>
            <w:vAlign w:val="bottom"/>
          </w:tcPr>
          <w:p w14:paraId="441EDFD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3,3%</w:t>
            </w:r>
          </w:p>
        </w:tc>
        <w:tc>
          <w:tcPr>
            <w:tcW w:w="2083" w:type="dxa"/>
            <w:vAlign w:val="bottom"/>
          </w:tcPr>
          <w:p w14:paraId="6F7EE5F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w:t>
            </w:r>
          </w:p>
        </w:tc>
      </w:tr>
      <w:tr w:rsidR="001239B0" w14:paraId="21543305"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33DB3D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1128CA2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3.968 €</w:t>
            </w:r>
          </w:p>
        </w:tc>
        <w:tc>
          <w:tcPr>
            <w:tcW w:w="1701" w:type="dxa"/>
            <w:vAlign w:val="bottom"/>
          </w:tcPr>
          <w:p w14:paraId="64DED5A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c>
          <w:tcPr>
            <w:tcW w:w="2083" w:type="dxa"/>
            <w:vAlign w:val="bottom"/>
          </w:tcPr>
          <w:p w14:paraId="53B6A7E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1239B0" w14:paraId="4251514E"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636021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50FAD37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3.138 €</w:t>
            </w:r>
          </w:p>
        </w:tc>
        <w:tc>
          <w:tcPr>
            <w:tcW w:w="1701" w:type="dxa"/>
            <w:vAlign w:val="bottom"/>
          </w:tcPr>
          <w:p w14:paraId="418F756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c>
          <w:tcPr>
            <w:tcW w:w="2083" w:type="dxa"/>
            <w:vAlign w:val="bottom"/>
          </w:tcPr>
          <w:p w14:paraId="37974C2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1239B0" w14:paraId="70DA24BD"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4A8EEB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551" w:type="dxa"/>
            <w:vAlign w:val="bottom"/>
          </w:tcPr>
          <w:p w14:paraId="1FDA79A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1.344 €</w:t>
            </w:r>
          </w:p>
        </w:tc>
        <w:tc>
          <w:tcPr>
            <w:tcW w:w="1701" w:type="dxa"/>
            <w:vAlign w:val="bottom"/>
          </w:tcPr>
          <w:p w14:paraId="1B791A9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2083" w:type="dxa"/>
            <w:vAlign w:val="bottom"/>
          </w:tcPr>
          <w:p w14:paraId="0FFCD09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w:t>
            </w:r>
          </w:p>
        </w:tc>
      </w:tr>
      <w:tr w:rsidR="001239B0" w14:paraId="2A9E3606"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BC04D3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551" w:type="dxa"/>
            <w:vAlign w:val="bottom"/>
          </w:tcPr>
          <w:p w14:paraId="1B5FEA4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1.962 €</w:t>
            </w:r>
          </w:p>
        </w:tc>
        <w:tc>
          <w:tcPr>
            <w:tcW w:w="1701" w:type="dxa"/>
            <w:vAlign w:val="bottom"/>
          </w:tcPr>
          <w:p w14:paraId="49AAE2B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c>
          <w:tcPr>
            <w:tcW w:w="2083" w:type="dxa"/>
            <w:vAlign w:val="bottom"/>
          </w:tcPr>
          <w:p w14:paraId="3BC90A5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r>
      <w:tr w:rsidR="001239B0" w14:paraId="1A2C45B9"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28B412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551" w:type="dxa"/>
            <w:vAlign w:val="bottom"/>
          </w:tcPr>
          <w:p w14:paraId="0350094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1.670 €</w:t>
            </w:r>
          </w:p>
        </w:tc>
        <w:tc>
          <w:tcPr>
            <w:tcW w:w="1701" w:type="dxa"/>
            <w:vAlign w:val="bottom"/>
          </w:tcPr>
          <w:p w14:paraId="3080CFE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2,5%</w:t>
            </w:r>
          </w:p>
        </w:tc>
        <w:tc>
          <w:tcPr>
            <w:tcW w:w="2083" w:type="dxa"/>
            <w:vAlign w:val="bottom"/>
          </w:tcPr>
          <w:p w14:paraId="58B45BA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w:t>
            </w:r>
          </w:p>
        </w:tc>
      </w:tr>
      <w:tr w:rsidR="001239B0" w14:paraId="0C08EE5D"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F7B84F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551" w:type="dxa"/>
            <w:vAlign w:val="bottom"/>
          </w:tcPr>
          <w:p w14:paraId="30A847B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1.627 €</w:t>
            </w:r>
          </w:p>
        </w:tc>
        <w:tc>
          <w:tcPr>
            <w:tcW w:w="1701" w:type="dxa"/>
            <w:vAlign w:val="bottom"/>
          </w:tcPr>
          <w:p w14:paraId="42D38DA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2083" w:type="dxa"/>
            <w:vAlign w:val="bottom"/>
          </w:tcPr>
          <w:p w14:paraId="48EECBB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1239B0" w14:paraId="6718153D"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DAD2DF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Lleida</w:t>
            </w:r>
          </w:p>
        </w:tc>
        <w:tc>
          <w:tcPr>
            <w:tcW w:w="2551" w:type="dxa"/>
            <w:vAlign w:val="bottom"/>
          </w:tcPr>
          <w:p w14:paraId="07C84D5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1.374 €</w:t>
            </w:r>
          </w:p>
        </w:tc>
        <w:tc>
          <w:tcPr>
            <w:tcW w:w="1701" w:type="dxa"/>
            <w:vAlign w:val="bottom"/>
          </w:tcPr>
          <w:p w14:paraId="2A4B034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2083" w:type="dxa"/>
            <w:vAlign w:val="bottom"/>
          </w:tcPr>
          <w:p w14:paraId="1ACA89E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w:t>
            </w:r>
          </w:p>
        </w:tc>
      </w:tr>
      <w:tr w:rsidR="001239B0" w14:paraId="7EBCE5AD"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1F3AE3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51" w:type="dxa"/>
            <w:vAlign w:val="bottom"/>
          </w:tcPr>
          <w:p w14:paraId="1C6F1A6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1.954 €</w:t>
            </w:r>
          </w:p>
        </w:tc>
        <w:tc>
          <w:tcPr>
            <w:tcW w:w="1701" w:type="dxa"/>
            <w:vAlign w:val="bottom"/>
          </w:tcPr>
          <w:p w14:paraId="6D555BA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c>
          <w:tcPr>
            <w:tcW w:w="2083" w:type="dxa"/>
            <w:vAlign w:val="bottom"/>
          </w:tcPr>
          <w:p w14:paraId="7EAAEFC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1239B0" w14:paraId="3F1986AA"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FC415F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551" w:type="dxa"/>
            <w:vAlign w:val="bottom"/>
          </w:tcPr>
          <w:p w14:paraId="108B387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2.140 €</w:t>
            </w:r>
          </w:p>
        </w:tc>
        <w:tc>
          <w:tcPr>
            <w:tcW w:w="1701" w:type="dxa"/>
            <w:vAlign w:val="bottom"/>
          </w:tcPr>
          <w:p w14:paraId="4800F1C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c>
          <w:tcPr>
            <w:tcW w:w="2083" w:type="dxa"/>
            <w:vAlign w:val="bottom"/>
          </w:tcPr>
          <w:p w14:paraId="67478DD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w:t>
            </w:r>
          </w:p>
        </w:tc>
      </w:tr>
      <w:tr w:rsidR="001239B0" w14:paraId="23AA727B"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14FF083"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551" w:type="dxa"/>
            <w:vAlign w:val="bottom"/>
          </w:tcPr>
          <w:p w14:paraId="02CAB9B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1.426 €</w:t>
            </w:r>
          </w:p>
        </w:tc>
        <w:tc>
          <w:tcPr>
            <w:tcW w:w="1701" w:type="dxa"/>
            <w:vAlign w:val="bottom"/>
          </w:tcPr>
          <w:p w14:paraId="364473E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c>
          <w:tcPr>
            <w:tcW w:w="2083" w:type="dxa"/>
            <w:vAlign w:val="bottom"/>
          </w:tcPr>
          <w:p w14:paraId="7B205D5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1239B0" w14:paraId="2899A2F4"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CF6AD6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551" w:type="dxa"/>
            <w:vAlign w:val="bottom"/>
          </w:tcPr>
          <w:p w14:paraId="7E68192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1.708 €</w:t>
            </w:r>
          </w:p>
        </w:tc>
        <w:tc>
          <w:tcPr>
            <w:tcW w:w="1701" w:type="dxa"/>
            <w:vAlign w:val="bottom"/>
          </w:tcPr>
          <w:p w14:paraId="7A99858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c>
          <w:tcPr>
            <w:tcW w:w="2083" w:type="dxa"/>
            <w:vAlign w:val="bottom"/>
          </w:tcPr>
          <w:p w14:paraId="6EA41A8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r>
      <w:tr w:rsidR="001239B0" w14:paraId="36917A14"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90D2742"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551" w:type="dxa"/>
            <w:vAlign w:val="bottom"/>
          </w:tcPr>
          <w:p w14:paraId="78A7E6C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3.056 €</w:t>
            </w:r>
          </w:p>
        </w:tc>
        <w:tc>
          <w:tcPr>
            <w:tcW w:w="1701" w:type="dxa"/>
            <w:vAlign w:val="bottom"/>
          </w:tcPr>
          <w:p w14:paraId="5C4DCF1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w:t>
            </w:r>
          </w:p>
        </w:tc>
        <w:tc>
          <w:tcPr>
            <w:tcW w:w="2083" w:type="dxa"/>
            <w:vAlign w:val="bottom"/>
          </w:tcPr>
          <w:p w14:paraId="300E7B0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1239B0" w14:paraId="25060BA1"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6052B42"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551" w:type="dxa"/>
            <w:vAlign w:val="bottom"/>
          </w:tcPr>
          <w:p w14:paraId="0F593C3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1.838 €</w:t>
            </w:r>
          </w:p>
        </w:tc>
        <w:tc>
          <w:tcPr>
            <w:tcW w:w="1701" w:type="dxa"/>
            <w:vAlign w:val="bottom"/>
          </w:tcPr>
          <w:p w14:paraId="6D6827D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w:t>
            </w:r>
          </w:p>
        </w:tc>
        <w:tc>
          <w:tcPr>
            <w:tcW w:w="2083" w:type="dxa"/>
            <w:vAlign w:val="bottom"/>
          </w:tcPr>
          <w:p w14:paraId="4FCDCB8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1239B0" w14:paraId="286FF184"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3F8F68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551" w:type="dxa"/>
            <w:vAlign w:val="bottom"/>
          </w:tcPr>
          <w:p w14:paraId="311781F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1.288 €</w:t>
            </w:r>
          </w:p>
        </w:tc>
        <w:tc>
          <w:tcPr>
            <w:tcW w:w="1701" w:type="dxa"/>
            <w:vAlign w:val="bottom"/>
          </w:tcPr>
          <w:p w14:paraId="6DE205F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w:t>
            </w:r>
          </w:p>
        </w:tc>
        <w:tc>
          <w:tcPr>
            <w:tcW w:w="2083" w:type="dxa"/>
            <w:vAlign w:val="bottom"/>
          </w:tcPr>
          <w:p w14:paraId="130B029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1239B0" w14:paraId="28A11207"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9911C6F"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551" w:type="dxa"/>
            <w:vAlign w:val="bottom"/>
          </w:tcPr>
          <w:p w14:paraId="7EFCB31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1.841 €</w:t>
            </w:r>
          </w:p>
        </w:tc>
        <w:tc>
          <w:tcPr>
            <w:tcW w:w="1701" w:type="dxa"/>
            <w:vAlign w:val="bottom"/>
          </w:tcPr>
          <w:p w14:paraId="3F6FD20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w:t>
            </w:r>
          </w:p>
        </w:tc>
        <w:tc>
          <w:tcPr>
            <w:tcW w:w="2083" w:type="dxa"/>
            <w:vAlign w:val="bottom"/>
          </w:tcPr>
          <w:p w14:paraId="3FD9FBE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r>
      <w:tr w:rsidR="001239B0" w14:paraId="6A690552"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63D52D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551" w:type="dxa"/>
            <w:vAlign w:val="bottom"/>
          </w:tcPr>
          <w:p w14:paraId="39A0A43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1.069 €</w:t>
            </w:r>
          </w:p>
        </w:tc>
        <w:tc>
          <w:tcPr>
            <w:tcW w:w="1701" w:type="dxa"/>
            <w:vAlign w:val="bottom"/>
          </w:tcPr>
          <w:p w14:paraId="62C92AE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w:t>
            </w:r>
          </w:p>
        </w:tc>
        <w:tc>
          <w:tcPr>
            <w:tcW w:w="2083" w:type="dxa"/>
            <w:vAlign w:val="bottom"/>
          </w:tcPr>
          <w:p w14:paraId="5A7F8D9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1239B0" w14:paraId="3445BFAE"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9FDFE9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551" w:type="dxa"/>
            <w:vAlign w:val="bottom"/>
          </w:tcPr>
          <w:p w14:paraId="001CE4F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1.168 €</w:t>
            </w:r>
          </w:p>
        </w:tc>
        <w:tc>
          <w:tcPr>
            <w:tcW w:w="1701" w:type="dxa"/>
            <w:vAlign w:val="bottom"/>
          </w:tcPr>
          <w:p w14:paraId="6F887FB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w:t>
            </w:r>
          </w:p>
        </w:tc>
        <w:tc>
          <w:tcPr>
            <w:tcW w:w="2083" w:type="dxa"/>
            <w:vAlign w:val="bottom"/>
          </w:tcPr>
          <w:p w14:paraId="629975B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r>
      <w:tr w:rsidR="001239B0" w14:paraId="6199755A"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2D733A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551" w:type="dxa"/>
            <w:vAlign w:val="bottom"/>
          </w:tcPr>
          <w:p w14:paraId="44E5656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1.192 €</w:t>
            </w:r>
          </w:p>
        </w:tc>
        <w:tc>
          <w:tcPr>
            <w:tcW w:w="1701" w:type="dxa"/>
            <w:vAlign w:val="bottom"/>
          </w:tcPr>
          <w:p w14:paraId="2F703B9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w:t>
            </w:r>
          </w:p>
        </w:tc>
        <w:tc>
          <w:tcPr>
            <w:tcW w:w="2083" w:type="dxa"/>
            <w:vAlign w:val="bottom"/>
          </w:tcPr>
          <w:p w14:paraId="7FAB16D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r>
      <w:tr w:rsidR="001239B0" w14:paraId="335FEF23"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737DFC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551" w:type="dxa"/>
            <w:vAlign w:val="bottom"/>
          </w:tcPr>
          <w:p w14:paraId="1590A63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1.325 €</w:t>
            </w:r>
          </w:p>
        </w:tc>
        <w:tc>
          <w:tcPr>
            <w:tcW w:w="1701" w:type="dxa"/>
            <w:vAlign w:val="bottom"/>
          </w:tcPr>
          <w:p w14:paraId="69456C6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w:t>
            </w:r>
          </w:p>
        </w:tc>
        <w:tc>
          <w:tcPr>
            <w:tcW w:w="2083" w:type="dxa"/>
            <w:vAlign w:val="bottom"/>
          </w:tcPr>
          <w:p w14:paraId="275CEF9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r w:rsidR="001239B0" w14:paraId="42E33F2A"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265DA8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551" w:type="dxa"/>
            <w:vAlign w:val="bottom"/>
          </w:tcPr>
          <w:p w14:paraId="187DF59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1.486 €</w:t>
            </w:r>
          </w:p>
        </w:tc>
        <w:tc>
          <w:tcPr>
            <w:tcW w:w="1701" w:type="dxa"/>
            <w:vAlign w:val="bottom"/>
          </w:tcPr>
          <w:p w14:paraId="3344703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c>
          <w:tcPr>
            <w:tcW w:w="2083" w:type="dxa"/>
            <w:vAlign w:val="bottom"/>
          </w:tcPr>
          <w:p w14:paraId="6390BE5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1239B0" w14:paraId="1354C884"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2FAF82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551" w:type="dxa"/>
            <w:vAlign w:val="bottom"/>
          </w:tcPr>
          <w:p w14:paraId="110E344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2.085 €</w:t>
            </w:r>
          </w:p>
        </w:tc>
        <w:tc>
          <w:tcPr>
            <w:tcW w:w="1701" w:type="dxa"/>
            <w:vAlign w:val="bottom"/>
          </w:tcPr>
          <w:p w14:paraId="68F942C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c>
          <w:tcPr>
            <w:tcW w:w="2083" w:type="dxa"/>
            <w:vAlign w:val="bottom"/>
          </w:tcPr>
          <w:p w14:paraId="3D8430E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1239B0" w14:paraId="7671FF9E"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69D251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551" w:type="dxa"/>
            <w:vAlign w:val="bottom"/>
          </w:tcPr>
          <w:p w14:paraId="45A441C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1.229 €</w:t>
            </w:r>
          </w:p>
        </w:tc>
        <w:tc>
          <w:tcPr>
            <w:tcW w:w="1701" w:type="dxa"/>
            <w:vAlign w:val="bottom"/>
          </w:tcPr>
          <w:p w14:paraId="497CADD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c>
          <w:tcPr>
            <w:tcW w:w="2083" w:type="dxa"/>
            <w:vAlign w:val="bottom"/>
          </w:tcPr>
          <w:p w14:paraId="4F25C13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r>
      <w:tr w:rsidR="001239B0" w14:paraId="50FF83D8"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E6849C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551" w:type="dxa"/>
            <w:vAlign w:val="bottom"/>
          </w:tcPr>
          <w:p w14:paraId="51E3616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1.510 €</w:t>
            </w:r>
          </w:p>
        </w:tc>
        <w:tc>
          <w:tcPr>
            <w:tcW w:w="1701" w:type="dxa"/>
            <w:vAlign w:val="bottom"/>
          </w:tcPr>
          <w:p w14:paraId="1B1BE3B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0,9%</w:t>
            </w:r>
          </w:p>
        </w:tc>
        <w:tc>
          <w:tcPr>
            <w:tcW w:w="2083" w:type="dxa"/>
            <w:vAlign w:val="bottom"/>
          </w:tcPr>
          <w:p w14:paraId="17FC9C2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1239B0" w14:paraId="78724464"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571E31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vAlign w:val="bottom"/>
          </w:tcPr>
          <w:p w14:paraId="2D21B93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1.726 €</w:t>
            </w:r>
          </w:p>
        </w:tc>
        <w:tc>
          <w:tcPr>
            <w:tcW w:w="1701" w:type="dxa"/>
            <w:vAlign w:val="bottom"/>
          </w:tcPr>
          <w:p w14:paraId="01CBD83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c>
          <w:tcPr>
            <w:tcW w:w="2083" w:type="dxa"/>
            <w:vAlign w:val="bottom"/>
          </w:tcPr>
          <w:p w14:paraId="0431756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1239B0" w14:paraId="49548B17"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2B69BD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42856AD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3.550 €</w:t>
            </w:r>
          </w:p>
        </w:tc>
        <w:tc>
          <w:tcPr>
            <w:tcW w:w="1701" w:type="dxa"/>
            <w:vAlign w:val="bottom"/>
          </w:tcPr>
          <w:p w14:paraId="1360648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c>
          <w:tcPr>
            <w:tcW w:w="2083" w:type="dxa"/>
            <w:vAlign w:val="bottom"/>
          </w:tcPr>
          <w:p w14:paraId="73FCEE7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r>
      <w:tr w:rsidR="001239B0" w14:paraId="5FC169EE"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B68DEF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551" w:type="dxa"/>
            <w:vAlign w:val="bottom"/>
          </w:tcPr>
          <w:p w14:paraId="113EECB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1.666 €</w:t>
            </w:r>
          </w:p>
        </w:tc>
        <w:tc>
          <w:tcPr>
            <w:tcW w:w="1701" w:type="dxa"/>
            <w:vAlign w:val="bottom"/>
          </w:tcPr>
          <w:p w14:paraId="360B344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0,5%</w:t>
            </w:r>
          </w:p>
        </w:tc>
        <w:tc>
          <w:tcPr>
            <w:tcW w:w="2083" w:type="dxa"/>
            <w:vAlign w:val="bottom"/>
          </w:tcPr>
          <w:p w14:paraId="66E0F91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r>
      <w:tr w:rsidR="001239B0" w14:paraId="76401998"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A09C99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551" w:type="dxa"/>
            <w:vAlign w:val="bottom"/>
          </w:tcPr>
          <w:p w14:paraId="0487A8E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1.394 €</w:t>
            </w:r>
          </w:p>
        </w:tc>
        <w:tc>
          <w:tcPr>
            <w:tcW w:w="1701" w:type="dxa"/>
            <w:vAlign w:val="bottom"/>
          </w:tcPr>
          <w:p w14:paraId="63679A3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0,4%</w:t>
            </w:r>
          </w:p>
        </w:tc>
        <w:tc>
          <w:tcPr>
            <w:tcW w:w="2083" w:type="dxa"/>
            <w:vAlign w:val="bottom"/>
          </w:tcPr>
          <w:p w14:paraId="1893B98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1239B0" w14:paraId="68C44860"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422E1F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551" w:type="dxa"/>
            <w:vAlign w:val="bottom"/>
          </w:tcPr>
          <w:p w14:paraId="1943A36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1.499 €</w:t>
            </w:r>
          </w:p>
        </w:tc>
        <w:tc>
          <w:tcPr>
            <w:tcW w:w="1701" w:type="dxa"/>
            <w:vAlign w:val="bottom"/>
          </w:tcPr>
          <w:p w14:paraId="52E0D57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0,0%</w:t>
            </w:r>
          </w:p>
        </w:tc>
        <w:tc>
          <w:tcPr>
            <w:tcW w:w="2083" w:type="dxa"/>
            <w:vAlign w:val="bottom"/>
          </w:tcPr>
          <w:p w14:paraId="1669829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r>
      <w:tr w:rsidR="001239B0" w14:paraId="018E168B"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D19836F"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551" w:type="dxa"/>
            <w:vAlign w:val="bottom"/>
          </w:tcPr>
          <w:p w14:paraId="66D41D2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1.239 €</w:t>
            </w:r>
          </w:p>
        </w:tc>
        <w:tc>
          <w:tcPr>
            <w:tcW w:w="1701" w:type="dxa"/>
            <w:vAlign w:val="bottom"/>
          </w:tcPr>
          <w:p w14:paraId="726E52B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0,0%</w:t>
            </w:r>
          </w:p>
        </w:tc>
        <w:tc>
          <w:tcPr>
            <w:tcW w:w="2083" w:type="dxa"/>
            <w:vAlign w:val="bottom"/>
          </w:tcPr>
          <w:p w14:paraId="0D689E5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r>
      <w:tr w:rsidR="001239B0" w14:paraId="6A5853FA"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3037DCE"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vAlign w:val="bottom"/>
          </w:tcPr>
          <w:p w14:paraId="77FE213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1.003 €</w:t>
            </w:r>
          </w:p>
        </w:tc>
        <w:tc>
          <w:tcPr>
            <w:tcW w:w="1701" w:type="dxa"/>
            <w:vAlign w:val="bottom"/>
          </w:tcPr>
          <w:p w14:paraId="6B4D87C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-0,3%</w:t>
            </w:r>
          </w:p>
        </w:tc>
        <w:tc>
          <w:tcPr>
            <w:tcW w:w="2083" w:type="dxa"/>
            <w:vAlign w:val="bottom"/>
          </w:tcPr>
          <w:p w14:paraId="185E07A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r>
      <w:tr w:rsidR="001239B0" w14:paraId="0718E3BD"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99A948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551" w:type="dxa"/>
            <w:vAlign w:val="bottom"/>
          </w:tcPr>
          <w:p w14:paraId="1A400E4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2.613 €</w:t>
            </w:r>
          </w:p>
        </w:tc>
        <w:tc>
          <w:tcPr>
            <w:tcW w:w="1701" w:type="dxa"/>
            <w:vAlign w:val="bottom"/>
          </w:tcPr>
          <w:p w14:paraId="2670857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-0,6%</w:t>
            </w:r>
          </w:p>
        </w:tc>
        <w:tc>
          <w:tcPr>
            <w:tcW w:w="2083" w:type="dxa"/>
            <w:vAlign w:val="bottom"/>
          </w:tcPr>
          <w:p w14:paraId="45BD37F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r>
      <w:tr w:rsidR="001239B0" w14:paraId="17289D3B"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0E5777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551" w:type="dxa"/>
            <w:vAlign w:val="bottom"/>
          </w:tcPr>
          <w:p w14:paraId="5E24033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1.277 €</w:t>
            </w:r>
          </w:p>
        </w:tc>
        <w:tc>
          <w:tcPr>
            <w:tcW w:w="1701" w:type="dxa"/>
            <w:vAlign w:val="bottom"/>
          </w:tcPr>
          <w:p w14:paraId="269C34A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-0,8%</w:t>
            </w:r>
          </w:p>
        </w:tc>
        <w:tc>
          <w:tcPr>
            <w:tcW w:w="2083" w:type="dxa"/>
            <w:vAlign w:val="bottom"/>
          </w:tcPr>
          <w:p w14:paraId="519D35D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r>
      <w:tr w:rsidR="001239B0" w14:paraId="20F982A4"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C24A58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551" w:type="dxa"/>
            <w:vAlign w:val="bottom"/>
          </w:tcPr>
          <w:p w14:paraId="74EEA4E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1.088 €</w:t>
            </w:r>
          </w:p>
        </w:tc>
        <w:tc>
          <w:tcPr>
            <w:tcW w:w="1701" w:type="dxa"/>
            <w:vAlign w:val="bottom"/>
          </w:tcPr>
          <w:p w14:paraId="0239E82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-0,8%</w:t>
            </w:r>
          </w:p>
        </w:tc>
        <w:tc>
          <w:tcPr>
            <w:tcW w:w="2083" w:type="dxa"/>
            <w:vAlign w:val="bottom"/>
          </w:tcPr>
          <w:p w14:paraId="028AC6C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1239B0" w14:paraId="732E82F2"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F1581B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51" w:type="dxa"/>
            <w:vAlign w:val="bottom"/>
          </w:tcPr>
          <w:p w14:paraId="171E789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1.656 €</w:t>
            </w:r>
          </w:p>
        </w:tc>
        <w:tc>
          <w:tcPr>
            <w:tcW w:w="1701" w:type="dxa"/>
            <w:vAlign w:val="bottom"/>
          </w:tcPr>
          <w:p w14:paraId="0704FF4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-0,8%</w:t>
            </w:r>
          </w:p>
        </w:tc>
        <w:tc>
          <w:tcPr>
            <w:tcW w:w="2083" w:type="dxa"/>
            <w:vAlign w:val="bottom"/>
          </w:tcPr>
          <w:p w14:paraId="65C289D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1239B0" w14:paraId="6B900120"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A62848F"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551" w:type="dxa"/>
            <w:vAlign w:val="bottom"/>
          </w:tcPr>
          <w:p w14:paraId="10844B8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1.504 €</w:t>
            </w:r>
          </w:p>
        </w:tc>
        <w:tc>
          <w:tcPr>
            <w:tcW w:w="1701" w:type="dxa"/>
            <w:vAlign w:val="bottom"/>
          </w:tcPr>
          <w:p w14:paraId="3E522AE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-1,0%</w:t>
            </w:r>
          </w:p>
        </w:tc>
        <w:tc>
          <w:tcPr>
            <w:tcW w:w="2083" w:type="dxa"/>
            <w:vAlign w:val="bottom"/>
          </w:tcPr>
          <w:p w14:paraId="71447D8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r>
      <w:tr w:rsidR="001239B0" w14:paraId="2FA34EF3"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E88104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vAlign w:val="bottom"/>
          </w:tcPr>
          <w:p w14:paraId="14E4492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969 €</w:t>
            </w:r>
          </w:p>
        </w:tc>
        <w:tc>
          <w:tcPr>
            <w:tcW w:w="1701" w:type="dxa"/>
            <w:vAlign w:val="bottom"/>
          </w:tcPr>
          <w:p w14:paraId="14D8531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-1,2%</w:t>
            </w:r>
          </w:p>
        </w:tc>
        <w:tc>
          <w:tcPr>
            <w:tcW w:w="2083" w:type="dxa"/>
            <w:vAlign w:val="bottom"/>
          </w:tcPr>
          <w:p w14:paraId="49F74F2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r>
      <w:tr w:rsidR="001239B0" w14:paraId="59B5EDED"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7188F5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551" w:type="dxa"/>
            <w:vAlign w:val="bottom"/>
          </w:tcPr>
          <w:p w14:paraId="743F553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1.436 €</w:t>
            </w:r>
          </w:p>
        </w:tc>
        <w:tc>
          <w:tcPr>
            <w:tcW w:w="1701" w:type="dxa"/>
            <w:vAlign w:val="bottom"/>
          </w:tcPr>
          <w:p w14:paraId="3CB4242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-1,6%</w:t>
            </w:r>
          </w:p>
        </w:tc>
        <w:tc>
          <w:tcPr>
            <w:tcW w:w="2083" w:type="dxa"/>
            <w:vAlign w:val="bottom"/>
          </w:tcPr>
          <w:p w14:paraId="65DC911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r>
      <w:tr w:rsidR="001239B0" w14:paraId="13DF2106"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375722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vAlign w:val="bottom"/>
          </w:tcPr>
          <w:p w14:paraId="3BA8AF2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1.789 €</w:t>
            </w:r>
          </w:p>
        </w:tc>
        <w:tc>
          <w:tcPr>
            <w:tcW w:w="1701" w:type="dxa"/>
            <w:vAlign w:val="bottom"/>
          </w:tcPr>
          <w:p w14:paraId="5153A64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-1,8%</w:t>
            </w:r>
          </w:p>
        </w:tc>
        <w:tc>
          <w:tcPr>
            <w:tcW w:w="2083" w:type="dxa"/>
            <w:vAlign w:val="bottom"/>
          </w:tcPr>
          <w:p w14:paraId="1120015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1239B0" w14:paraId="44BB3354"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202972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51" w:type="dxa"/>
            <w:vAlign w:val="bottom"/>
          </w:tcPr>
          <w:p w14:paraId="686E9BC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2.012 €</w:t>
            </w:r>
          </w:p>
        </w:tc>
        <w:tc>
          <w:tcPr>
            <w:tcW w:w="1701" w:type="dxa"/>
            <w:vAlign w:val="bottom"/>
          </w:tcPr>
          <w:p w14:paraId="765BC41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w:t>
            </w:r>
          </w:p>
        </w:tc>
        <w:tc>
          <w:tcPr>
            <w:tcW w:w="2083" w:type="dxa"/>
            <w:vAlign w:val="bottom"/>
          </w:tcPr>
          <w:p w14:paraId="397E7E2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1239B0" w14:paraId="081FE8F6" w14:textId="77777777" w:rsidTr="001239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CACF31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551" w:type="dxa"/>
            <w:vAlign w:val="bottom"/>
          </w:tcPr>
          <w:p w14:paraId="71F6571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1.194 €</w:t>
            </w:r>
          </w:p>
        </w:tc>
        <w:tc>
          <w:tcPr>
            <w:tcW w:w="1701" w:type="dxa"/>
            <w:vAlign w:val="bottom"/>
          </w:tcPr>
          <w:p w14:paraId="12785E8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w:t>
            </w:r>
          </w:p>
        </w:tc>
        <w:tc>
          <w:tcPr>
            <w:tcW w:w="2083" w:type="dxa"/>
            <w:vAlign w:val="bottom"/>
          </w:tcPr>
          <w:p w14:paraId="2ED04CD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1239B0" w14:paraId="0DA99D04" w14:textId="77777777" w:rsidTr="001239B0">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B38E29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551" w:type="dxa"/>
            <w:vAlign w:val="bottom"/>
          </w:tcPr>
          <w:p w14:paraId="6059575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1.195 €</w:t>
            </w:r>
          </w:p>
        </w:tc>
        <w:tc>
          <w:tcPr>
            <w:tcW w:w="1701" w:type="dxa"/>
            <w:vAlign w:val="bottom"/>
          </w:tcPr>
          <w:p w14:paraId="5E780C4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-6,3%</w:t>
            </w:r>
          </w:p>
        </w:tc>
        <w:tc>
          <w:tcPr>
            <w:tcW w:w="2083" w:type="dxa"/>
            <w:vAlign w:val="bottom"/>
          </w:tcPr>
          <w:p w14:paraId="3E7AF22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bl>
    <w:p w14:paraId="3EF94ED0" w14:textId="77777777" w:rsidR="001239B0" w:rsidRDefault="001239B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7D51496A" w14:textId="77777777" w:rsidR="001239B0" w:rsidRDefault="001239B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327A6F21" w14:textId="77777777" w:rsidR="001239B0" w:rsidRDefault="001239B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1E061623" w14:textId="77777777" w:rsidR="001239B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(mar. 2024)</w:t>
      </w:r>
    </w:p>
    <w:tbl>
      <w:tblPr>
        <w:tblStyle w:val="a1"/>
        <w:tblW w:w="9142"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1485"/>
        <w:gridCol w:w="2196"/>
        <w:gridCol w:w="1843"/>
        <w:gridCol w:w="1842"/>
        <w:gridCol w:w="1776"/>
      </w:tblGrid>
      <w:tr w:rsidR="001239B0" w14:paraId="0ED9C5B8" w14:textId="77777777" w:rsidTr="001239B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center"/>
          </w:tcPr>
          <w:p w14:paraId="6A8C0BB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Provincia</w:t>
            </w:r>
          </w:p>
        </w:tc>
        <w:tc>
          <w:tcPr>
            <w:tcW w:w="2196" w:type="dxa"/>
            <w:shd w:val="clear" w:color="auto" w:fill="1DBDC5"/>
            <w:vAlign w:val="center"/>
          </w:tcPr>
          <w:p w14:paraId="19A94A03" w14:textId="77777777" w:rsidR="001239B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shd w:val="clear" w:color="auto" w:fill="1DBDC5"/>
          </w:tcPr>
          <w:p w14:paraId="0E891E39"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2024</w:t>
            </w:r>
          </w:p>
          <w:p w14:paraId="3D592EF9"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1842" w:type="dxa"/>
            <w:shd w:val="clear" w:color="auto" w:fill="1DBDC5"/>
          </w:tcPr>
          <w:p w14:paraId="216BDE20"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trimestral (%)</w:t>
            </w:r>
          </w:p>
        </w:tc>
        <w:tc>
          <w:tcPr>
            <w:tcW w:w="1776" w:type="dxa"/>
            <w:shd w:val="clear" w:color="auto" w:fill="1DBDC5"/>
          </w:tcPr>
          <w:p w14:paraId="42353908"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39B0" w14:paraId="6408EC15"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382E73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96" w:type="dxa"/>
            <w:vAlign w:val="bottom"/>
          </w:tcPr>
          <w:p w14:paraId="5FEC9B0B"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843" w:type="dxa"/>
            <w:vAlign w:val="bottom"/>
          </w:tcPr>
          <w:p w14:paraId="1304D71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3.683 €</w:t>
            </w:r>
          </w:p>
        </w:tc>
        <w:tc>
          <w:tcPr>
            <w:tcW w:w="1842" w:type="dxa"/>
            <w:vAlign w:val="bottom"/>
          </w:tcPr>
          <w:p w14:paraId="3BBBEB3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10,6%</w:t>
            </w:r>
          </w:p>
        </w:tc>
        <w:tc>
          <w:tcPr>
            <w:tcW w:w="1776" w:type="dxa"/>
            <w:vAlign w:val="bottom"/>
          </w:tcPr>
          <w:p w14:paraId="333A70D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24,1%</w:t>
            </w:r>
          </w:p>
        </w:tc>
      </w:tr>
      <w:tr w:rsidR="001239B0" w14:paraId="646A3F76"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555D00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96" w:type="dxa"/>
            <w:vAlign w:val="bottom"/>
          </w:tcPr>
          <w:p w14:paraId="081958D6"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843" w:type="dxa"/>
            <w:vAlign w:val="bottom"/>
          </w:tcPr>
          <w:p w14:paraId="4F71AC2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1.825 €</w:t>
            </w:r>
          </w:p>
        </w:tc>
        <w:tc>
          <w:tcPr>
            <w:tcW w:w="1842" w:type="dxa"/>
            <w:vAlign w:val="bottom"/>
          </w:tcPr>
          <w:p w14:paraId="56E57C8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7,5%</w:t>
            </w:r>
          </w:p>
        </w:tc>
        <w:tc>
          <w:tcPr>
            <w:tcW w:w="1776" w:type="dxa"/>
            <w:vAlign w:val="bottom"/>
          </w:tcPr>
          <w:p w14:paraId="3CE626C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r>
      <w:tr w:rsidR="001239B0" w14:paraId="14A6DCA1"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B11814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96" w:type="dxa"/>
            <w:vAlign w:val="bottom"/>
          </w:tcPr>
          <w:p w14:paraId="4999AB2E"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843" w:type="dxa"/>
            <w:vAlign w:val="bottom"/>
          </w:tcPr>
          <w:p w14:paraId="2748DF8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2.210 €</w:t>
            </w:r>
          </w:p>
        </w:tc>
        <w:tc>
          <w:tcPr>
            <w:tcW w:w="1842" w:type="dxa"/>
            <w:vAlign w:val="bottom"/>
          </w:tcPr>
          <w:p w14:paraId="31B2F88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7,4%</w:t>
            </w:r>
          </w:p>
        </w:tc>
        <w:tc>
          <w:tcPr>
            <w:tcW w:w="1776" w:type="dxa"/>
            <w:vAlign w:val="bottom"/>
          </w:tcPr>
          <w:p w14:paraId="39F55AB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w:t>
            </w:r>
          </w:p>
        </w:tc>
      </w:tr>
      <w:tr w:rsidR="001239B0" w14:paraId="46A668C6"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06AC96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96" w:type="dxa"/>
            <w:vAlign w:val="bottom"/>
          </w:tcPr>
          <w:p w14:paraId="7BBD681B"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843" w:type="dxa"/>
            <w:vAlign w:val="bottom"/>
          </w:tcPr>
          <w:p w14:paraId="2C4FBF0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1.918 €</w:t>
            </w:r>
          </w:p>
        </w:tc>
        <w:tc>
          <w:tcPr>
            <w:tcW w:w="1842" w:type="dxa"/>
            <w:vAlign w:val="bottom"/>
          </w:tcPr>
          <w:p w14:paraId="0A606D0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6,9%</w:t>
            </w:r>
          </w:p>
        </w:tc>
        <w:tc>
          <w:tcPr>
            <w:tcW w:w="1776" w:type="dxa"/>
            <w:vAlign w:val="bottom"/>
          </w:tcPr>
          <w:p w14:paraId="304448B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r>
      <w:tr w:rsidR="001239B0" w14:paraId="639D3319"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90E5B0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96" w:type="dxa"/>
            <w:vAlign w:val="bottom"/>
          </w:tcPr>
          <w:p w14:paraId="36C71959"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843" w:type="dxa"/>
            <w:vAlign w:val="bottom"/>
          </w:tcPr>
          <w:p w14:paraId="0F24444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2.771 €</w:t>
            </w:r>
          </w:p>
        </w:tc>
        <w:tc>
          <w:tcPr>
            <w:tcW w:w="1842" w:type="dxa"/>
            <w:vAlign w:val="bottom"/>
          </w:tcPr>
          <w:p w14:paraId="7D5BFC3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c>
          <w:tcPr>
            <w:tcW w:w="1776" w:type="dxa"/>
            <w:vAlign w:val="bottom"/>
          </w:tcPr>
          <w:p w14:paraId="4CE761B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w:t>
            </w:r>
          </w:p>
        </w:tc>
      </w:tr>
      <w:tr w:rsidR="001239B0" w14:paraId="0E91659D"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0BE431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96" w:type="dxa"/>
            <w:vAlign w:val="bottom"/>
          </w:tcPr>
          <w:p w14:paraId="3E1F95C1"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843" w:type="dxa"/>
            <w:vAlign w:val="bottom"/>
          </w:tcPr>
          <w:p w14:paraId="5CC0D7E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5.146 €</w:t>
            </w:r>
          </w:p>
        </w:tc>
        <w:tc>
          <w:tcPr>
            <w:tcW w:w="1842" w:type="dxa"/>
            <w:vAlign w:val="bottom"/>
          </w:tcPr>
          <w:p w14:paraId="6D272A4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6,6%</w:t>
            </w:r>
          </w:p>
        </w:tc>
        <w:tc>
          <w:tcPr>
            <w:tcW w:w="1776" w:type="dxa"/>
            <w:vAlign w:val="bottom"/>
          </w:tcPr>
          <w:p w14:paraId="128EE26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w:t>
            </w:r>
          </w:p>
        </w:tc>
      </w:tr>
      <w:tr w:rsidR="001239B0" w14:paraId="42EB285A"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AF3EEBB"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96" w:type="dxa"/>
            <w:vAlign w:val="bottom"/>
          </w:tcPr>
          <w:p w14:paraId="7B1A6CB3"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843" w:type="dxa"/>
            <w:vAlign w:val="bottom"/>
          </w:tcPr>
          <w:p w14:paraId="3FC8F71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2.625 €</w:t>
            </w:r>
          </w:p>
        </w:tc>
        <w:tc>
          <w:tcPr>
            <w:tcW w:w="1842" w:type="dxa"/>
            <w:vAlign w:val="bottom"/>
          </w:tcPr>
          <w:p w14:paraId="1BBC85D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6,4%</w:t>
            </w:r>
          </w:p>
        </w:tc>
        <w:tc>
          <w:tcPr>
            <w:tcW w:w="1776" w:type="dxa"/>
            <w:vAlign w:val="bottom"/>
          </w:tcPr>
          <w:p w14:paraId="2A66C04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w:t>
            </w:r>
          </w:p>
        </w:tc>
      </w:tr>
      <w:tr w:rsidR="001239B0" w14:paraId="69048133"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277E64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96" w:type="dxa"/>
            <w:vAlign w:val="bottom"/>
          </w:tcPr>
          <w:p w14:paraId="5CC9121F"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843" w:type="dxa"/>
            <w:vAlign w:val="bottom"/>
          </w:tcPr>
          <w:p w14:paraId="28C9062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2.335 €</w:t>
            </w:r>
          </w:p>
        </w:tc>
        <w:tc>
          <w:tcPr>
            <w:tcW w:w="1842" w:type="dxa"/>
            <w:vAlign w:val="bottom"/>
          </w:tcPr>
          <w:p w14:paraId="42FEE12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w:t>
            </w:r>
          </w:p>
        </w:tc>
        <w:tc>
          <w:tcPr>
            <w:tcW w:w="1776" w:type="dxa"/>
            <w:vAlign w:val="bottom"/>
          </w:tcPr>
          <w:p w14:paraId="4710C28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w:t>
            </w:r>
          </w:p>
        </w:tc>
      </w:tr>
      <w:tr w:rsidR="001239B0" w14:paraId="041D6009"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CDD638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196" w:type="dxa"/>
            <w:vAlign w:val="bottom"/>
          </w:tcPr>
          <w:p w14:paraId="044048BA"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Soria capital</w:t>
            </w:r>
          </w:p>
        </w:tc>
        <w:tc>
          <w:tcPr>
            <w:tcW w:w="1843" w:type="dxa"/>
            <w:vAlign w:val="bottom"/>
          </w:tcPr>
          <w:p w14:paraId="3132C5D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1.827 €</w:t>
            </w:r>
          </w:p>
        </w:tc>
        <w:tc>
          <w:tcPr>
            <w:tcW w:w="1842" w:type="dxa"/>
            <w:vAlign w:val="bottom"/>
          </w:tcPr>
          <w:p w14:paraId="03DC7A6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5,7%</w:t>
            </w:r>
          </w:p>
        </w:tc>
        <w:tc>
          <w:tcPr>
            <w:tcW w:w="1776" w:type="dxa"/>
            <w:vAlign w:val="bottom"/>
          </w:tcPr>
          <w:p w14:paraId="3C50D58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31,5%</w:t>
            </w:r>
          </w:p>
        </w:tc>
      </w:tr>
      <w:tr w:rsidR="001239B0" w14:paraId="03B26E67"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5F9FCA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96" w:type="dxa"/>
            <w:vAlign w:val="bottom"/>
          </w:tcPr>
          <w:p w14:paraId="125D91A5"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843" w:type="dxa"/>
            <w:vAlign w:val="bottom"/>
          </w:tcPr>
          <w:p w14:paraId="2AA922D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2.347 €</w:t>
            </w:r>
          </w:p>
        </w:tc>
        <w:tc>
          <w:tcPr>
            <w:tcW w:w="1842" w:type="dxa"/>
            <w:vAlign w:val="bottom"/>
          </w:tcPr>
          <w:p w14:paraId="35A93E0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5,5%</w:t>
            </w:r>
          </w:p>
        </w:tc>
        <w:tc>
          <w:tcPr>
            <w:tcW w:w="1776" w:type="dxa"/>
            <w:vAlign w:val="bottom"/>
          </w:tcPr>
          <w:p w14:paraId="38BE9DA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r>
      <w:tr w:rsidR="001239B0" w14:paraId="66FAD892"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F42266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96" w:type="dxa"/>
            <w:vAlign w:val="bottom"/>
          </w:tcPr>
          <w:p w14:paraId="57C74395"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843" w:type="dxa"/>
            <w:vAlign w:val="bottom"/>
          </w:tcPr>
          <w:p w14:paraId="12789E2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1.708 €</w:t>
            </w:r>
          </w:p>
        </w:tc>
        <w:tc>
          <w:tcPr>
            <w:tcW w:w="1842" w:type="dxa"/>
            <w:vAlign w:val="bottom"/>
          </w:tcPr>
          <w:p w14:paraId="3857C45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5,3%</w:t>
            </w:r>
          </w:p>
        </w:tc>
        <w:tc>
          <w:tcPr>
            <w:tcW w:w="1776" w:type="dxa"/>
            <w:vAlign w:val="bottom"/>
          </w:tcPr>
          <w:p w14:paraId="1A1306D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1239B0" w14:paraId="7B0EE181"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053512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96" w:type="dxa"/>
            <w:vAlign w:val="bottom"/>
          </w:tcPr>
          <w:p w14:paraId="575CFF29"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843" w:type="dxa"/>
            <w:vAlign w:val="bottom"/>
          </w:tcPr>
          <w:p w14:paraId="25B5B85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1.626 €</w:t>
            </w:r>
          </w:p>
        </w:tc>
        <w:tc>
          <w:tcPr>
            <w:tcW w:w="1842" w:type="dxa"/>
            <w:vAlign w:val="bottom"/>
          </w:tcPr>
          <w:p w14:paraId="476E93E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5,2%</w:t>
            </w:r>
          </w:p>
        </w:tc>
        <w:tc>
          <w:tcPr>
            <w:tcW w:w="1776" w:type="dxa"/>
            <w:vAlign w:val="bottom"/>
          </w:tcPr>
          <w:p w14:paraId="782D407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w:t>
            </w:r>
          </w:p>
        </w:tc>
      </w:tr>
      <w:tr w:rsidR="001239B0" w14:paraId="70A2823A"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4EE0EC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96" w:type="dxa"/>
            <w:vAlign w:val="bottom"/>
          </w:tcPr>
          <w:p w14:paraId="3BB96D9D"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843" w:type="dxa"/>
            <w:vAlign w:val="bottom"/>
          </w:tcPr>
          <w:p w14:paraId="53AEF5E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1.562 €</w:t>
            </w:r>
          </w:p>
        </w:tc>
        <w:tc>
          <w:tcPr>
            <w:tcW w:w="1842" w:type="dxa"/>
            <w:vAlign w:val="bottom"/>
          </w:tcPr>
          <w:p w14:paraId="7A1C7EE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5,1%</w:t>
            </w:r>
          </w:p>
        </w:tc>
        <w:tc>
          <w:tcPr>
            <w:tcW w:w="1776" w:type="dxa"/>
            <w:vAlign w:val="bottom"/>
          </w:tcPr>
          <w:p w14:paraId="323D318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1239B0" w14:paraId="144BB098"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56AD80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96" w:type="dxa"/>
            <w:vAlign w:val="bottom"/>
          </w:tcPr>
          <w:p w14:paraId="0EEDEF7E"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843" w:type="dxa"/>
            <w:vAlign w:val="bottom"/>
          </w:tcPr>
          <w:p w14:paraId="590966A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2.408 €</w:t>
            </w:r>
          </w:p>
        </w:tc>
        <w:tc>
          <w:tcPr>
            <w:tcW w:w="1842" w:type="dxa"/>
            <w:vAlign w:val="bottom"/>
          </w:tcPr>
          <w:p w14:paraId="58B4D3A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4,6%</w:t>
            </w:r>
          </w:p>
        </w:tc>
        <w:tc>
          <w:tcPr>
            <w:tcW w:w="1776" w:type="dxa"/>
            <w:vAlign w:val="bottom"/>
          </w:tcPr>
          <w:p w14:paraId="2C27F76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w:t>
            </w:r>
          </w:p>
        </w:tc>
      </w:tr>
      <w:tr w:rsidR="001239B0" w14:paraId="375475F1"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6C28033"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96" w:type="dxa"/>
            <w:vAlign w:val="bottom"/>
          </w:tcPr>
          <w:p w14:paraId="5EBCFB38"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843" w:type="dxa"/>
            <w:vAlign w:val="bottom"/>
          </w:tcPr>
          <w:p w14:paraId="12FE734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4.644 €</w:t>
            </w:r>
          </w:p>
        </w:tc>
        <w:tc>
          <w:tcPr>
            <w:tcW w:w="1842" w:type="dxa"/>
            <w:vAlign w:val="bottom"/>
          </w:tcPr>
          <w:p w14:paraId="46984B4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4,6%</w:t>
            </w:r>
          </w:p>
        </w:tc>
        <w:tc>
          <w:tcPr>
            <w:tcW w:w="1776" w:type="dxa"/>
            <w:vAlign w:val="bottom"/>
          </w:tcPr>
          <w:p w14:paraId="5B8C7AE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r>
      <w:tr w:rsidR="001239B0" w14:paraId="68FE3F22"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E3D7FF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96" w:type="dxa"/>
            <w:vAlign w:val="bottom"/>
          </w:tcPr>
          <w:p w14:paraId="5862B8F0"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843" w:type="dxa"/>
            <w:vAlign w:val="bottom"/>
          </w:tcPr>
          <w:p w14:paraId="5E5DAE5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2.737 €</w:t>
            </w:r>
          </w:p>
        </w:tc>
        <w:tc>
          <w:tcPr>
            <w:tcW w:w="1842" w:type="dxa"/>
            <w:vAlign w:val="bottom"/>
          </w:tcPr>
          <w:p w14:paraId="4AF65A0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4,0%</w:t>
            </w:r>
          </w:p>
        </w:tc>
        <w:tc>
          <w:tcPr>
            <w:tcW w:w="1776" w:type="dxa"/>
            <w:vAlign w:val="bottom"/>
          </w:tcPr>
          <w:p w14:paraId="67E8CC9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1239B0" w14:paraId="6B050B20"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CC8D99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96" w:type="dxa"/>
            <w:vAlign w:val="bottom"/>
          </w:tcPr>
          <w:p w14:paraId="405122D8"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843" w:type="dxa"/>
            <w:vAlign w:val="bottom"/>
          </w:tcPr>
          <w:p w14:paraId="03B284F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1.675 €</w:t>
            </w:r>
          </w:p>
        </w:tc>
        <w:tc>
          <w:tcPr>
            <w:tcW w:w="1842" w:type="dxa"/>
            <w:vAlign w:val="bottom"/>
          </w:tcPr>
          <w:p w14:paraId="72A4096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3,4%</w:t>
            </w:r>
          </w:p>
        </w:tc>
        <w:tc>
          <w:tcPr>
            <w:tcW w:w="1776" w:type="dxa"/>
            <w:vAlign w:val="bottom"/>
          </w:tcPr>
          <w:p w14:paraId="1A091F5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w:t>
            </w:r>
          </w:p>
        </w:tc>
      </w:tr>
      <w:tr w:rsidR="001239B0" w14:paraId="3855EF85"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B88AA62"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96" w:type="dxa"/>
            <w:vAlign w:val="bottom"/>
          </w:tcPr>
          <w:p w14:paraId="04FD50D7"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843" w:type="dxa"/>
            <w:vAlign w:val="bottom"/>
          </w:tcPr>
          <w:p w14:paraId="0512F66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2.468 €</w:t>
            </w:r>
          </w:p>
        </w:tc>
        <w:tc>
          <w:tcPr>
            <w:tcW w:w="1842" w:type="dxa"/>
            <w:vAlign w:val="bottom"/>
          </w:tcPr>
          <w:p w14:paraId="4383FDB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3,0%</w:t>
            </w:r>
          </w:p>
        </w:tc>
        <w:tc>
          <w:tcPr>
            <w:tcW w:w="1776" w:type="dxa"/>
            <w:vAlign w:val="bottom"/>
          </w:tcPr>
          <w:p w14:paraId="39A98B6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1239B0" w14:paraId="6FAC87A0"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3D299E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96" w:type="dxa"/>
            <w:vAlign w:val="bottom"/>
          </w:tcPr>
          <w:p w14:paraId="51664167"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843" w:type="dxa"/>
            <w:vAlign w:val="bottom"/>
          </w:tcPr>
          <w:p w14:paraId="5AE7DF2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1.429 €</w:t>
            </w:r>
          </w:p>
        </w:tc>
        <w:tc>
          <w:tcPr>
            <w:tcW w:w="1842" w:type="dxa"/>
            <w:vAlign w:val="bottom"/>
          </w:tcPr>
          <w:p w14:paraId="0C682FF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2,9%</w:t>
            </w:r>
          </w:p>
        </w:tc>
        <w:tc>
          <w:tcPr>
            <w:tcW w:w="1776" w:type="dxa"/>
            <w:vAlign w:val="bottom"/>
          </w:tcPr>
          <w:p w14:paraId="1403C51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1239B0" w14:paraId="3BD628BE"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8DBEC8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96" w:type="dxa"/>
            <w:vAlign w:val="bottom"/>
          </w:tcPr>
          <w:p w14:paraId="380DC3FF"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843" w:type="dxa"/>
            <w:vAlign w:val="bottom"/>
          </w:tcPr>
          <w:p w14:paraId="0324D60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1.358 €</w:t>
            </w:r>
          </w:p>
        </w:tc>
        <w:tc>
          <w:tcPr>
            <w:tcW w:w="1842" w:type="dxa"/>
            <w:vAlign w:val="bottom"/>
          </w:tcPr>
          <w:p w14:paraId="3733432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2,9%</w:t>
            </w:r>
          </w:p>
        </w:tc>
        <w:tc>
          <w:tcPr>
            <w:tcW w:w="1776" w:type="dxa"/>
            <w:vAlign w:val="bottom"/>
          </w:tcPr>
          <w:p w14:paraId="44A2FD2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1239B0" w14:paraId="4F271FE5"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1E5D29F"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196" w:type="dxa"/>
            <w:vAlign w:val="bottom"/>
          </w:tcPr>
          <w:p w14:paraId="08CDF030"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843" w:type="dxa"/>
            <w:vAlign w:val="bottom"/>
          </w:tcPr>
          <w:p w14:paraId="5F840D6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1.292 €</w:t>
            </w:r>
          </w:p>
        </w:tc>
        <w:tc>
          <w:tcPr>
            <w:tcW w:w="1842" w:type="dxa"/>
            <w:vAlign w:val="bottom"/>
          </w:tcPr>
          <w:p w14:paraId="6803B39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2,6%</w:t>
            </w:r>
          </w:p>
        </w:tc>
        <w:tc>
          <w:tcPr>
            <w:tcW w:w="1776" w:type="dxa"/>
            <w:vAlign w:val="bottom"/>
          </w:tcPr>
          <w:p w14:paraId="710E5D8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r>
      <w:tr w:rsidR="001239B0" w14:paraId="6BB99B64"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AFF66D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196" w:type="dxa"/>
            <w:vAlign w:val="bottom"/>
          </w:tcPr>
          <w:p w14:paraId="231906FF"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843" w:type="dxa"/>
            <w:vAlign w:val="bottom"/>
          </w:tcPr>
          <w:p w14:paraId="122E23A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1.696 €</w:t>
            </w:r>
          </w:p>
        </w:tc>
        <w:tc>
          <w:tcPr>
            <w:tcW w:w="1842" w:type="dxa"/>
            <w:vAlign w:val="bottom"/>
          </w:tcPr>
          <w:p w14:paraId="0F1A8E4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2,6%</w:t>
            </w:r>
          </w:p>
        </w:tc>
        <w:tc>
          <w:tcPr>
            <w:tcW w:w="1776" w:type="dxa"/>
            <w:vAlign w:val="bottom"/>
          </w:tcPr>
          <w:p w14:paraId="08D197C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w:t>
            </w:r>
          </w:p>
        </w:tc>
      </w:tr>
      <w:tr w:rsidR="001239B0" w14:paraId="19CA2B6C"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A8B3833"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96" w:type="dxa"/>
            <w:vAlign w:val="bottom"/>
          </w:tcPr>
          <w:p w14:paraId="59F7D385"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843" w:type="dxa"/>
            <w:vAlign w:val="bottom"/>
          </w:tcPr>
          <w:p w14:paraId="137A6AB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1.387 €</w:t>
            </w:r>
          </w:p>
        </w:tc>
        <w:tc>
          <w:tcPr>
            <w:tcW w:w="1842" w:type="dxa"/>
            <w:vAlign w:val="bottom"/>
          </w:tcPr>
          <w:p w14:paraId="5A5D8AD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2,6%</w:t>
            </w:r>
          </w:p>
        </w:tc>
        <w:tc>
          <w:tcPr>
            <w:tcW w:w="1776" w:type="dxa"/>
            <w:vAlign w:val="bottom"/>
          </w:tcPr>
          <w:p w14:paraId="51A3F3B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1239B0" w14:paraId="2F428B5D"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BF0839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96" w:type="dxa"/>
            <w:vAlign w:val="bottom"/>
          </w:tcPr>
          <w:p w14:paraId="54F4D18E"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843" w:type="dxa"/>
            <w:vAlign w:val="bottom"/>
          </w:tcPr>
          <w:p w14:paraId="4F181A1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6.263 €</w:t>
            </w:r>
          </w:p>
        </w:tc>
        <w:tc>
          <w:tcPr>
            <w:tcW w:w="1842" w:type="dxa"/>
            <w:vAlign w:val="bottom"/>
          </w:tcPr>
          <w:p w14:paraId="6AAEA91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2,3%</w:t>
            </w:r>
          </w:p>
        </w:tc>
        <w:tc>
          <w:tcPr>
            <w:tcW w:w="1776" w:type="dxa"/>
            <w:vAlign w:val="bottom"/>
          </w:tcPr>
          <w:p w14:paraId="4999E06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r>
      <w:tr w:rsidR="001239B0" w14:paraId="24CDB211"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6E92E4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96" w:type="dxa"/>
            <w:vAlign w:val="bottom"/>
          </w:tcPr>
          <w:p w14:paraId="5AA02151"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843" w:type="dxa"/>
            <w:vAlign w:val="bottom"/>
          </w:tcPr>
          <w:p w14:paraId="4C2B18F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1.435 €</w:t>
            </w:r>
          </w:p>
        </w:tc>
        <w:tc>
          <w:tcPr>
            <w:tcW w:w="1842" w:type="dxa"/>
            <w:vAlign w:val="bottom"/>
          </w:tcPr>
          <w:p w14:paraId="2C6A5F5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2,2%</w:t>
            </w:r>
          </w:p>
        </w:tc>
        <w:tc>
          <w:tcPr>
            <w:tcW w:w="1776" w:type="dxa"/>
            <w:vAlign w:val="bottom"/>
          </w:tcPr>
          <w:p w14:paraId="07D8D77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w:t>
            </w:r>
          </w:p>
        </w:tc>
      </w:tr>
      <w:tr w:rsidR="001239B0" w14:paraId="28155F3C"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234E98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96" w:type="dxa"/>
            <w:vAlign w:val="bottom"/>
          </w:tcPr>
          <w:p w14:paraId="42EEBD99"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843" w:type="dxa"/>
            <w:vAlign w:val="bottom"/>
          </w:tcPr>
          <w:p w14:paraId="5BEC783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1.680 €</w:t>
            </w:r>
          </w:p>
        </w:tc>
        <w:tc>
          <w:tcPr>
            <w:tcW w:w="1842" w:type="dxa"/>
            <w:vAlign w:val="bottom"/>
          </w:tcPr>
          <w:p w14:paraId="19CCBA7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w:t>
            </w:r>
          </w:p>
        </w:tc>
        <w:tc>
          <w:tcPr>
            <w:tcW w:w="1776" w:type="dxa"/>
            <w:vAlign w:val="bottom"/>
          </w:tcPr>
          <w:p w14:paraId="5E1A0A9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1239B0" w14:paraId="6DA7FEEF"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6F3377E"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96" w:type="dxa"/>
            <w:vAlign w:val="bottom"/>
          </w:tcPr>
          <w:p w14:paraId="4BA4CD8A"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843" w:type="dxa"/>
            <w:vAlign w:val="bottom"/>
          </w:tcPr>
          <w:p w14:paraId="0C6E0F2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3.640 €</w:t>
            </w:r>
          </w:p>
        </w:tc>
        <w:tc>
          <w:tcPr>
            <w:tcW w:w="1842" w:type="dxa"/>
            <w:vAlign w:val="bottom"/>
          </w:tcPr>
          <w:p w14:paraId="754769A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1776" w:type="dxa"/>
            <w:vAlign w:val="bottom"/>
          </w:tcPr>
          <w:p w14:paraId="4FAE52B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1239B0" w14:paraId="438CCB29"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0EC097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96" w:type="dxa"/>
            <w:vAlign w:val="bottom"/>
          </w:tcPr>
          <w:p w14:paraId="5A33F0C5"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843" w:type="dxa"/>
            <w:vAlign w:val="bottom"/>
          </w:tcPr>
          <w:p w14:paraId="15A8ADE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1.408 €</w:t>
            </w:r>
          </w:p>
        </w:tc>
        <w:tc>
          <w:tcPr>
            <w:tcW w:w="1842" w:type="dxa"/>
            <w:vAlign w:val="bottom"/>
          </w:tcPr>
          <w:p w14:paraId="032445D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776" w:type="dxa"/>
            <w:vAlign w:val="bottom"/>
          </w:tcPr>
          <w:p w14:paraId="2197470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r>
      <w:tr w:rsidR="001239B0" w14:paraId="0B1E6C3B"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B5AB8CB"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96" w:type="dxa"/>
            <w:vAlign w:val="bottom"/>
          </w:tcPr>
          <w:p w14:paraId="326FEF81"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843" w:type="dxa"/>
            <w:vAlign w:val="bottom"/>
          </w:tcPr>
          <w:p w14:paraId="0B4404B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1.584 €</w:t>
            </w:r>
          </w:p>
        </w:tc>
        <w:tc>
          <w:tcPr>
            <w:tcW w:w="1842" w:type="dxa"/>
            <w:vAlign w:val="bottom"/>
          </w:tcPr>
          <w:p w14:paraId="4B7522E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1776" w:type="dxa"/>
            <w:vAlign w:val="bottom"/>
          </w:tcPr>
          <w:p w14:paraId="67C852D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-5,1%</w:t>
            </w:r>
          </w:p>
        </w:tc>
      </w:tr>
      <w:tr w:rsidR="001239B0" w14:paraId="1769FC96"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92AC56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96" w:type="dxa"/>
            <w:vAlign w:val="bottom"/>
          </w:tcPr>
          <w:p w14:paraId="68E42CE7"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843" w:type="dxa"/>
            <w:vAlign w:val="bottom"/>
          </w:tcPr>
          <w:p w14:paraId="149B790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2.026 €</w:t>
            </w:r>
          </w:p>
        </w:tc>
        <w:tc>
          <w:tcPr>
            <w:tcW w:w="1842" w:type="dxa"/>
            <w:vAlign w:val="bottom"/>
          </w:tcPr>
          <w:p w14:paraId="2B7DE21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1776" w:type="dxa"/>
            <w:vAlign w:val="bottom"/>
          </w:tcPr>
          <w:p w14:paraId="17579E8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1239B0" w14:paraId="55B0F3C1"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80BC1E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96" w:type="dxa"/>
            <w:vAlign w:val="bottom"/>
          </w:tcPr>
          <w:p w14:paraId="561AE30E"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843" w:type="dxa"/>
            <w:vAlign w:val="bottom"/>
          </w:tcPr>
          <w:p w14:paraId="6085810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1.891 €</w:t>
            </w:r>
          </w:p>
        </w:tc>
        <w:tc>
          <w:tcPr>
            <w:tcW w:w="1842" w:type="dxa"/>
            <w:vAlign w:val="bottom"/>
          </w:tcPr>
          <w:p w14:paraId="7CB2D2E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1776" w:type="dxa"/>
            <w:vAlign w:val="bottom"/>
          </w:tcPr>
          <w:p w14:paraId="7353174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1239B0" w14:paraId="1A191429"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08421C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96" w:type="dxa"/>
            <w:vAlign w:val="bottom"/>
          </w:tcPr>
          <w:p w14:paraId="6810DA5C"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843" w:type="dxa"/>
            <w:vAlign w:val="bottom"/>
          </w:tcPr>
          <w:p w14:paraId="6995DA0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2.500 €</w:t>
            </w:r>
          </w:p>
        </w:tc>
        <w:tc>
          <w:tcPr>
            <w:tcW w:w="1842" w:type="dxa"/>
            <w:vAlign w:val="bottom"/>
          </w:tcPr>
          <w:p w14:paraId="34DB403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w:t>
            </w:r>
          </w:p>
        </w:tc>
        <w:tc>
          <w:tcPr>
            <w:tcW w:w="1776" w:type="dxa"/>
            <w:vAlign w:val="bottom"/>
          </w:tcPr>
          <w:p w14:paraId="5A3ABAB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w:t>
            </w:r>
          </w:p>
        </w:tc>
      </w:tr>
      <w:tr w:rsidR="001239B0" w14:paraId="408393D5"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F27260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96" w:type="dxa"/>
            <w:vAlign w:val="bottom"/>
          </w:tcPr>
          <w:p w14:paraId="2BEB0981"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843" w:type="dxa"/>
            <w:vAlign w:val="bottom"/>
          </w:tcPr>
          <w:p w14:paraId="72D8525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4.147 €</w:t>
            </w:r>
          </w:p>
        </w:tc>
        <w:tc>
          <w:tcPr>
            <w:tcW w:w="1842" w:type="dxa"/>
            <w:vAlign w:val="bottom"/>
          </w:tcPr>
          <w:p w14:paraId="6FDC6B9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w:t>
            </w:r>
          </w:p>
        </w:tc>
        <w:tc>
          <w:tcPr>
            <w:tcW w:w="1776" w:type="dxa"/>
            <w:vAlign w:val="bottom"/>
          </w:tcPr>
          <w:p w14:paraId="761937E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1239B0" w14:paraId="53B5F3FE"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2CB1B4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96" w:type="dxa"/>
            <w:vAlign w:val="bottom"/>
          </w:tcPr>
          <w:p w14:paraId="14E28F3F"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843" w:type="dxa"/>
            <w:vAlign w:val="bottom"/>
          </w:tcPr>
          <w:p w14:paraId="529E218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1.906 €</w:t>
            </w:r>
          </w:p>
        </w:tc>
        <w:tc>
          <w:tcPr>
            <w:tcW w:w="1842" w:type="dxa"/>
            <w:vAlign w:val="bottom"/>
          </w:tcPr>
          <w:p w14:paraId="177A0AD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1776" w:type="dxa"/>
            <w:vAlign w:val="bottom"/>
          </w:tcPr>
          <w:p w14:paraId="3FFFCF0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1239B0" w14:paraId="2BB295BE"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65E36D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96" w:type="dxa"/>
            <w:vAlign w:val="bottom"/>
          </w:tcPr>
          <w:p w14:paraId="67696D60"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843" w:type="dxa"/>
            <w:vAlign w:val="bottom"/>
          </w:tcPr>
          <w:p w14:paraId="5295F55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2.700 €</w:t>
            </w:r>
          </w:p>
        </w:tc>
        <w:tc>
          <w:tcPr>
            <w:tcW w:w="1842" w:type="dxa"/>
            <w:vAlign w:val="bottom"/>
          </w:tcPr>
          <w:p w14:paraId="5DF1A89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1776" w:type="dxa"/>
            <w:vAlign w:val="bottom"/>
          </w:tcPr>
          <w:p w14:paraId="1ADD026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1239B0" w14:paraId="39E2D18C"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D276FD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196" w:type="dxa"/>
            <w:vAlign w:val="bottom"/>
          </w:tcPr>
          <w:p w14:paraId="6CF97DF0"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843" w:type="dxa"/>
            <w:vAlign w:val="bottom"/>
          </w:tcPr>
          <w:p w14:paraId="3A61584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1.325 €</w:t>
            </w:r>
          </w:p>
        </w:tc>
        <w:tc>
          <w:tcPr>
            <w:tcW w:w="1842" w:type="dxa"/>
            <w:vAlign w:val="bottom"/>
          </w:tcPr>
          <w:p w14:paraId="43853C0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w:t>
            </w:r>
          </w:p>
        </w:tc>
        <w:tc>
          <w:tcPr>
            <w:tcW w:w="1776" w:type="dxa"/>
            <w:vAlign w:val="bottom"/>
          </w:tcPr>
          <w:p w14:paraId="695D431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r>
      <w:tr w:rsidR="001239B0" w14:paraId="2BD467F6"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D8DB0B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96" w:type="dxa"/>
            <w:vAlign w:val="bottom"/>
          </w:tcPr>
          <w:p w14:paraId="4FC03F0E"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843" w:type="dxa"/>
            <w:vAlign w:val="bottom"/>
          </w:tcPr>
          <w:p w14:paraId="1D3FE43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1.722 €</w:t>
            </w:r>
          </w:p>
        </w:tc>
        <w:tc>
          <w:tcPr>
            <w:tcW w:w="1842" w:type="dxa"/>
            <w:vAlign w:val="bottom"/>
          </w:tcPr>
          <w:p w14:paraId="3723BE1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w:t>
            </w:r>
          </w:p>
        </w:tc>
        <w:tc>
          <w:tcPr>
            <w:tcW w:w="1776" w:type="dxa"/>
            <w:vAlign w:val="bottom"/>
          </w:tcPr>
          <w:p w14:paraId="713F7E1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1239B0" w14:paraId="3CE7BD00"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EA4FFBE"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León</w:t>
            </w:r>
          </w:p>
        </w:tc>
        <w:tc>
          <w:tcPr>
            <w:tcW w:w="2196" w:type="dxa"/>
            <w:vAlign w:val="bottom"/>
          </w:tcPr>
          <w:p w14:paraId="6AF3D86A"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843" w:type="dxa"/>
            <w:vAlign w:val="bottom"/>
          </w:tcPr>
          <w:p w14:paraId="27C243C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1.585 €</w:t>
            </w:r>
          </w:p>
        </w:tc>
        <w:tc>
          <w:tcPr>
            <w:tcW w:w="1842" w:type="dxa"/>
            <w:vAlign w:val="bottom"/>
          </w:tcPr>
          <w:p w14:paraId="62AF317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w:t>
            </w:r>
          </w:p>
        </w:tc>
        <w:tc>
          <w:tcPr>
            <w:tcW w:w="1776" w:type="dxa"/>
            <w:vAlign w:val="bottom"/>
          </w:tcPr>
          <w:p w14:paraId="7608711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1239B0" w14:paraId="763B6EC5"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14A78A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96" w:type="dxa"/>
            <w:vAlign w:val="bottom"/>
          </w:tcPr>
          <w:p w14:paraId="4103555E"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843" w:type="dxa"/>
            <w:vAlign w:val="bottom"/>
          </w:tcPr>
          <w:p w14:paraId="37EEC18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2.926 €</w:t>
            </w:r>
          </w:p>
        </w:tc>
        <w:tc>
          <w:tcPr>
            <w:tcW w:w="1842" w:type="dxa"/>
            <w:vAlign w:val="bottom"/>
          </w:tcPr>
          <w:p w14:paraId="5D84263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w:t>
            </w:r>
          </w:p>
        </w:tc>
        <w:tc>
          <w:tcPr>
            <w:tcW w:w="1776" w:type="dxa"/>
            <w:vAlign w:val="bottom"/>
          </w:tcPr>
          <w:p w14:paraId="31BB370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1239B0" w14:paraId="0331E5A6"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1156A3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196" w:type="dxa"/>
            <w:vAlign w:val="bottom"/>
          </w:tcPr>
          <w:p w14:paraId="0D996494"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843" w:type="dxa"/>
            <w:vAlign w:val="bottom"/>
          </w:tcPr>
          <w:p w14:paraId="50B4410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1.482 €</w:t>
            </w:r>
          </w:p>
        </w:tc>
        <w:tc>
          <w:tcPr>
            <w:tcW w:w="1842" w:type="dxa"/>
            <w:vAlign w:val="bottom"/>
          </w:tcPr>
          <w:p w14:paraId="2E2EA8E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1776" w:type="dxa"/>
            <w:vAlign w:val="bottom"/>
          </w:tcPr>
          <w:p w14:paraId="4F12116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r>
      <w:tr w:rsidR="001239B0" w14:paraId="0E33B8D7"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C43CD4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96" w:type="dxa"/>
            <w:vAlign w:val="bottom"/>
          </w:tcPr>
          <w:p w14:paraId="4025CFB8"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843" w:type="dxa"/>
            <w:vAlign w:val="bottom"/>
          </w:tcPr>
          <w:p w14:paraId="059E8A8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1.429 €</w:t>
            </w:r>
          </w:p>
        </w:tc>
        <w:tc>
          <w:tcPr>
            <w:tcW w:w="1842" w:type="dxa"/>
            <w:vAlign w:val="bottom"/>
          </w:tcPr>
          <w:p w14:paraId="2E3632B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1776" w:type="dxa"/>
            <w:vAlign w:val="bottom"/>
          </w:tcPr>
          <w:p w14:paraId="70447B1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1239B0" w14:paraId="496D1D5A"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146D7A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96" w:type="dxa"/>
            <w:vAlign w:val="bottom"/>
          </w:tcPr>
          <w:p w14:paraId="45CC5A24"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843" w:type="dxa"/>
            <w:vAlign w:val="bottom"/>
          </w:tcPr>
          <w:p w14:paraId="4BAAF8B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1.480 €</w:t>
            </w:r>
          </w:p>
        </w:tc>
        <w:tc>
          <w:tcPr>
            <w:tcW w:w="1842" w:type="dxa"/>
            <w:vAlign w:val="bottom"/>
          </w:tcPr>
          <w:p w14:paraId="79142B9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1776" w:type="dxa"/>
            <w:vAlign w:val="bottom"/>
          </w:tcPr>
          <w:p w14:paraId="15D9390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1239B0" w14:paraId="0CA6A14D"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A0BE9C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96" w:type="dxa"/>
            <w:vAlign w:val="bottom"/>
          </w:tcPr>
          <w:p w14:paraId="36152ABA"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843" w:type="dxa"/>
            <w:vAlign w:val="bottom"/>
          </w:tcPr>
          <w:p w14:paraId="6514DF8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1.963 €</w:t>
            </w:r>
          </w:p>
        </w:tc>
        <w:tc>
          <w:tcPr>
            <w:tcW w:w="1842" w:type="dxa"/>
            <w:vAlign w:val="bottom"/>
          </w:tcPr>
          <w:p w14:paraId="6CD06CE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776" w:type="dxa"/>
            <w:vAlign w:val="bottom"/>
          </w:tcPr>
          <w:p w14:paraId="12EF97F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1239B0" w14:paraId="1EE25E74"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F86B90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96" w:type="dxa"/>
            <w:vAlign w:val="bottom"/>
          </w:tcPr>
          <w:p w14:paraId="1E7501E9"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843" w:type="dxa"/>
            <w:vAlign w:val="bottom"/>
          </w:tcPr>
          <w:p w14:paraId="09D6FC53"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2.784 €</w:t>
            </w:r>
          </w:p>
        </w:tc>
        <w:tc>
          <w:tcPr>
            <w:tcW w:w="1842" w:type="dxa"/>
            <w:vAlign w:val="bottom"/>
          </w:tcPr>
          <w:p w14:paraId="179AA3D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w:t>
            </w:r>
          </w:p>
        </w:tc>
        <w:tc>
          <w:tcPr>
            <w:tcW w:w="1776" w:type="dxa"/>
            <w:vAlign w:val="bottom"/>
          </w:tcPr>
          <w:p w14:paraId="228D397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r>
      <w:tr w:rsidR="001239B0" w14:paraId="5C622CB7"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D4E41E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96" w:type="dxa"/>
            <w:vAlign w:val="bottom"/>
          </w:tcPr>
          <w:p w14:paraId="6E436334"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843" w:type="dxa"/>
            <w:vAlign w:val="bottom"/>
          </w:tcPr>
          <w:p w14:paraId="2A41C0E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1.581 €</w:t>
            </w:r>
          </w:p>
        </w:tc>
        <w:tc>
          <w:tcPr>
            <w:tcW w:w="1842" w:type="dxa"/>
            <w:vAlign w:val="bottom"/>
          </w:tcPr>
          <w:p w14:paraId="3791E68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-0,8%</w:t>
            </w:r>
          </w:p>
        </w:tc>
        <w:tc>
          <w:tcPr>
            <w:tcW w:w="1776" w:type="dxa"/>
            <w:vAlign w:val="bottom"/>
          </w:tcPr>
          <w:p w14:paraId="7345EB5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r>
      <w:tr w:rsidR="001239B0" w14:paraId="3F86BB7E"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D5A46A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96" w:type="dxa"/>
            <w:vAlign w:val="bottom"/>
          </w:tcPr>
          <w:p w14:paraId="4B55CDF6"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843" w:type="dxa"/>
            <w:vAlign w:val="bottom"/>
          </w:tcPr>
          <w:p w14:paraId="35CB26E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1.881 €</w:t>
            </w:r>
          </w:p>
        </w:tc>
        <w:tc>
          <w:tcPr>
            <w:tcW w:w="1842" w:type="dxa"/>
            <w:vAlign w:val="bottom"/>
          </w:tcPr>
          <w:p w14:paraId="4DA0C2F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c>
          <w:tcPr>
            <w:tcW w:w="1776" w:type="dxa"/>
            <w:vAlign w:val="bottom"/>
          </w:tcPr>
          <w:p w14:paraId="2B643D0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1239B0" w14:paraId="3F844B9B"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ED3AB3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96" w:type="dxa"/>
            <w:vAlign w:val="bottom"/>
          </w:tcPr>
          <w:p w14:paraId="095C19AD"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843" w:type="dxa"/>
            <w:vAlign w:val="bottom"/>
          </w:tcPr>
          <w:p w14:paraId="2D51BA4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3.011 €</w:t>
            </w:r>
          </w:p>
        </w:tc>
        <w:tc>
          <w:tcPr>
            <w:tcW w:w="1842" w:type="dxa"/>
            <w:vAlign w:val="bottom"/>
          </w:tcPr>
          <w:p w14:paraId="3363BA4A"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1776" w:type="dxa"/>
            <w:vAlign w:val="bottom"/>
          </w:tcPr>
          <w:p w14:paraId="13EE7ED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1239B0" w14:paraId="5528DD94"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15542D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96" w:type="dxa"/>
            <w:vAlign w:val="bottom"/>
          </w:tcPr>
          <w:p w14:paraId="4EF106AB"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843" w:type="dxa"/>
            <w:vAlign w:val="bottom"/>
          </w:tcPr>
          <w:p w14:paraId="0F99B78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2.041 €</w:t>
            </w:r>
          </w:p>
        </w:tc>
        <w:tc>
          <w:tcPr>
            <w:tcW w:w="1842" w:type="dxa"/>
            <w:vAlign w:val="bottom"/>
          </w:tcPr>
          <w:p w14:paraId="17233F2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w:t>
            </w:r>
          </w:p>
        </w:tc>
        <w:tc>
          <w:tcPr>
            <w:tcW w:w="1776" w:type="dxa"/>
            <w:vAlign w:val="bottom"/>
          </w:tcPr>
          <w:p w14:paraId="3E3A144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1239B0" w14:paraId="20878AAE" w14:textId="77777777" w:rsidTr="001239B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BC9654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96" w:type="dxa"/>
            <w:vAlign w:val="bottom"/>
          </w:tcPr>
          <w:p w14:paraId="183F784A" w14:textId="77777777" w:rsidR="001239B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843" w:type="dxa"/>
            <w:vAlign w:val="bottom"/>
          </w:tcPr>
          <w:p w14:paraId="55F66F6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1.376 €</w:t>
            </w:r>
          </w:p>
        </w:tc>
        <w:tc>
          <w:tcPr>
            <w:tcW w:w="1842" w:type="dxa"/>
            <w:vAlign w:val="bottom"/>
          </w:tcPr>
          <w:p w14:paraId="6A1C5E9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w:t>
            </w:r>
          </w:p>
        </w:tc>
        <w:tc>
          <w:tcPr>
            <w:tcW w:w="1776" w:type="dxa"/>
            <w:vAlign w:val="bottom"/>
          </w:tcPr>
          <w:p w14:paraId="5D65AC1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r>
      <w:tr w:rsidR="001239B0" w14:paraId="4C2BF652" w14:textId="77777777" w:rsidTr="001239B0">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AE0020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196" w:type="dxa"/>
            <w:vAlign w:val="bottom"/>
          </w:tcPr>
          <w:p w14:paraId="4EBA0DE6" w14:textId="77777777" w:rsidR="001239B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843" w:type="dxa"/>
            <w:vAlign w:val="bottom"/>
          </w:tcPr>
          <w:p w14:paraId="52B3FE1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1.511 €</w:t>
            </w:r>
          </w:p>
        </w:tc>
        <w:tc>
          <w:tcPr>
            <w:tcW w:w="1842" w:type="dxa"/>
            <w:vAlign w:val="bottom"/>
          </w:tcPr>
          <w:p w14:paraId="5E282B9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w:t>
            </w:r>
          </w:p>
        </w:tc>
        <w:tc>
          <w:tcPr>
            <w:tcW w:w="1776" w:type="dxa"/>
            <w:vAlign w:val="bottom"/>
          </w:tcPr>
          <w:p w14:paraId="461C711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w:t>
            </w:r>
          </w:p>
        </w:tc>
      </w:tr>
    </w:tbl>
    <w:p w14:paraId="4D9575A4" w14:textId="77777777" w:rsidR="001239B0" w:rsidRDefault="001239B0">
      <w:pPr>
        <w:spacing w:line="276" w:lineRule="auto"/>
        <w:ind w:right="-574"/>
        <w:jc w:val="right"/>
        <w:rPr>
          <w:rFonts w:ascii="Open Sans Light" w:eastAsia="Open Sans Light" w:hAnsi="Open Sans Light" w:cs="Open Sans Light"/>
          <w:b/>
          <w:color w:val="303AB2"/>
        </w:rPr>
      </w:pPr>
    </w:p>
    <w:p w14:paraId="79CEE3D9" w14:textId="77777777" w:rsidR="001239B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Distritos de mayor a menor incremento trimestral (mar. 2024)</w:t>
      </w:r>
    </w:p>
    <w:tbl>
      <w:tblPr>
        <w:tblStyle w:val="a2"/>
        <w:tblW w:w="9051"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694"/>
        <w:gridCol w:w="2409"/>
        <w:gridCol w:w="1985"/>
        <w:gridCol w:w="1963"/>
      </w:tblGrid>
      <w:tr w:rsidR="001239B0" w14:paraId="1089424A" w14:textId="77777777" w:rsidTr="001239B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center"/>
          </w:tcPr>
          <w:p w14:paraId="110802C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Distrito Madrid</w:t>
            </w:r>
          </w:p>
        </w:tc>
        <w:tc>
          <w:tcPr>
            <w:tcW w:w="2409" w:type="dxa"/>
            <w:shd w:val="clear" w:color="auto" w:fill="1DBDC5"/>
          </w:tcPr>
          <w:p w14:paraId="7B5F6B60"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2024</w:t>
            </w:r>
          </w:p>
          <w:p w14:paraId="16A72EF9"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1985" w:type="dxa"/>
            <w:shd w:val="clear" w:color="auto" w:fill="1DBDC5"/>
          </w:tcPr>
          <w:p w14:paraId="26C1CBEB"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trimestral (%)</w:t>
            </w:r>
          </w:p>
        </w:tc>
        <w:tc>
          <w:tcPr>
            <w:tcW w:w="1963" w:type="dxa"/>
            <w:shd w:val="clear" w:color="auto" w:fill="1DBDC5"/>
          </w:tcPr>
          <w:p w14:paraId="73B8B874"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39B0" w14:paraId="740823EC"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CC0C601"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409" w:type="dxa"/>
            <w:vAlign w:val="bottom"/>
          </w:tcPr>
          <w:p w14:paraId="0A790C4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3.253 €</w:t>
            </w:r>
          </w:p>
        </w:tc>
        <w:tc>
          <w:tcPr>
            <w:tcW w:w="1985" w:type="dxa"/>
            <w:vAlign w:val="bottom"/>
          </w:tcPr>
          <w:p w14:paraId="60D7BEB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9,4%</w:t>
            </w:r>
          </w:p>
        </w:tc>
        <w:tc>
          <w:tcPr>
            <w:tcW w:w="1963" w:type="dxa"/>
            <w:vAlign w:val="bottom"/>
          </w:tcPr>
          <w:p w14:paraId="4FBBD5D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19,5%</w:t>
            </w:r>
          </w:p>
        </w:tc>
      </w:tr>
      <w:tr w:rsidR="001239B0" w14:paraId="40F2D219"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7570E1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409" w:type="dxa"/>
            <w:vAlign w:val="bottom"/>
          </w:tcPr>
          <w:p w14:paraId="61C578A0"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7.024 €</w:t>
            </w:r>
          </w:p>
        </w:tc>
        <w:tc>
          <w:tcPr>
            <w:tcW w:w="1985" w:type="dxa"/>
            <w:vAlign w:val="bottom"/>
          </w:tcPr>
          <w:p w14:paraId="6FB1895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8,5%</w:t>
            </w:r>
          </w:p>
        </w:tc>
        <w:tc>
          <w:tcPr>
            <w:tcW w:w="1963" w:type="dxa"/>
            <w:vAlign w:val="bottom"/>
          </w:tcPr>
          <w:p w14:paraId="08EE81B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w:t>
            </w:r>
          </w:p>
        </w:tc>
      </w:tr>
      <w:tr w:rsidR="001239B0" w14:paraId="4F1C9156"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3E72DEA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409" w:type="dxa"/>
            <w:vAlign w:val="bottom"/>
          </w:tcPr>
          <w:p w14:paraId="57D470C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6.101 €</w:t>
            </w:r>
          </w:p>
        </w:tc>
        <w:tc>
          <w:tcPr>
            <w:tcW w:w="1985" w:type="dxa"/>
            <w:vAlign w:val="bottom"/>
          </w:tcPr>
          <w:p w14:paraId="0BF7606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7,6%</w:t>
            </w:r>
          </w:p>
        </w:tc>
        <w:tc>
          <w:tcPr>
            <w:tcW w:w="1963" w:type="dxa"/>
            <w:vAlign w:val="bottom"/>
          </w:tcPr>
          <w:p w14:paraId="2C3A2EA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r>
      <w:tr w:rsidR="001239B0" w14:paraId="6426BAF6"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160073D3"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409" w:type="dxa"/>
            <w:vAlign w:val="bottom"/>
          </w:tcPr>
          <w:p w14:paraId="2A68287D"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2.494 €</w:t>
            </w:r>
          </w:p>
        </w:tc>
        <w:tc>
          <w:tcPr>
            <w:tcW w:w="1985" w:type="dxa"/>
            <w:vAlign w:val="bottom"/>
          </w:tcPr>
          <w:p w14:paraId="78E61E2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6,8%</w:t>
            </w:r>
          </w:p>
        </w:tc>
        <w:tc>
          <w:tcPr>
            <w:tcW w:w="1963" w:type="dxa"/>
            <w:vAlign w:val="bottom"/>
          </w:tcPr>
          <w:p w14:paraId="2F1F705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r>
      <w:tr w:rsidR="001239B0" w14:paraId="3D5FF48C"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3CDF5006"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409" w:type="dxa"/>
            <w:vAlign w:val="bottom"/>
          </w:tcPr>
          <w:p w14:paraId="5E0DDC2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3.730 €</w:t>
            </w:r>
          </w:p>
        </w:tc>
        <w:tc>
          <w:tcPr>
            <w:tcW w:w="1985" w:type="dxa"/>
            <w:vAlign w:val="bottom"/>
          </w:tcPr>
          <w:p w14:paraId="54C3CC8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5,5%</w:t>
            </w:r>
          </w:p>
        </w:tc>
        <w:tc>
          <w:tcPr>
            <w:tcW w:w="1963" w:type="dxa"/>
            <w:vAlign w:val="bottom"/>
          </w:tcPr>
          <w:p w14:paraId="768A941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1239B0" w14:paraId="2106E98F"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25356FB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409" w:type="dxa"/>
            <w:vAlign w:val="bottom"/>
          </w:tcPr>
          <w:p w14:paraId="0E0B4C3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3.839 €</w:t>
            </w:r>
          </w:p>
        </w:tc>
        <w:tc>
          <w:tcPr>
            <w:tcW w:w="1985" w:type="dxa"/>
            <w:vAlign w:val="bottom"/>
          </w:tcPr>
          <w:p w14:paraId="6277D58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5,4%</w:t>
            </w:r>
          </w:p>
        </w:tc>
        <w:tc>
          <w:tcPr>
            <w:tcW w:w="1963" w:type="dxa"/>
            <w:vAlign w:val="bottom"/>
          </w:tcPr>
          <w:p w14:paraId="2A47D6C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w:t>
            </w:r>
          </w:p>
        </w:tc>
      </w:tr>
      <w:tr w:rsidR="001239B0" w14:paraId="5ACDB307"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213AC9F3"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409" w:type="dxa"/>
            <w:vAlign w:val="bottom"/>
          </w:tcPr>
          <w:p w14:paraId="67622F3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5.147 €</w:t>
            </w:r>
          </w:p>
        </w:tc>
        <w:tc>
          <w:tcPr>
            <w:tcW w:w="1985" w:type="dxa"/>
            <w:vAlign w:val="bottom"/>
          </w:tcPr>
          <w:p w14:paraId="3CB9425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5,1%</w:t>
            </w:r>
          </w:p>
        </w:tc>
        <w:tc>
          <w:tcPr>
            <w:tcW w:w="1963" w:type="dxa"/>
            <w:vAlign w:val="bottom"/>
          </w:tcPr>
          <w:p w14:paraId="2A31FD4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r>
      <w:tr w:rsidR="001239B0" w14:paraId="006B7A3F"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2059FC8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409" w:type="dxa"/>
            <w:vAlign w:val="bottom"/>
          </w:tcPr>
          <w:p w14:paraId="3739402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5.246 €</w:t>
            </w:r>
          </w:p>
        </w:tc>
        <w:tc>
          <w:tcPr>
            <w:tcW w:w="1985" w:type="dxa"/>
            <w:vAlign w:val="bottom"/>
          </w:tcPr>
          <w:p w14:paraId="2A5ED6B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4,8%</w:t>
            </w:r>
          </w:p>
        </w:tc>
        <w:tc>
          <w:tcPr>
            <w:tcW w:w="1963" w:type="dxa"/>
            <w:vAlign w:val="bottom"/>
          </w:tcPr>
          <w:p w14:paraId="1360B77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r>
      <w:tr w:rsidR="001239B0" w14:paraId="2136EEB4"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363D7BD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409" w:type="dxa"/>
            <w:vAlign w:val="bottom"/>
          </w:tcPr>
          <w:p w14:paraId="6FC4760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4.410 €</w:t>
            </w:r>
          </w:p>
        </w:tc>
        <w:tc>
          <w:tcPr>
            <w:tcW w:w="1985" w:type="dxa"/>
            <w:vAlign w:val="bottom"/>
          </w:tcPr>
          <w:p w14:paraId="5EF0626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4,4%</w:t>
            </w:r>
          </w:p>
        </w:tc>
        <w:tc>
          <w:tcPr>
            <w:tcW w:w="1963" w:type="dxa"/>
            <w:vAlign w:val="bottom"/>
          </w:tcPr>
          <w:p w14:paraId="46FADE8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r>
      <w:tr w:rsidR="001239B0" w14:paraId="4A47C02E"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5370422F"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409" w:type="dxa"/>
            <w:vAlign w:val="bottom"/>
          </w:tcPr>
          <w:p w14:paraId="14A7FA4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2.827 €</w:t>
            </w:r>
          </w:p>
        </w:tc>
        <w:tc>
          <w:tcPr>
            <w:tcW w:w="1985" w:type="dxa"/>
            <w:vAlign w:val="bottom"/>
          </w:tcPr>
          <w:p w14:paraId="0B38B97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4,1%</w:t>
            </w:r>
          </w:p>
        </w:tc>
        <w:tc>
          <w:tcPr>
            <w:tcW w:w="1963" w:type="dxa"/>
            <w:vAlign w:val="bottom"/>
          </w:tcPr>
          <w:p w14:paraId="1A304EB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1239B0" w14:paraId="2186C98A"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3DA4836C"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409" w:type="dxa"/>
            <w:vAlign w:val="bottom"/>
          </w:tcPr>
          <w:p w14:paraId="6B52907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8.429 €</w:t>
            </w:r>
          </w:p>
        </w:tc>
        <w:tc>
          <w:tcPr>
            <w:tcW w:w="1985" w:type="dxa"/>
            <w:vAlign w:val="bottom"/>
          </w:tcPr>
          <w:p w14:paraId="597DE57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4,0%</w:t>
            </w:r>
          </w:p>
        </w:tc>
        <w:tc>
          <w:tcPr>
            <w:tcW w:w="1963" w:type="dxa"/>
            <w:vAlign w:val="bottom"/>
          </w:tcPr>
          <w:p w14:paraId="4DD939A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w:t>
            </w:r>
          </w:p>
        </w:tc>
      </w:tr>
      <w:tr w:rsidR="001239B0" w14:paraId="425B42BC"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4AEE7A3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409" w:type="dxa"/>
            <w:vAlign w:val="bottom"/>
          </w:tcPr>
          <w:p w14:paraId="39D45E7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4.539 €</w:t>
            </w:r>
          </w:p>
        </w:tc>
        <w:tc>
          <w:tcPr>
            <w:tcW w:w="1985" w:type="dxa"/>
            <w:vAlign w:val="bottom"/>
          </w:tcPr>
          <w:p w14:paraId="2338A8B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3,8%</w:t>
            </w:r>
          </w:p>
        </w:tc>
        <w:tc>
          <w:tcPr>
            <w:tcW w:w="1963" w:type="dxa"/>
            <w:vAlign w:val="bottom"/>
          </w:tcPr>
          <w:p w14:paraId="4FAD31C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6,7%</w:t>
            </w:r>
          </w:p>
        </w:tc>
      </w:tr>
      <w:tr w:rsidR="001239B0" w14:paraId="1E1A5368"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421BFCE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409" w:type="dxa"/>
            <w:vAlign w:val="bottom"/>
          </w:tcPr>
          <w:p w14:paraId="46C275F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2.838 €</w:t>
            </w:r>
          </w:p>
        </w:tc>
        <w:tc>
          <w:tcPr>
            <w:tcW w:w="1985" w:type="dxa"/>
            <w:vAlign w:val="bottom"/>
          </w:tcPr>
          <w:p w14:paraId="2D33B60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3,5%</w:t>
            </w:r>
          </w:p>
        </w:tc>
        <w:tc>
          <w:tcPr>
            <w:tcW w:w="1963" w:type="dxa"/>
            <w:vAlign w:val="bottom"/>
          </w:tcPr>
          <w:p w14:paraId="33DC1B9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6,9%</w:t>
            </w:r>
          </w:p>
        </w:tc>
      </w:tr>
      <w:tr w:rsidR="001239B0" w14:paraId="5341A941"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2FE8C6D"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409" w:type="dxa"/>
            <w:vAlign w:val="bottom"/>
          </w:tcPr>
          <w:p w14:paraId="2A5E350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2.634 €</w:t>
            </w:r>
          </w:p>
        </w:tc>
        <w:tc>
          <w:tcPr>
            <w:tcW w:w="1985" w:type="dxa"/>
            <w:vAlign w:val="bottom"/>
          </w:tcPr>
          <w:p w14:paraId="7B24F1B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3,2%</w:t>
            </w:r>
          </w:p>
        </w:tc>
        <w:tc>
          <w:tcPr>
            <w:tcW w:w="1963" w:type="dxa"/>
            <w:vAlign w:val="bottom"/>
          </w:tcPr>
          <w:p w14:paraId="535A88DF"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4,1%</w:t>
            </w:r>
          </w:p>
        </w:tc>
      </w:tr>
      <w:tr w:rsidR="001239B0" w14:paraId="6F188750"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1906FF1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409" w:type="dxa"/>
            <w:vAlign w:val="bottom"/>
          </w:tcPr>
          <w:p w14:paraId="3C745B4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6.150 €</w:t>
            </w:r>
          </w:p>
        </w:tc>
        <w:tc>
          <w:tcPr>
            <w:tcW w:w="1985" w:type="dxa"/>
            <w:vAlign w:val="bottom"/>
          </w:tcPr>
          <w:p w14:paraId="56DEE22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2,9%</w:t>
            </w:r>
          </w:p>
        </w:tc>
        <w:tc>
          <w:tcPr>
            <w:tcW w:w="1963" w:type="dxa"/>
            <w:vAlign w:val="bottom"/>
          </w:tcPr>
          <w:p w14:paraId="3F95C0F7"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9,9%</w:t>
            </w:r>
          </w:p>
        </w:tc>
      </w:tr>
      <w:tr w:rsidR="001239B0" w14:paraId="7AC1BE28"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1B0C022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409" w:type="dxa"/>
            <w:vAlign w:val="bottom"/>
          </w:tcPr>
          <w:p w14:paraId="36BA350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2.043 €</w:t>
            </w:r>
          </w:p>
        </w:tc>
        <w:tc>
          <w:tcPr>
            <w:tcW w:w="1985" w:type="dxa"/>
            <w:vAlign w:val="bottom"/>
          </w:tcPr>
          <w:p w14:paraId="2092331A"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2,2%</w:t>
            </w:r>
          </w:p>
        </w:tc>
        <w:tc>
          <w:tcPr>
            <w:tcW w:w="1963" w:type="dxa"/>
            <w:vAlign w:val="bottom"/>
          </w:tcPr>
          <w:p w14:paraId="23BF3E3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3,4%</w:t>
            </w:r>
          </w:p>
        </w:tc>
      </w:tr>
      <w:tr w:rsidR="001239B0" w14:paraId="475DBEA8"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5A8F4FF"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409" w:type="dxa"/>
            <w:vAlign w:val="bottom"/>
          </w:tcPr>
          <w:p w14:paraId="6DCBCD3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6.922 €</w:t>
            </w:r>
          </w:p>
        </w:tc>
        <w:tc>
          <w:tcPr>
            <w:tcW w:w="1985" w:type="dxa"/>
            <w:vAlign w:val="bottom"/>
          </w:tcPr>
          <w:p w14:paraId="3E8C136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1,4%</w:t>
            </w:r>
          </w:p>
        </w:tc>
        <w:tc>
          <w:tcPr>
            <w:tcW w:w="1963" w:type="dxa"/>
            <w:vAlign w:val="bottom"/>
          </w:tcPr>
          <w:p w14:paraId="1ED0B28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16,8%</w:t>
            </w:r>
          </w:p>
        </w:tc>
      </w:tr>
      <w:tr w:rsidR="001239B0" w14:paraId="6A49AF4A"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268162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409" w:type="dxa"/>
            <w:vAlign w:val="bottom"/>
          </w:tcPr>
          <w:p w14:paraId="1E2708A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2.450 €</w:t>
            </w:r>
          </w:p>
        </w:tc>
        <w:tc>
          <w:tcPr>
            <w:tcW w:w="1985" w:type="dxa"/>
            <w:vAlign w:val="bottom"/>
          </w:tcPr>
          <w:p w14:paraId="5A83958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w:t>
            </w:r>
          </w:p>
        </w:tc>
        <w:tc>
          <w:tcPr>
            <w:tcW w:w="1963" w:type="dxa"/>
            <w:vAlign w:val="bottom"/>
          </w:tcPr>
          <w:p w14:paraId="050D4CD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w:t>
            </w:r>
          </w:p>
        </w:tc>
      </w:tr>
      <w:tr w:rsidR="001239B0" w14:paraId="23022A2E"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27D6AC43"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409" w:type="dxa"/>
            <w:vAlign w:val="bottom"/>
          </w:tcPr>
          <w:p w14:paraId="719B3BE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3.056 €</w:t>
            </w:r>
          </w:p>
        </w:tc>
        <w:tc>
          <w:tcPr>
            <w:tcW w:w="1985" w:type="dxa"/>
            <w:vAlign w:val="bottom"/>
          </w:tcPr>
          <w:p w14:paraId="6B5654F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0,9%</w:t>
            </w:r>
          </w:p>
        </w:tc>
        <w:tc>
          <w:tcPr>
            <w:tcW w:w="1963" w:type="dxa"/>
            <w:vAlign w:val="bottom"/>
          </w:tcPr>
          <w:p w14:paraId="6A06D40F"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r>
      <w:tr w:rsidR="001239B0" w14:paraId="2AD45E7F"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2518DB50"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409" w:type="dxa"/>
            <w:vAlign w:val="bottom"/>
          </w:tcPr>
          <w:p w14:paraId="45A2532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4.543 €</w:t>
            </w:r>
          </w:p>
        </w:tc>
        <w:tc>
          <w:tcPr>
            <w:tcW w:w="1985" w:type="dxa"/>
            <w:vAlign w:val="bottom"/>
          </w:tcPr>
          <w:p w14:paraId="7F5D80E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0,8%</w:t>
            </w:r>
          </w:p>
        </w:tc>
        <w:tc>
          <w:tcPr>
            <w:tcW w:w="1963" w:type="dxa"/>
            <w:vAlign w:val="bottom"/>
          </w:tcPr>
          <w:p w14:paraId="4127B19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w:t>
            </w:r>
          </w:p>
        </w:tc>
      </w:tr>
      <w:tr w:rsidR="001239B0" w14:paraId="23249C27"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3039FEE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409" w:type="dxa"/>
            <w:vAlign w:val="bottom"/>
          </w:tcPr>
          <w:p w14:paraId="3BF50324"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2.842 €</w:t>
            </w:r>
          </w:p>
        </w:tc>
        <w:tc>
          <w:tcPr>
            <w:tcW w:w="1985" w:type="dxa"/>
            <w:vAlign w:val="bottom"/>
          </w:tcPr>
          <w:p w14:paraId="41865565"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-3,7%</w:t>
            </w:r>
          </w:p>
        </w:tc>
        <w:tc>
          <w:tcPr>
            <w:tcW w:w="1963" w:type="dxa"/>
            <w:vAlign w:val="bottom"/>
          </w:tcPr>
          <w:p w14:paraId="5986CAF2"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r>
    </w:tbl>
    <w:p w14:paraId="4E874FC5" w14:textId="77777777" w:rsidR="001239B0" w:rsidRDefault="001239B0">
      <w:pPr>
        <w:spacing w:line="276" w:lineRule="auto"/>
        <w:ind w:right="-574"/>
        <w:jc w:val="right"/>
        <w:rPr>
          <w:rFonts w:ascii="Open Sans Light" w:eastAsia="Open Sans Light" w:hAnsi="Open Sans Light" w:cs="Open Sans Light"/>
          <w:b/>
          <w:color w:val="303AB2"/>
        </w:rPr>
      </w:pPr>
    </w:p>
    <w:p w14:paraId="6A040B2B" w14:textId="77777777" w:rsidR="00A12CF4" w:rsidRDefault="00A12CF4">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380C1CF9" w14:textId="2F2999F5" w:rsidR="001239B0"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5: Distritos de mayor a menor incremento trimestral (mar. 2024)</w:t>
      </w:r>
    </w:p>
    <w:tbl>
      <w:tblPr>
        <w:tblStyle w:val="a3"/>
        <w:tblW w:w="9051"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694"/>
        <w:gridCol w:w="2409"/>
        <w:gridCol w:w="1985"/>
        <w:gridCol w:w="1963"/>
      </w:tblGrid>
      <w:tr w:rsidR="001239B0" w14:paraId="2E6B2A2F" w14:textId="77777777" w:rsidTr="001239B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center"/>
          </w:tcPr>
          <w:p w14:paraId="43C03F3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Distrito de Barcelona</w:t>
            </w:r>
          </w:p>
        </w:tc>
        <w:tc>
          <w:tcPr>
            <w:tcW w:w="2409" w:type="dxa"/>
            <w:shd w:val="clear" w:color="auto" w:fill="1DBDC5"/>
          </w:tcPr>
          <w:p w14:paraId="41461B1D"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2024</w:t>
            </w:r>
          </w:p>
          <w:p w14:paraId="398B0439"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c>
          <w:tcPr>
            <w:tcW w:w="1985" w:type="dxa"/>
            <w:shd w:val="clear" w:color="auto" w:fill="1DBDC5"/>
          </w:tcPr>
          <w:p w14:paraId="252DCCA2"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trimestral (%)</w:t>
            </w:r>
          </w:p>
        </w:tc>
        <w:tc>
          <w:tcPr>
            <w:tcW w:w="1963" w:type="dxa"/>
            <w:shd w:val="clear" w:color="auto" w:fill="1DBDC5"/>
          </w:tcPr>
          <w:p w14:paraId="69103918" w14:textId="77777777" w:rsidR="001239B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39B0" w14:paraId="1FC9BE1E"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603E0618"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09" w:type="dxa"/>
            <w:vAlign w:val="bottom"/>
          </w:tcPr>
          <w:p w14:paraId="467CA953"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4.305 €</w:t>
            </w:r>
          </w:p>
        </w:tc>
        <w:tc>
          <w:tcPr>
            <w:tcW w:w="1985" w:type="dxa"/>
            <w:vAlign w:val="bottom"/>
          </w:tcPr>
          <w:p w14:paraId="3778B07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5,8%</w:t>
            </w:r>
          </w:p>
        </w:tc>
        <w:tc>
          <w:tcPr>
            <w:tcW w:w="1963" w:type="dxa"/>
            <w:vAlign w:val="bottom"/>
          </w:tcPr>
          <w:p w14:paraId="2C17955C"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6,3%</w:t>
            </w:r>
          </w:p>
        </w:tc>
      </w:tr>
      <w:tr w:rsidR="001239B0" w14:paraId="2F106CC8"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198F5A9E"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09" w:type="dxa"/>
            <w:vAlign w:val="bottom"/>
          </w:tcPr>
          <w:p w14:paraId="2B94317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3.573 €</w:t>
            </w:r>
          </w:p>
        </w:tc>
        <w:tc>
          <w:tcPr>
            <w:tcW w:w="1985" w:type="dxa"/>
            <w:vAlign w:val="bottom"/>
          </w:tcPr>
          <w:p w14:paraId="6F39B84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4,9%</w:t>
            </w:r>
          </w:p>
        </w:tc>
        <w:tc>
          <w:tcPr>
            <w:tcW w:w="1963" w:type="dxa"/>
            <w:vAlign w:val="bottom"/>
          </w:tcPr>
          <w:p w14:paraId="145F822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13,2%</w:t>
            </w:r>
          </w:p>
        </w:tc>
      </w:tr>
      <w:tr w:rsidR="001239B0" w14:paraId="1271E377"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2429F5FF"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09" w:type="dxa"/>
            <w:vAlign w:val="bottom"/>
          </w:tcPr>
          <w:p w14:paraId="78CEFA1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6.152 €</w:t>
            </w:r>
          </w:p>
        </w:tc>
        <w:tc>
          <w:tcPr>
            <w:tcW w:w="1985" w:type="dxa"/>
            <w:vAlign w:val="bottom"/>
          </w:tcPr>
          <w:p w14:paraId="375D6F58"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4,7%</w:t>
            </w:r>
          </w:p>
        </w:tc>
        <w:tc>
          <w:tcPr>
            <w:tcW w:w="1963" w:type="dxa"/>
            <w:vAlign w:val="bottom"/>
          </w:tcPr>
          <w:p w14:paraId="168549EE"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3,2%</w:t>
            </w:r>
          </w:p>
        </w:tc>
      </w:tr>
      <w:tr w:rsidR="001239B0" w14:paraId="3D620169"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363001F4"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409" w:type="dxa"/>
            <w:vAlign w:val="bottom"/>
          </w:tcPr>
          <w:p w14:paraId="6AC7D08B"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2.849 €</w:t>
            </w:r>
          </w:p>
        </w:tc>
        <w:tc>
          <w:tcPr>
            <w:tcW w:w="1985" w:type="dxa"/>
            <w:vAlign w:val="bottom"/>
          </w:tcPr>
          <w:p w14:paraId="0E985BB6"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4,5%</w:t>
            </w:r>
          </w:p>
        </w:tc>
        <w:tc>
          <w:tcPr>
            <w:tcW w:w="1963" w:type="dxa"/>
            <w:vAlign w:val="bottom"/>
          </w:tcPr>
          <w:p w14:paraId="0603084C"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8,0%</w:t>
            </w:r>
          </w:p>
        </w:tc>
      </w:tr>
      <w:tr w:rsidR="001239B0" w14:paraId="63C23E57"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3DCDCA7"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09" w:type="dxa"/>
            <w:vAlign w:val="bottom"/>
          </w:tcPr>
          <w:p w14:paraId="7B09E5C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3.630 €</w:t>
            </w:r>
          </w:p>
        </w:tc>
        <w:tc>
          <w:tcPr>
            <w:tcW w:w="1985" w:type="dxa"/>
            <w:vAlign w:val="bottom"/>
          </w:tcPr>
          <w:p w14:paraId="45C01D5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4,5%</w:t>
            </w:r>
          </w:p>
        </w:tc>
        <w:tc>
          <w:tcPr>
            <w:tcW w:w="1963" w:type="dxa"/>
            <w:vAlign w:val="bottom"/>
          </w:tcPr>
          <w:p w14:paraId="76317E2B"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r>
      <w:tr w:rsidR="001239B0" w14:paraId="059502F2"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2DDE8039"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09" w:type="dxa"/>
            <w:vAlign w:val="bottom"/>
          </w:tcPr>
          <w:p w14:paraId="4BE9E4C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5.950 €</w:t>
            </w:r>
          </w:p>
        </w:tc>
        <w:tc>
          <w:tcPr>
            <w:tcW w:w="1985" w:type="dxa"/>
            <w:vAlign w:val="bottom"/>
          </w:tcPr>
          <w:p w14:paraId="66FA4024"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4,5%</w:t>
            </w:r>
          </w:p>
        </w:tc>
        <w:tc>
          <w:tcPr>
            <w:tcW w:w="1963" w:type="dxa"/>
            <w:vAlign w:val="bottom"/>
          </w:tcPr>
          <w:p w14:paraId="297B9878"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8,4%</w:t>
            </w:r>
          </w:p>
        </w:tc>
      </w:tr>
      <w:tr w:rsidR="001239B0" w14:paraId="36BC51DE"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409EBF1A"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09" w:type="dxa"/>
            <w:vAlign w:val="bottom"/>
          </w:tcPr>
          <w:p w14:paraId="2516235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5.290 €</w:t>
            </w:r>
          </w:p>
        </w:tc>
        <w:tc>
          <w:tcPr>
            <w:tcW w:w="1985" w:type="dxa"/>
            <w:vAlign w:val="bottom"/>
          </w:tcPr>
          <w:p w14:paraId="5D565A61"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3,6%</w:t>
            </w:r>
          </w:p>
        </w:tc>
        <w:tc>
          <w:tcPr>
            <w:tcW w:w="1963" w:type="dxa"/>
            <w:vAlign w:val="bottom"/>
          </w:tcPr>
          <w:p w14:paraId="54D627A9"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-3,6%</w:t>
            </w:r>
          </w:p>
        </w:tc>
      </w:tr>
      <w:tr w:rsidR="001239B0" w14:paraId="05597DA8"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19D7275"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09" w:type="dxa"/>
            <w:vAlign w:val="bottom"/>
          </w:tcPr>
          <w:p w14:paraId="403CF747"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3.719 €</w:t>
            </w:r>
          </w:p>
        </w:tc>
        <w:tc>
          <w:tcPr>
            <w:tcW w:w="1985" w:type="dxa"/>
            <w:vAlign w:val="bottom"/>
          </w:tcPr>
          <w:p w14:paraId="7DE73389"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2,7%</w:t>
            </w:r>
          </w:p>
        </w:tc>
        <w:tc>
          <w:tcPr>
            <w:tcW w:w="1963" w:type="dxa"/>
            <w:vAlign w:val="bottom"/>
          </w:tcPr>
          <w:p w14:paraId="29B0F952"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9,8%</w:t>
            </w:r>
          </w:p>
        </w:tc>
      </w:tr>
      <w:tr w:rsidR="001239B0" w14:paraId="6C0467BC" w14:textId="77777777" w:rsidTr="001239B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553658B7" w14:textId="77777777" w:rsidR="001239B0"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09" w:type="dxa"/>
            <w:vAlign w:val="bottom"/>
          </w:tcPr>
          <w:p w14:paraId="20F657A6"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4.840 €</w:t>
            </w:r>
          </w:p>
        </w:tc>
        <w:tc>
          <w:tcPr>
            <w:tcW w:w="1985" w:type="dxa"/>
            <w:vAlign w:val="bottom"/>
          </w:tcPr>
          <w:p w14:paraId="258D35C0"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2,7%</w:t>
            </w:r>
          </w:p>
        </w:tc>
        <w:tc>
          <w:tcPr>
            <w:tcW w:w="1963" w:type="dxa"/>
            <w:vAlign w:val="bottom"/>
          </w:tcPr>
          <w:p w14:paraId="3553D44D" w14:textId="77777777" w:rsidR="001239B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4,2%</w:t>
            </w:r>
          </w:p>
        </w:tc>
      </w:tr>
      <w:tr w:rsidR="001239B0" w14:paraId="3603C612" w14:textId="77777777" w:rsidTr="001239B0">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000C885E" w14:textId="77777777" w:rsidR="001239B0"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09" w:type="dxa"/>
            <w:vAlign w:val="bottom"/>
          </w:tcPr>
          <w:p w14:paraId="7BD8355E"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5.044 €</w:t>
            </w:r>
          </w:p>
        </w:tc>
        <w:tc>
          <w:tcPr>
            <w:tcW w:w="1985" w:type="dxa"/>
            <w:vAlign w:val="bottom"/>
          </w:tcPr>
          <w:p w14:paraId="30845255"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963" w:type="dxa"/>
            <w:vAlign w:val="bottom"/>
          </w:tcPr>
          <w:p w14:paraId="5F575FD1" w14:textId="77777777" w:rsidR="001239B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4,8%</w:t>
            </w:r>
          </w:p>
        </w:tc>
      </w:tr>
    </w:tbl>
    <w:p w14:paraId="49D25EA8" w14:textId="77777777" w:rsidR="001239B0" w:rsidRDefault="001239B0">
      <w:pPr>
        <w:spacing w:line="276" w:lineRule="auto"/>
        <w:ind w:right="-574"/>
        <w:jc w:val="right"/>
        <w:rPr>
          <w:rFonts w:ascii="Open Sans Light" w:eastAsia="Open Sans Light" w:hAnsi="Open Sans Light" w:cs="Open Sans Light"/>
          <w:b/>
          <w:color w:val="303AB2"/>
        </w:rPr>
      </w:pPr>
    </w:p>
    <w:p w14:paraId="3D437A64" w14:textId="77777777" w:rsidR="00A12CF4" w:rsidRDefault="00A12CF4">
      <w:pPr>
        <w:spacing w:line="276" w:lineRule="auto"/>
        <w:ind w:right="-574"/>
        <w:jc w:val="right"/>
        <w:rPr>
          <w:rFonts w:ascii="Open Sans Light" w:eastAsia="Open Sans Light" w:hAnsi="Open Sans Light" w:cs="Open Sans Light"/>
          <w:b/>
          <w:color w:val="303AB2"/>
        </w:rPr>
      </w:pPr>
      <w:bookmarkStart w:id="1" w:name="_heading=h.30j0zll" w:colFirst="0" w:colLast="0"/>
      <w:bookmarkEnd w:id="1"/>
    </w:p>
    <w:p w14:paraId="26861CC3" w14:textId="382D4F2E" w:rsidR="001239B0"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20A347E" w14:textId="77777777" w:rsidR="001239B0"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2" w:name="_heading=h.2s8eyo1" w:colFirst="0" w:colLast="0"/>
    <w:bookmarkEnd w:id="2"/>
    <w:p w14:paraId="5C8C7C78" w14:textId="77777777" w:rsidR="001239B0"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48FF85E" w14:textId="77777777" w:rsidR="001239B0"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2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237E06C" w14:textId="77777777" w:rsidR="001239B0" w:rsidRDefault="001239B0">
      <w:pPr>
        <w:spacing w:line="276" w:lineRule="auto"/>
        <w:ind w:right="-574"/>
        <w:jc w:val="right"/>
        <w:rPr>
          <w:rFonts w:ascii="Open Sans Light" w:eastAsia="Open Sans Light" w:hAnsi="Open Sans Light" w:cs="Open Sans Light"/>
          <w:b/>
          <w:color w:val="303AB2"/>
        </w:rPr>
      </w:pPr>
    </w:p>
    <w:p w14:paraId="64A98ADD" w14:textId="77777777" w:rsidR="001239B0"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7413566" w14:textId="77777777" w:rsidR="001239B0" w:rsidRDefault="00000000">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BAA6038" w14:textId="77777777" w:rsidR="001239B0"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w:t>
      </w:r>
      <w:r>
        <w:rPr>
          <w:rFonts w:ascii="Open Sans" w:eastAsia="Open Sans" w:hAnsi="Open Sans" w:cs="Open Sans"/>
          <w:color w:val="000000"/>
          <w:sz w:val="22"/>
          <w:szCs w:val="22"/>
        </w:rPr>
        <w:lastRenderedPageBreak/>
        <w:t>otorgando una nueva oportunidad a quienes la están buscando y dando a las cosas una segunda vida.</w:t>
      </w:r>
    </w:p>
    <w:p w14:paraId="523A4033" w14:textId="77777777" w:rsidR="001239B0" w:rsidRDefault="00000000">
      <w:pPr>
        <w:spacing w:before="143" w:after="200"/>
        <w:ind w:right="-57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1FBDC81C" w14:textId="77777777" w:rsidR="001239B0"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0">
        <w:r>
          <w:rPr>
            <w:rFonts w:ascii="Open Sans" w:eastAsia="Open Sans" w:hAnsi="Open Sans" w:cs="Open Sans"/>
            <w:color w:val="1155CC"/>
            <w:sz w:val="22"/>
            <w:szCs w:val="22"/>
            <w:u w:val="single"/>
          </w:rPr>
          <w:t>adevinta.es</w:t>
        </w:r>
      </w:hyperlink>
    </w:p>
    <w:p w14:paraId="4EB29D02" w14:textId="77777777" w:rsidR="001239B0" w:rsidRDefault="001239B0">
      <w:pPr>
        <w:spacing w:after="160"/>
        <w:ind w:right="-574"/>
        <w:jc w:val="both"/>
        <w:rPr>
          <w:rFonts w:ascii="Open Sans" w:eastAsia="Open Sans" w:hAnsi="Open Sans" w:cs="Open Sans"/>
        </w:rPr>
      </w:pPr>
    </w:p>
    <w:p w14:paraId="353E3077" w14:textId="77777777" w:rsidR="001239B0"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DD61DCC" w14:textId="77777777" w:rsidR="001239B0"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A41E96A" w14:textId="77777777" w:rsidR="001239B0" w:rsidRDefault="00000000">
      <w:pPr>
        <w:shd w:val="clear" w:color="auto" w:fill="FFFFFF"/>
        <w:spacing w:line="276" w:lineRule="auto"/>
        <w:ind w:right="-574"/>
        <w:rPr>
          <w:rFonts w:ascii="Open Sans" w:eastAsia="Open Sans" w:hAnsi="Open Sans" w:cs="Open Sans"/>
          <w:color w:val="0000FF"/>
          <w:sz w:val="22"/>
          <w:szCs w:val="22"/>
          <w:u w:val="single"/>
        </w:rPr>
      </w:pPr>
      <w:hyperlink r:id="rId31">
        <w:r>
          <w:rPr>
            <w:rFonts w:ascii="Open Sans" w:eastAsia="Open Sans" w:hAnsi="Open Sans" w:cs="Open Sans"/>
            <w:color w:val="0000FF"/>
            <w:sz w:val="22"/>
            <w:szCs w:val="22"/>
            <w:u w:val="single"/>
          </w:rPr>
          <w:t>comunicacion@fotocasa.es</w:t>
        </w:r>
      </w:hyperlink>
    </w:p>
    <w:p w14:paraId="1DA433DE" w14:textId="77777777" w:rsidR="001239B0"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F669381" w14:textId="77777777" w:rsidR="001239B0" w:rsidRDefault="001239B0">
      <w:pPr>
        <w:spacing w:line="276" w:lineRule="auto"/>
        <w:ind w:right="-574"/>
        <w:rPr>
          <w:rFonts w:ascii="Open Sans Light" w:eastAsia="Open Sans Light" w:hAnsi="Open Sans Light" w:cs="Open Sans Light"/>
          <w:b/>
          <w:color w:val="303AB2"/>
          <w:sz w:val="22"/>
          <w:szCs w:val="22"/>
        </w:rPr>
      </w:pPr>
    </w:p>
    <w:p w14:paraId="5D359D1E" w14:textId="77777777" w:rsidR="001239B0" w:rsidRDefault="001239B0">
      <w:pPr>
        <w:spacing w:line="276" w:lineRule="auto"/>
        <w:ind w:right="-574"/>
        <w:rPr>
          <w:rFonts w:ascii="Open Sans Light" w:eastAsia="Open Sans Light" w:hAnsi="Open Sans Light" w:cs="Open Sans Light"/>
          <w:b/>
          <w:color w:val="303AB2"/>
          <w:sz w:val="22"/>
          <w:szCs w:val="22"/>
        </w:rPr>
      </w:pPr>
    </w:p>
    <w:p w14:paraId="6CD97F42" w14:textId="77777777" w:rsidR="001239B0"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EF3EE60" w14:textId="77777777" w:rsidR="001239B0"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F0CCC31" w14:textId="77777777" w:rsidR="001239B0" w:rsidRPr="000F478B"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32">
        <w:r w:rsidRPr="000F478B">
          <w:rPr>
            <w:rFonts w:ascii="Open Sans" w:eastAsia="Open Sans" w:hAnsi="Open Sans" w:cs="Open Sans"/>
            <w:color w:val="0000FF"/>
            <w:sz w:val="22"/>
            <w:szCs w:val="22"/>
            <w:u w:val="single"/>
            <w:lang w:val="en-US"/>
          </w:rPr>
          <w:t>rtorne@llorenteycuenca.com</w:t>
        </w:r>
      </w:hyperlink>
      <w:r w:rsidRPr="000F478B">
        <w:rPr>
          <w:rFonts w:ascii="Open Sans" w:eastAsia="Open Sans" w:hAnsi="Open Sans" w:cs="Open Sans"/>
          <w:color w:val="0000FF"/>
          <w:sz w:val="22"/>
          <w:szCs w:val="22"/>
          <w:lang w:val="en-US"/>
        </w:rPr>
        <w:tab/>
      </w:r>
      <w:r w:rsidRPr="000F478B">
        <w:rPr>
          <w:rFonts w:ascii="Open Sans" w:eastAsia="Open Sans" w:hAnsi="Open Sans" w:cs="Open Sans"/>
          <w:color w:val="0000FF"/>
          <w:sz w:val="22"/>
          <w:szCs w:val="22"/>
          <w:lang w:val="en-US"/>
        </w:rPr>
        <w:tab/>
      </w:r>
      <w:r w:rsidRPr="000F478B">
        <w:rPr>
          <w:rFonts w:ascii="Open Sans" w:eastAsia="Open Sans" w:hAnsi="Open Sans" w:cs="Open Sans"/>
          <w:color w:val="0000FF"/>
          <w:sz w:val="22"/>
          <w:szCs w:val="22"/>
          <w:lang w:val="en-US"/>
        </w:rPr>
        <w:tab/>
      </w:r>
    </w:p>
    <w:p w14:paraId="49023C42" w14:textId="77777777" w:rsidR="001239B0" w:rsidRPr="000F478B" w:rsidRDefault="00000000">
      <w:pPr>
        <w:shd w:val="clear" w:color="auto" w:fill="FFFFFF"/>
        <w:spacing w:line="276" w:lineRule="auto"/>
        <w:ind w:right="-574"/>
        <w:rPr>
          <w:rFonts w:ascii="Open Sans" w:eastAsia="Open Sans" w:hAnsi="Open Sans" w:cs="Open Sans"/>
          <w:color w:val="000000"/>
          <w:sz w:val="22"/>
          <w:szCs w:val="22"/>
          <w:lang w:val="en-US"/>
        </w:rPr>
      </w:pPr>
      <w:r w:rsidRPr="000F478B">
        <w:rPr>
          <w:rFonts w:ascii="Open Sans" w:eastAsia="Open Sans" w:hAnsi="Open Sans" w:cs="Open Sans"/>
          <w:color w:val="000000"/>
          <w:sz w:val="22"/>
          <w:szCs w:val="22"/>
          <w:lang w:val="en-US"/>
        </w:rPr>
        <w:t xml:space="preserve">638 68 19 85      </w:t>
      </w:r>
      <w:r w:rsidRPr="000F478B">
        <w:rPr>
          <w:rFonts w:ascii="Open Sans" w:eastAsia="Open Sans" w:hAnsi="Open Sans" w:cs="Open Sans"/>
          <w:color w:val="000000"/>
          <w:sz w:val="22"/>
          <w:szCs w:val="22"/>
          <w:lang w:val="en-US"/>
        </w:rPr>
        <w:tab/>
      </w:r>
      <w:r w:rsidRPr="000F478B">
        <w:rPr>
          <w:rFonts w:ascii="Open Sans" w:eastAsia="Open Sans" w:hAnsi="Open Sans" w:cs="Open Sans"/>
          <w:color w:val="000000"/>
          <w:sz w:val="22"/>
          <w:szCs w:val="22"/>
          <w:lang w:val="en-US"/>
        </w:rPr>
        <w:tab/>
      </w:r>
      <w:r w:rsidRPr="000F478B">
        <w:rPr>
          <w:rFonts w:ascii="Open Sans" w:eastAsia="Open Sans" w:hAnsi="Open Sans" w:cs="Open Sans"/>
          <w:color w:val="000000"/>
          <w:sz w:val="22"/>
          <w:szCs w:val="22"/>
          <w:lang w:val="en-US"/>
        </w:rPr>
        <w:tab/>
      </w:r>
      <w:r w:rsidRPr="000F478B">
        <w:rPr>
          <w:rFonts w:ascii="Open Sans" w:eastAsia="Open Sans" w:hAnsi="Open Sans" w:cs="Open Sans"/>
          <w:color w:val="000000"/>
          <w:sz w:val="22"/>
          <w:szCs w:val="22"/>
          <w:lang w:val="en-US"/>
        </w:rPr>
        <w:tab/>
      </w:r>
      <w:r w:rsidRPr="000F478B">
        <w:rPr>
          <w:rFonts w:ascii="Open Sans" w:eastAsia="Open Sans" w:hAnsi="Open Sans" w:cs="Open Sans"/>
          <w:color w:val="000000"/>
          <w:sz w:val="22"/>
          <w:szCs w:val="22"/>
          <w:lang w:val="en-US"/>
        </w:rPr>
        <w:tab/>
      </w:r>
      <w:r w:rsidRPr="000F478B">
        <w:rPr>
          <w:rFonts w:ascii="Open Sans" w:eastAsia="Open Sans" w:hAnsi="Open Sans" w:cs="Open Sans"/>
          <w:color w:val="000000"/>
          <w:sz w:val="22"/>
          <w:szCs w:val="22"/>
          <w:lang w:val="en-US"/>
        </w:rPr>
        <w:tab/>
      </w:r>
      <w:r w:rsidRPr="000F478B">
        <w:rPr>
          <w:rFonts w:ascii="Open Sans" w:eastAsia="Open Sans" w:hAnsi="Open Sans" w:cs="Open Sans"/>
          <w:color w:val="000000"/>
          <w:sz w:val="22"/>
          <w:szCs w:val="22"/>
          <w:lang w:val="en-US"/>
        </w:rPr>
        <w:tab/>
      </w:r>
      <w:r w:rsidRPr="000F478B">
        <w:rPr>
          <w:rFonts w:ascii="Open Sans" w:eastAsia="Open Sans" w:hAnsi="Open Sans" w:cs="Open Sans"/>
          <w:color w:val="000000"/>
          <w:sz w:val="22"/>
          <w:szCs w:val="22"/>
          <w:lang w:val="en-US"/>
        </w:rPr>
        <w:tab/>
      </w:r>
    </w:p>
    <w:p w14:paraId="75CE7C40" w14:textId="77777777" w:rsidR="001239B0" w:rsidRPr="000F478B" w:rsidRDefault="00000000">
      <w:pPr>
        <w:shd w:val="clear" w:color="auto" w:fill="FFFFFF"/>
        <w:ind w:right="-574"/>
        <w:rPr>
          <w:rFonts w:ascii="Arial" w:eastAsia="Arial" w:hAnsi="Arial" w:cs="Arial"/>
          <w:color w:val="222222"/>
          <w:sz w:val="22"/>
          <w:szCs w:val="22"/>
          <w:lang w:val="en-US"/>
        </w:rPr>
      </w:pPr>
      <w:r w:rsidRPr="000F478B">
        <w:rPr>
          <w:rFonts w:ascii="Arial" w:eastAsia="Arial" w:hAnsi="Arial" w:cs="Arial"/>
          <w:color w:val="222222"/>
          <w:sz w:val="22"/>
          <w:szCs w:val="22"/>
          <w:lang w:val="en-US"/>
        </w:rPr>
        <w:tab/>
      </w:r>
    </w:p>
    <w:p w14:paraId="0D81A002" w14:textId="77777777" w:rsidR="001239B0" w:rsidRPr="000F478B" w:rsidRDefault="00000000">
      <w:pPr>
        <w:shd w:val="clear" w:color="auto" w:fill="FFFFFF"/>
        <w:ind w:right="-574"/>
        <w:rPr>
          <w:rFonts w:ascii="Arial" w:eastAsia="Arial" w:hAnsi="Arial" w:cs="Arial"/>
          <w:color w:val="222222"/>
          <w:sz w:val="22"/>
          <w:szCs w:val="22"/>
          <w:lang w:val="en-US"/>
        </w:rPr>
      </w:pPr>
      <w:r w:rsidRPr="000F478B">
        <w:rPr>
          <w:rFonts w:ascii="Arial" w:eastAsia="Arial" w:hAnsi="Arial" w:cs="Arial"/>
          <w:color w:val="222222"/>
          <w:sz w:val="22"/>
          <w:szCs w:val="22"/>
          <w:lang w:val="en-US"/>
        </w:rPr>
        <w:tab/>
      </w:r>
      <w:r w:rsidRPr="000F478B">
        <w:rPr>
          <w:rFonts w:ascii="Arial" w:eastAsia="Arial" w:hAnsi="Arial" w:cs="Arial"/>
          <w:color w:val="222222"/>
          <w:sz w:val="22"/>
          <w:szCs w:val="22"/>
          <w:lang w:val="en-US"/>
        </w:rPr>
        <w:tab/>
      </w:r>
      <w:r w:rsidRPr="000F478B">
        <w:rPr>
          <w:rFonts w:ascii="Arial" w:eastAsia="Arial" w:hAnsi="Arial" w:cs="Arial"/>
          <w:color w:val="222222"/>
          <w:sz w:val="22"/>
          <w:szCs w:val="22"/>
          <w:lang w:val="en-US"/>
        </w:rPr>
        <w:tab/>
      </w:r>
      <w:r w:rsidRPr="000F478B">
        <w:rPr>
          <w:rFonts w:ascii="Arial" w:eastAsia="Arial" w:hAnsi="Arial" w:cs="Arial"/>
          <w:color w:val="222222"/>
          <w:sz w:val="22"/>
          <w:szCs w:val="22"/>
          <w:lang w:val="en-US"/>
        </w:rPr>
        <w:tab/>
      </w:r>
      <w:r w:rsidRPr="000F478B">
        <w:rPr>
          <w:rFonts w:ascii="Arial" w:eastAsia="Arial" w:hAnsi="Arial" w:cs="Arial"/>
          <w:color w:val="222222"/>
          <w:sz w:val="22"/>
          <w:szCs w:val="22"/>
          <w:lang w:val="en-US"/>
        </w:rPr>
        <w:tab/>
      </w:r>
      <w:r w:rsidRPr="000F478B">
        <w:rPr>
          <w:rFonts w:ascii="Arial" w:eastAsia="Arial" w:hAnsi="Arial" w:cs="Arial"/>
          <w:color w:val="222222"/>
          <w:sz w:val="22"/>
          <w:szCs w:val="22"/>
          <w:lang w:val="en-US"/>
        </w:rPr>
        <w:tab/>
        <w:t xml:space="preserve">     </w:t>
      </w:r>
    </w:p>
    <w:p w14:paraId="40E430D6" w14:textId="77777777" w:rsidR="001239B0" w:rsidRPr="000F478B" w:rsidRDefault="00000000">
      <w:pPr>
        <w:shd w:val="clear" w:color="auto" w:fill="FFFFFF"/>
        <w:ind w:right="-574"/>
        <w:rPr>
          <w:rFonts w:ascii="Open Sans" w:eastAsia="Open Sans" w:hAnsi="Open Sans" w:cs="Open Sans"/>
          <w:b/>
          <w:color w:val="000000"/>
          <w:sz w:val="22"/>
          <w:szCs w:val="22"/>
          <w:lang w:val="en-US"/>
        </w:rPr>
      </w:pPr>
      <w:r w:rsidRPr="000F478B">
        <w:rPr>
          <w:rFonts w:ascii="Open Sans" w:eastAsia="Open Sans" w:hAnsi="Open Sans" w:cs="Open Sans"/>
          <w:b/>
          <w:color w:val="000000"/>
          <w:sz w:val="22"/>
          <w:szCs w:val="22"/>
          <w:lang w:val="en-US"/>
        </w:rPr>
        <w:t>Fanny Merino</w:t>
      </w:r>
    </w:p>
    <w:p w14:paraId="0D325FDB" w14:textId="77777777" w:rsidR="001239B0" w:rsidRPr="000F478B" w:rsidRDefault="00000000">
      <w:pPr>
        <w:shd w:val="clear" w:color="auto" w:fill="FFFFFF"/>
        <w:ind w:right="-574"/>
        <w:rPr>
          <w:rFonts w:ascii="Open Sans" w:eastAsia="Open Sans" w:hAnsi="Open Sans" w:cs="Open Sans"/>
          <w:b/>
          <w:color w:val="000000"/>
          <w:sz w:val="22"/>
          <w:szCs w:val="22"/>
          <w:lang w:val="en-US"/>
        </w:rPr>
      </w:pPr>
      <w:hyperlink r:id="rId33">
        <w:r w:rsidRPr="000F478B">
          <w:rPr>
            <w:rFonts w:ascii="Open Sans" w:eastAsia="Open Sans" w:hAnsi="Open Sans" w:cs="Open Sans"/>
            <w:color w:val="0000FF"/>
            <w:sz w:val="22"/>
            <w:szCs w:val="22"/>
            <w:u w:val="single"/>
            <w:lang w:val="en-US"/>
          </w:rPr>
          <w:t>emerino@llorenteycuenca.com</w:t>
        </w:r>
      </w:hyperlink>
      <w:r w:rsidRPr="000F478B">
        <w:rPr>
          <w:rFonts w:ascii="Open Sans" w:eastAsia="Open Sans" w:hAnsi="Open Sans" w:cs="Open Sans"/>
          <w:color w:val="0000FF"/>
          <w:sz w:val="22"/>
          <w:szCs w:val="22"/>
          <w:lang w:val="en-US"/>
        </w:rPr>
        <w:tab/>
      </w:r>
      <w:r w:rsidRPr="000F478B">
        <w:rPr>
          <w:rFonts w:ascii="Open Sans" w:eastAsia="Open Sans" w:hAnsi="Open Sans" w:cs="Open Sans"/>
          <w:color w:val="0000FF"/>
          <w:sz w:val="22"/>
          <w:szCs w:val="22"/>
          <w:lang w:val="en-US"/>
        </w:rPr>
        <w:tab/>
      </w:r>
    </w:p>
    <w:p w14:paraId="60940D6D" w14:textId="77777777" w:rsidR="001239B0" w:rsidRDefault="00000000">
      <w:pPr>
        <w:shd w:val="clear" w:color="auto" w:fill="FFFFFF"/>
        <w:ind w:right="-574"/>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AD409A2" w14:textId="77777777" w:rsidR="001239B0" w:rsidRDefault="001239B0">
      <w:pPr>
        <w:shd w:val="clear" w:color="auto" w:fill="FFFFFF"/>
        <w:ind w:right="-574"/>
        <w:rPr>
          <w:rFonts w:ascii="Open Sans" w:eastAsia="Open Sans" w:hAnsi="Open Sans" w:cs="Open Sans"/>
          <w:color w:val="000000"/>
          <w:sz w:val="22"/>
          <w:szCs w:val="22"/>
        </w:rPr>
      </w:pPr>
    </w:p>
    <w:p w14:paraId="23824912" w14:textId="77777777" w:rsidR="001239B0" w:rsidRDefault="001239B0">
      <w:pPr>
        <w:shd w:val="clear" w:color="auto" w:fill="FFFFFF"/>
        <w:ind w:right="-574"/>
        <w:rPr>
          <w:rFonts w:ascii="Open Sans" w:eastAsia="Open Sans" w:hAnsi="Open Sans" w:cs="Open Sans"/>
          <w:color w:val="000000"/>
          <w:sz w:val="22"/>
          <w:szCs w:val="22"/>
        </w:rPr>
      </w:pPr>
    </w:p>
    <w:p w14:paraId="5839FA60" w14:textId="77777777" w:rsidR="001239B0" w:rsidRDefault="001239B0">
      <w:pPr>
        <w:spacing w:line="276" w:lineRule="auto"/>
        <w:ind w:right="-574"/>
        <w:jc w:val="right"/>
      </w:pPr>
    </w:p>
    <w:sectPr w:rsidR="001239B0">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217E85"/>
    <w:multiLevelType w:val="multilevel"/>
    <w:tmpl w:val="160A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255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B0"/>
    <w:rsid w:val="000F478B"/>
    <w:rsid w:val="001239B0"/>
    <w:rsid w:val="00A12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51F4"/>
  <w15:docId w15:val="{819085AA-3954-4FC5-A18C-F1BEE0C6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0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Estilo1">
    <w:name w:val="Estilo1"/>
    <w:basedOn w:val="Tablanormal"/>
    <w:uiPriority w:val="99"/>
    <w:rsid w:val="00B2313D"/>
    <w:tblPr/>
  </w:style>
  <w:style w:type="table" w:styleId="Tabladelista4-nfasis3">
    <w:name w:val="List Table 4 Accent 3"/>
    <w:basedOn w:val="Tablanormal"/>
    <w:uiPriority w:val="49"/>
    <w:rsid w:val="00B2313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B2313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0F4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3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habitacli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fontTable" Target="fontTable.xml"/><Relationship Id="rId7" Type="http://schemas.openxmlformats.org/officeDocument/2006/relationships/hyperlink" Target="https://youtu.be/UdOX7MOR36c"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fotocasa.es/es/" TargetMode="External"/><Relationship Id="rId33"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otocasa.es"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UdOX7MOR36c" TargetMode="External"/><Relationship Id="rId24" Type="http://schemas.openxmlformats.org/officeDocument/2006/relationships/hyperlink" Target="https://www.fotocasa.es/es/quienes-somos/" TargetMode="External"/><Relationship Id="rId32"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rensa.fotocasa.es" TargetMode="External"/><Relationship Id="rId28" Type="http://schemas.openxmlformats.org/officeDocument/2006/relationships/hyperlink" Target="https://www.coches.net/" TargetMode="External"/><Relationship Id="rId10" Type="http://schemas.openxmlformats.org/officeDocument/2006/relationships/hyperlink" Target="https://www.fotocasa.es/es/" TargetMode="External"/><Relationship Id="rId19" Type="http://schemas.openxmlformats.org/officeDocument/2006/relationships/hyperlink" Target="https://www.fotocasa.es"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https://www.fotocasa.es/indice/" TargetMode="External"/><Relationship Id="rId27" Type="http://schemas.openxmlformats.org/officeDocument/2006/relationships/hyperlink" Target="https://www.infojobs.net/" TargetMode="External"/><Relationship Id="rId30" Type="http://schemas.openxmlformats.org/officeDocument/2006/relationships/hyperlink" Target="http://adevinta.es" TargetMode="External"/><Relationship Id="rId35" Type="http://schemas.openxmlformats.org/officeDocument/2006/relationships/theme" Target="theme/theme1.xml"/><Relationship Id="rId8" Type="http://schemas.openxmlformats.org/officeDocument/2006/relationships/hyperlink" Target="https://www.fotocasa.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3-NOTAS%20DE%20PRENSA\01-VENTA\01-NOTAS%20DE%20PRENSA\2024\03-MARZO\PRENSA%20VENTA%20MAR%20202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338120018153855E-2"/>
          <c:y val="2.4252053467689348E-2"/>
          <c:w val="0.94885678271547336"/>
          <c:h val="0.69545584919407011"/>
        </c:manualLayout>
      </c:layout>
      <c:barChart>
        <c:barDir val="col"/>
        <c:grouping val="clustered"/>
        <c:varyColors val="0"/>
        <c:ser>
          <c:idx val="0"/>
          <c:order val="0"/>
          <c:tx>
            <c:strRef>
              <c:f>comu!$C$26</c:f>
              <c:strCache>
                <c:ptCount val="1"/>
                <c:pt idx="0">
                  <c:v>  Variación trimestral </c:v>
                </c:pt>
              </c:strCache>
            </c:strRef>
          </c:tx>
          <c:spPr>
            <a:solidFill>
              <a:srgbClr val="61C2C7"/>
            </a:solidFill>
            <a:ln>
              <a:noFill/>
            </a:ln>
            <a:effectLst/>
          </c:spPr>
          <c:invertIfNegative val="0"/>
          <c:dLbls>
            <c:dLbl>
              <c:idx val="1"/>
              <c:layout>
                <c:manualLayout>
                  <c:x val="-2.7826092037173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59-4166-9C3A-9D38BDD98FBB}"/>
                </c:ext>
              </c:extLst>
            </c:dLbl>
            <c:dLbl>
              <c:idx val="2"/>
              <c:layout>
                <c:manualLayout>
                  <c:x val="-1.3913046018586514E-2"/>
                  <c:y val="-1.1073115695749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59-4166-9C3A-9D38BDD98FBB}"/>
                </c:ext>
              </c:extLst>
            </c:dLbl>
            <c:numFmt formatCode="#,##0.0&quot;%&quot;" sourceLinked="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0"/>
              </c:ext>
            </c:extLst>
          </c:dLbls>
          <c:cat>
            <c:strRef>
              <c:f>comu!$B$33:$B$37</c:f>
              <c:strCache>
                <c:ptCount val="5"/>
                <c:pt idx="0">
                  <c:v>  T1                      2020</c:v>
                </c:pt>
                <c:pt idx="1">
                  <c:v>  T1                         2021</c:v>
                </c:pt>
                <c:pt idx="2">
                  <c:v>  T1                           2022</c:v>
                </c:pt>
                <c:pt idx="3">
                  <c:v>  T1                           2023</c:v>
                </c:pt>
                <c:pt idx="4">
                  <c:v>  T1                           2024</c:v>
                </c:pt>
              </c:strCache>
            </c:strRef>
          </c:cat>
          <c:val>
            <c:numRef>
              <c:f>comu!$C$33:$C$37</c:f>
              <c:numCache>
                <c:formatCode>#,##0.0"%"</c:formatCode>
                <c:ptCount val="5"/>
                <c:pt idx="0">
                  <c:v>-7.6531143415359271E-2</c:v>
                </c:pt>
                <c:pt idx="1">
                  <c:v>1.1301181826420148</c:v>
                </c:pt>
                <c:pt idx="2">
                  <c:v>0.3140663996141102</c:v>
                </c:pt>
                <c:pt idx="3">
                  <c:v>2.5165543538681945</c:v>
                </c:pt>
                <c:pt idx="4">
                  <c:v>2.5359720393990148</c:v>
                </c:pt>
              </c:numCache>
            </c:numRef>
          </c:val>
          <c:extLst>
            <c:ext xmlns:c16="http://schemas.microsoft.com/office/drawing/2014/chart" uri="{C3380CC4-5D6E-409C-BE32-E72D297353CC}">
              <c16:uniqueId val="{00000002-9459-4166-9C3A-9D38BDD98FBB}"/>
            </c:ext>
          </c:extLst>
        </c:ser>
        <c:ser>
          <c:idx val="1"/>
          <c:order val="1"/>
          <c:tx>
            <c:strRef>
              <c:f>comu!$D$26</c:f>
              <c:strCache>
                <c:ptCount val="1"/>
                <c:pt idx="0">
                  <c:v>  Variación interanual </c:v>
                </c:pt>
              </c:strCache>
            </c:strRef>
          </c:tx>
          <c:spPr>
            <a:solidFill>
              <a:sysClr val="window" lastClr="FFFFFF">
                <a:lumMod val="85000"/>
              </a:sysClr>
            </a:solidFill>
            <a:ln>
              <a:noFill/>
            </a:ln>
            <a:effectLst/>
          </c:spPr>
          <c:invertIfNegative val="0"/>
          <c:dLbls>
            <c:dLbl>
              <c:idx val="0"/>
              <c:layout>
                <c:manualLayout>
                  <c:x val="0"/>
                  <c:y val="1.030396702730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59-4166-9C3A-9D38BDD98FBB}"/>
                </c:ext>
              </c:extLst>
            </c:dLbl>
            <c:dLbl>
              <c:idx val="3"/>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59-4166-9C3A-9D38BDD98FBB}"/>
                </c:ext>
              </c:extLst>
            </c:dLbl>
            <c:dLbl>
              <c:idx val="5"/>
              <c:layout>
                <c:manualLayout>
                  <c:x val="6.79117147707979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59-4166-9C3A-9D38BDD98FBB}"/>
                </c:ext>
              </c:extLst>
            </c:dLbl>
            <c:dLbl>
              <c:idx val="8"/>
              <c:layout>
                <c:manualLayout>
                  <c:x val="-2.3188410030977524E-3"/>
                  <c:y val="-3.3219347087247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59-4166-9C3A-9D38BDD98FBB}"/>
                </c:ext>
              </c:extLst>
            </c:dLbl>
            <c:numFmt formatCode="#,##0.0&quot;%&quot;"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comu!$B$33:$B$37</c:f>
              <c:strCache>
                <c:ptCount val="5"/>
                <c:pt idx="0">
                  <c:v>  T1                      2020</c:v>
                </c:pt>
                <c:pt idx="1">
                  <c:v>  T1                         2021</c:v>
                </c:pt>
                <c:pt idx="2">
                  <c:v>  T1                           2022</c:v>
                </c:pt>
                <c:pt idx="3">
                  <c:v>  T1                           2023</c:v>
                </c:pt>
                <c:pt idx="4">
                  <c:v>  T1                           2024</c:v>
                </c:pt>
              </c:strCache>
            </c:strRef>
          </c:cat>
          <c:val>
            <c:numRef>
              <c:f>comu!$D$33:$D$37</c:f>
              <c:numCache>
                <c:formatCode>#,##0.0"%"</c:formatCode>
                <c:ptCount val="5"/>
                <c:pt idx="0">
                  <c:v>-2.9460909838051164</c:v>
                </c:pt>
                <c:pt idx="1">
                  <c:v>2.866345478918797</c:v>
                </c:pt>
                <c:pt idx="2">
                  <c:v>0.84971351160449959</c:v>
                </c:pt>
                <c:pt idx="3">
                  <c:v>9.8890358190076419</c:v>
                </c:pt>
                <c:pt idx="4">
                  <c:v>7.4456700104165163</c:v>
                </c:pt>
              </c:numCache>
            </c:numRef>
          </c:val>
          <c:extLst>
            <c:ext xmlns:c16="http://schemas.microsoft.com/office/drawing/2014/chart" uri="{C3380CC4-5D6E-409C-BE32-E72D297353CC}">
              <c16:uniqueId val="{00000006-9459-4166-9C3A-9D38BDD98FBB}"/>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cross"/>
        <c:minorTickMark val="none"/>
        <c:tickLblPos val="low"/>
        <c:spPr>
          <a:noFill/>
          <a:ln w="15875" cap="flat" cmpd="sng" algn="ctr">
            <a:solidFill>
              <a:sysClr val="windowText" lastClr="000000"/>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solidFill>
                <a:latin typeface="Open Sans"/>
                <a:ea typeface="+mn-ea"/>
                <a:cs typeface="+mn-cs"/>
              </a:defRPr>
            </a:pPr>
            <a:endParaRPr lang="es-ES"/>
          </a:p>
        </c:txPr>
      </c:legendEntry>
      <c:layout>
        <c:manualLayout>
          <c:xMode val="edge"/>
          <c:yMode val="edge"/>
          <c:x val="6.2923608387787558E-2"/>
          <c:y val="0.87821885199739558"/>
          <c:w val="0.85926224347185198"/>
          <c:h val="0.112873902056266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FK16C5FdU2CMnFyMbn5JSKb9qQ==">CgMxLjAyCGguZ2pkZ3hzMgloLjMwajB6bGwyCWguMnM4ZXlvMTgAciExVFlwcWsxWnBweDhGdjh1WU96V1Y0SGJjYzhLY0I1Sms=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2589</Words>
  <Characters>14242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cp:revision>
  <dcterms:created xsi:type="dcterms:W3CDTF">2020-06-21T17:03:00Z</dcterms:created>
  <dcterms:modified xsi:type="dcterms:W3CDTF">2024-04-01T19:44:00Z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2024-03-22T12:07:46Z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be182ae1-ffae-4f79-893e-c99660dc2a4e</vt:lpwstr>
  </property>
  <property fmtid="{D5CDD505-2E9C-101B-9397-08002B2CF9AE}" pid="8" name="MSIP_Label_defa4170-0d19-0005-0004-bc88714345d2_ContentBits">
    <vt:lpwstr>0</vt:lpwstr>
  </property>
</Properties>
</file>