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C0FDC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AE3A55" wp14:editId="36009490">
            <wp:simplePos x="0" y="0"/>
            <wp:positionH relativeFrom="column">
              <wp:posOffset>-1078858</wp:posOffset>
            </wp:positionH>
            <wp:positionV relativeFrom="paragraph">
              <wp:posOffset>-350446</wp:posOffset>
            </wp:positionV>
            <wp:extent cx="7581265" cy="1019175"/>
            <wp:effectExtent l="0" t="0" r="0" b="0"/>
            <wp:wrapNone/>
            <wp:docPr id="142442565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5C0FDC" w:rsidRDefault="005C0FDC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3" w14:textId="77777777" w:rsidR="005C0FDC" w:rsidRDefault="005C0FDC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0000004" w14:textId="77777777" w:rsidR="005C0FDC" w:rsidRDefault="005C0FDC">
      <w:pPr>
        <w:rPr>
          <w:rFonts w:ascii="National" w:eastAsia="National" w:hAnsi="National" w:cs="National"/>
          <w:color w:val="303AB2"/>
          <w:sz w:val="18"/>
          <w:szCs w:val="18"/>
        </w:rPr>
      </w:pPr>
    </w:p>
    <w:p w14:paraId="00000005" w14:textId="752FE062" w:rsidR="005C0FDC" w:rsidRDefault="00000000">
      <w:pPr>
        <w:spacing w:line="276" w:lineRule="auto"/>
        <w:jc w:val="center"/>
        <w:rPr>
          <w:rFonts w:ascii="National" w:eastAsia="National" w:hAnsi="National" w:cs="National"/>
          <w:b/>
          <w:color w:val="1DBDC5"/>
          <w:sz w:val="38"/>
          <w:szCs w:val="38"/>
        </w:rPr>
      </w:pPr>
      <w:r>
        <w:rPr>
          <w:rFonts w:ascii="National" w:eastAsia="National" w:hAnsi="National" w:cs="National"/>
          <w:b/>
          <w:color w:val="1DBDC5"/>
          <w:sz w:val="38"/>
          <w:szCs w:val="38"/>
        </w:rPr>
        <w:t xml:space="preserve">IMPACTO SUBIDA DE TIPOS EN </w:t>
      </w:r>
      <w:r w:rsidR="00C673C4">
        <w:rPr>
          <w:rFonts w:ascii="National" w:eastAsia="National" w:hAnsi="National" w:cs="National"/>
          <w:b/>
          <w:color w:val="1DBDC5"/>
          <w:sz w:val="38"/>
          <w:szCs w:val="38"/>
        </w:rPr>
        <w:t xml:space="preserve">LOS </w:t>
      </w:r>
      <w:r>
        <w:rPr>
          <w:rFonts w:ascii="National" w:eastAsia="National" w:hAnsi="National" w:cs="National"/>
          <w:b/>
          <w:color w:val="1DBDC5"/>
          <w:sz w:val="38"/>
          <w:szCs w:val="38"/>
        </w:rPr>
        <w:t>HIPOTECADOS</w:t>
      </w:r>
    </w:p>
    <w:p w14:paraId="00000006" w14:textId="77777777" w:rsidR="005C0FDC" w:rsidRDefault="00000000">
      <w:pPr>
        <w:jc w:val="center"/>
        <w:rPr>
          <w:rFonts w:ascii="National" w:eastAsia="National" w:hAnsi="National" w:cs="National"/>
          <w:b/>
          <w:color w:val="303AB2"/>
          <w:sz w:val="14"/>
          <w:szCs w:val="14"/>
        </w:rPr>
      </w:pPr>
      <w:r>
        <w:rPr>
          <w:rFonts w:ascii="National" w:eastAsia="National" w:hAnsi="National" w:cs="National"/>
          <w:b/>
          <w:color w:val="303AB2"/>
          <w:sz w:val="54"/>
          <w:szCs w:val="54"/>
        </w:rPr>
        <w:t>Un 13% de hipotecados a tipo variable ha intentado cambiar de hipoteca y no ha podido</w:t>
      </w:r>
    </w:p>
    <w:p w14:paraId="00000007" w14:textId="77777777" w:rsidR="005C0FDC" w:rsidRDefault="005C0FDC">
      <w:pPr>
        <w:spacing w:line="276" w:lineRule="auto"/>
        <w:ind w:right="4"/>
        <w:jc w:val="both"/>
        <w:rPr>
          <w:rFonts w:ascii="Open Sans" w:eastAsia="Open Sans" w:hAnsi="Open Sans" w:cs="Open Sans"/>
          <w:color w:val="303AB2"/>
        </w:rPr>
      </w:pPr>
    </w:p>
    <w:p w14:paraId="00000008" w14:textId="77777777" w:rsidR="005C0FDC" w:rsidRDefault="00000000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303AB2"/>
        </w:rPr>
        <w:t>El 11% de los hipotecados a tipo fijo se han cambiado desde la variable o la mixta que tenían contratada antes</w:t>
      </w:r>
    </w:p>
    <w:p w14:paraId="00000009" w14:textId="77777777" w:rsidR="005C0FDC" w:rsidRDefault="00000000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303AB2"/>
        </w:rPr>
        <w:t xml:space="preserve">El porcentaje de población con hipoteca de tipo fijo sube del 12% al 13%, mientras que en tipo variable baja del 18 % al 17 %  </w:t>
      </w:r>
    </w:p>
    <w:p w14:paraId="0000000A" w14:textId="77777777" w:rsidR="005C0FDC" w:rsidRDefault="00000000">
      <w:pPr>
        <w:numPr>
          <w:ilvl w:val="0"/>
          <w:numId w:val="1"/>
        </w:numPr>
        <w:spacing w:line="276" w:lineRule="auto"/>
        <w:ind w:right="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44% de quienes cambiaron de hipoteca realizaron novaciones y el 31% subrogaciones bancarias</w:t>
      </w:r>
    </w:p>
    <w:p w14:paraId="0000000B" w14:textId="77777777" w:rsidR="005C0FDC" w:rsidRDefault="005C0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000000C" w14:textId="77777777" w:rsidR="005C0F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Open Sans" w:eastAsia="Open Sans" w:hAnsi="Open Sans" w:cs="Open Sans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Madrid, 04 de abril de 2024</w:t>
      </w:r>
    </w:p>
    <w:p w14:paraId="0000000D" w14:textId="77777777" w:rsidR="005C0FDC" w:rsidRDefault="005C0FDC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0000000E" w14:textId="14B09387" w:rsidR="005C0FDC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La respuesta a la subida de los tipos de interés y del Euríbor de los hipotecados es buscar más estabilidad mediante la novación. Esta es una de las principales conclusiones que se obtienen de</w:t>
      </w:r>
      <w:r w:rsidR="007A6DC2">
        <w:rPr>
          <w:rFonts w:ascii="Open Sans" w:eastAsia="Open Sans" w:hAnsi="Open Sans" w:cs="Open Sans"/>
        </w:rPr>
        <w:t xml:space="preserve"> la última encuesta realizada por </w:t>
      </w:r>
      <w:r w:rsidR="007A6DC2" w:rsidRPr="007A6DC2">
        <w:rPr>
          <w:rFonts w:ascii="Open Sans" w:eastAsia="Open Sans" w:hAnsi="Open Sans" w:cs="Open Sans"/>
          <w:b/>
          <w:bCs/>
        </w:rPr>
        <w:t xml:space="preserve">Fotocasa </w:t>
      </w:r>
      <w:proofErr w:type="spellStart"/>
      <w:r w:rsidR="007A6DC2" w:rsidRPr="007A6DC2">
        <w:rPr>
          <w:rFonts w:ascii="Open Sans" w:eastAsia="Open Sans" w:hAnsi="Open Sans" w:cs="Open Sans"/>
          <w:b/>
          <w:bCs/>
        </w:rPr>
        <w:t>Research</w:t>
      </w:r>
      <w:proofErr w:type="spellEnd"/>
      <w:r w:rsidR="007A6DC2"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</w:rPr>
        <w:t xml:space="preserve"> basada en más de 8.200 entrevistas, realizada el pasado febrero de 2024.</w:t>
      </w:r>
    </w:p>
    <w:p w14:paraId="0000000F" w14:textId="77777777" w:rsidR="005C0FDC" w:rsidRDefault="005C0FDC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00000010" w14:textId="77777777" w:rsidR="005C0FDC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Así, entre quienes tienen una hipoteca fija, </w:t>
      </w:r>
      <w:r>
        <w:rPr>
          <w:rFonts w:ascii="Open Sans" w:eastAsia="Open Sans" w:hAnsi="Open Sans" w:cs="Open Sans"/>
          <w:b/>
        </w:rPr>
        <w:t>un 9% se ha cambiado desde la hipoteca variable que tenía antes y otro 2% proviene de un crédito mixto</w:t>
      </w:r>
      <w:r>
        <w:rPr>
          <w:rFonts w:ascii="Open Sans" w:eastAsia="Open Sans" w:hAnsi="Open Sans" w:cs="Open Sans"/>
        </w:rPr>
        <w:t>. Más protagonismo tienen estos migrantes hipotecarios en la modalidad mixta: el 15 % de quienes tienen hipoteca mixta se han cambiado en el último año desde una variable. Otro 8 % se cambió desde la hipoteca fija. Todo ello confirma que los particulares siguen moviéndose en el mercado crediticio para minimizar los riesgos económicos derivados de la subida del euríbor.</w:t>
      </w:r>
    </w:p>
    <w:p w14:paraId="7902643C" w14:textId="77777777" w:rsidR="001F25A8" w:rsidRDefault="001F25A8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1841BE06" w14:textId="77777777" w:rsidR="001F25A8" w:rsidRDefault="001F25A8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4BB935CE" w14:textId="77777777" w:rsidR="001F25A8" w:rsidRDefault="001F25A8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337F6C89" w14:textId="77777777" w:rsidR="001F25A8" w:rsidRDefault="001F25A8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</w:p>
    <w:p w14:paraId="00000012" w14:textId="08E6D1DD" w:rsidR="005C0FDC" w:rsidRPr="001F25A8" w:rsidRDefault="001F25A8" w:rsidP="001F25A8">
      <w:pPr>
        <w:pStyle w:val="NormalWeb"/>
      </w:pPr>
      <w:r>
        <w:rPr>
          <w:noProof/>
        </w:rPr>
        <w:lastRenderedPageBreak/>
        <w:drawing>
          <wp:inline distT="0" distB="0" distL="0" distR="0" wp14:anchorId="5EF16C4F" wp14:editId="292F63B4">
            <wp:extent cx="5731069" cy="3436620"/>
            <wp:effectExtent l="0" t="0" r="3175" b="0"/>
            <wp:docPr id="1229557750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57750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59" cy="343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0058" w14:textId="01C4AFDD" w:rsidR="00C673C4" w:rsidRPr="00C673C4" w:rsidRDefault="00C673C4" w:rsidP="00C673C4">
      <w:pPr>
        <w:spacing w:line="276" w:lineRule="auto"/>
        <w:ind w:right="4"/>
        <w:jc w:val="both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</w:rPr>
        <w:t xml:space="preserve">“Los particulares apuestan cada vez más en la seguridad de una cuota sin sorpresas, frente a los riesgos de ver aumentados los intereses variables arrastrados por el efecto de la subida del euríbor. En estos momentos, la situación de los hipotecados a tipo variable continúa siendo incierta para sus bolsillos, a la espera de que en la segunda mitad del año lleguen las bajadas de tipos. Sin embargo, las entidades financieras no siempre ofrecen una oportunidad que satisfaga, y por ello, las tasas evasivas son relevantes”, comenta </w:t>
      </w:r>
      <w:r w:rsidRPr="00C673C4">
        <w:rPr>
          <w:rFonts w:ascii="Open Sans" w:eastAsia="Open Sans" w:hAnsi="Open Sans" w:cs="Open Sans"/>
          <w:b/>
          <w:bCs/>
        </w:rPr>
        <w:t xml:space="preserve">María Matos, directora de Estudios y portavoz de </w:t>
      </w:r>
      <w:hyperlink r:id="rId10">
        <w:r w:rsidRPr="00C673C4">
          <w:rPr>
            <w:rFonts w:ascii="Open Sans" w:eastAsia="Open Sans" w:hAnsi="Open Sans" w:cs="Open Sans"/>
            <w:b/>
            <w:bCs/>
            <w:color w:val="1155CC"/>
            <w:u w:val="single"/>
          </w:rPr>
          <w:t>Fotocasa</w:t>
        </w:r>
      </w:hyperlink>
      <w:r w:rsidRPr="00C673C4">
        <w:rPr>
          <w:rFonts w:ascii="Open Sans" w:eastAsia="Open Sans" w:hAnsi="Open Sans" w:cs="Open Sans"/>
          <w:b/>
          <w:bCs/>
        </w:rPr>
        <w:t>.</w:t>
      </w:r>
    </w:p>
    <w:p w14:paraId="69B08101" w14:textId="77777777" w:rsidR="00C673C4" w:rsidRDefault="00C673C4">
      <w:pPr>
        <w:spacing w:line="276" w:lineRule="auto"/>
        <w:ind w:right="4"/>
        <w:jc w:val="both"/>
        <w:rPr>
          <w:rFonts w:ascii="Open Sans" w:eastAsia="Open Sans" w:hAnsi="Open Sans" w:cs="Open Sans"/>
          <w:b/>
          <w:color w:val="303AB2"/>
        </w:rPr>
      </w:pPr>
    </w:p>
    <w:p w14:paraId="00000013" w14:textId="3351FCF9" w:rsidR="005C0FDC" w:rsidRDefault="00000000">
      <w:pPr>
        <w:spacing w:line="276" w:lineRule="auto"/>
        <w:ind w:right="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303AB2"/>
        </w:rPr>
        <w:t>Trasvase de las hipotecas variables hacia las de tipo fijo o mixto</w:t>
      </w:r>
    </w:p>
    <w:p w14:paraId="00000014" w14:textId="77777777" w:rsidR="005C0FDC" w:rsidRDefault="005C0FDC">
      <w:pPr>
        <w:spacing w:line="276" w:lineRule="auto"/>
        <w:ind w:right="4"/>
        <w:jc w:val="both"/>
        <w:rPr>
          <w:rFonts w:ascii="Open Sans" w:eastAsia="Open Sans" w:hAnsi="Open Sans" w:cs="Open Sans"/>
          <w:b/>
          <w:color w:val="303AB2"/>
        </w:rPr>
      </w:pPr>
    </w:p>
    <w:p w14:paraId="00000015" w14:textId="25BC0594" w:rsidR="005C0FDC" w:rsidRDefault="00000000">
      <w:pPr>
        <w:spacing w:after="240"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El segmento que atrae menos hipotecados de las otras modalidades es el de las variables: el 95% de quienes tienen una hipoteca variable ya la tenía. Además, tiene unas tasas altas de usuarios evasivos: </w:t>
      </w:r>
      <w:r>
        <w:rPr>
          <w:rFonts w:ascii="Open Sans" w:eastAsia="Open Sans" w:hAnsi="Open Sans" w:cs="Open Sans"/>
          <w:b/>
        </w:rPr>
        <w:t>un 13% de ellos no ha podido cambiar pese a haberlo intentado y otro 11% tiene intención de hacerlo</w:t>
      </w:r>
      <w:r>
        <w:rPr>
          <w:rFonts w:ascii="Open Sans" w:eastAsia="Open Sans" w:hAnsi="Open Sans" w:cs="Open Sans"/>
        </w:rPr>
        <w:t xml:space="preserve">. </w:t>
      </w:r>
    </w:p>
    <w:p w14:paraId="00000016" w14:textId="2F744FC1" w:rsidR="005C0FDC" w:rsidRDefault="00000000">
      <w:pPr>
        <w:spacing w:after="240" w:line="276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Pero las tasas más altas de evasión se localizan </w:t>
      </w:r>
      <w:r>
        <w:rPr>
          <w:rFonts w:ascii="Open Sans" w:eastAsia="Open Sans" w:hAnsi="Open Sans" w:cs="Open Sans"/>
          <w:b/>
        </w:rPr>
        <w:t xml:space="preserve">en la mixta: en este caso son un 11% entre quienes se han intentado cambiar sin éxito y otro 20% pretende contratar una modalidad </w:t>
      </w:r>
      <w:r>
        <w:rPr>
          <w:rFonts w:ascii="Open Sans" w:eastAsia="Open Sans" w:hAnsi="Open Sans" w:cs="Open Sans"/>
        </w:rPr>
        <w:t xml:space="preserve">diferente. Solo el 45% de quienes componen este grupo ni ha intentado cambiarla ni tiene intención de hacerlo. </w:t>
      </w:r>
    </w:p>
    <w:p w14:paraId="6E844065" w14:textId="77777777" w:rsidR="00C673C4" w:rsidRDefault="00C673C4">
      <w:pPr>
        <w:spacing w:after="240" w:line="276" w:lineRule="auto"/>
        <w:jc w:val="both"/>
        <w:rPr>
          <w:rFonts w:ascii="Open Sans" w:eastAsia="Open Sans" w:hAnsi="Open Sans" w:cs="Open Sans"/>
        </w:rPr>
      </w:pPr>
    </w:p>
    <w:p w14:paraId="00000017" w14:textId="0367F2F4" w:rsidR="005C0FDC" w:rsidRDefault="00000000">
      <w:pPr>
        <w:spacing w:after="240" w:line="276" w:lineRule="auto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" w:eastAsia="Open Sans" w:hAnsi="Open Sans" w:cs="Open Sans"/>
        </w:rPr>
        <w:lastRenderedPageBreak/>
        <w:t xml:space="preserve">Quienes ya se </w:t>
      </w:r>
      <w:r>
        <w:rPr>
          <w:rFonts w:ascii="Open Sans" w:eastAsia="Open Sans" w:hAnsi="Open Sans" w:cs="Open Sans"/>
          <w:b/>
        </w:rPr>
        <w:t>han cambiado de hipoteca lo han hecho renegociando con su mismo banco en el 44% de los casos; reemplazando por otra su entidad anterior —que no se lo concedía— en otro 31%</w:t>
      </w:r>
      <w:r>
        <w:rPr>
          <w:rFonts w:ascii="Open Sans" w:eastAsia="Open Sans" w:hAnsi="Open Sans" w:cs="Open Sans"/>
        </w:rPr>
        <w:t xml:space="preserve">; o en un 25% de las ocasiones cambiando de banco si tener necesidad de hacerlo (mejores condiciones). </w:t>
      </w:r>
    </w:p>
    <w:p w14:paraId="00000019" w14:textId="77777777" w:rsidR="005C0FDC" w:rsidRDefault="005C0FDC">
      <w:pPr>
        <w:spacing w:line="276" w:lineRule="auto"/>
        <w:ind w:right="-433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01B" w14:textId="77777777" w:rsidR="005C0FDC" w:rsidRDefault="005C0FDC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2F4767A" w14:textId="77777777" w:rsidR="00917E6F" w:rsidRDefault="00917E6F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01C" w14:textId="77777777" w:rsidR="005C0FDC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000001D" w14:textId="77777777" w:rsidR="005C0FDC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bookmarkStart w:id="0" w:name="_heading=h.2s8eyo1" w:colFirst="0" w:colLast="0"/>
    <w:bookmarkEnd w:id="0"/>
    <w:p w14:paraId="0000001E" w14:textId="77777777" w:rsidR="005C0FDC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” del sector a nivel mundial. </w:t>
      </w:r>
    </w:p>
    <w:p w14:paraId="0000001F" w14:textId="77777777" w:rsidR="005C0FDC" w:rsidRDefault="00000000">
      <w:pP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sz w:val="22"/>
          <w:szCs w:val="22"/>
        </w:rPr>
      </w:pP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23" w14:textId="77777777" w:rsidR="005C0FDC" w:rsidRDefault="005C0FDC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024" w14:textId="77777777" w:rsidR="005C0FDC" w:rsidRDefault="005C0FDC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0000025" w14:textId="77777777" w:rsidR="005C0FDC" w:rsidRDefault="00000000">
      <w:pPr>
        <w:spacing w:line="276" w:lineRule="auto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00000026" w14:textId="77777777" w:rsidR="005C0FDC" w:rsidRDefault="00000000">
      <w:pPr>
        <w:spacing w:before="143" w:after="200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5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00000027" w14:textId="77777777" w:rsidR="005C0FDC" w:rsidRDefault="00000000">
      <w:pPr>
        <w:spacing w:before="143" w:after="200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00000028" w14:textId="77777777" w:rsidR="005C0FDC" w:rsidRDefault="00000000">
      <w:pPr>
        <w:spacing w:before="143" w:after="200"/>
        <w:jc w:val="both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10 países. El conjunto de sus plataformas locales recibe un promedio de 3.000 millones de visitas cada mes. </w:t>
      </w:r>
    </w:p>
    <w:p w14:paraId="00000029" w14:textId="77777777" w:rsidR="005C0FDC" w:rsidRDefault="00000000">
      <w:pPr>
        <w:spacing w:line="276" w:lineRule="auto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0000002A" w14:textId="77777777" w:rsidR="005C0FDC" w:rsidRDefault="005C0FDC">
      <w:pPr>
        <w:spacing w:line="276" w:lineRule="auto"/>
        <w:jc w:val="right"/>
        <w:rPr>
          <w:rFonts w:ascii="Open Sans" w:eastAsia="Open Sans" w:hAnsi="Open Sans" w:cs="Open Sans"/>
        </w:rPr>
      </w:pPr>
    </w:p>
    <w:p w14:paraId="0000002B" w14:textId="77777777" w:rsidR="005C0FDC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lastRenderedPageBreak/>
        <w:t>Departamento Comunicación Fotocasa</w:t>
      </w:r>
    </w:p>
    <w:p w14:paraId="0000002C" w14:textId="77777777" w:rsidR="005C0FD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0000002D" w14:textId="77777777" w:rsidR="005C0FD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0000002E" w14:textId="77777777" w:rsidR="005C0FD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0000002F" w14:textId="77777777" w:rsidR="005C0FDC" w:rsidRDefault="005C0FDC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0000030" w14:textId="77777777" w:rsidR="005C0FDC" w:rsidRDefault="00000000">
      <w:pPr>
        <w:spacing w:line="276" w:lineRule="auto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00000031" w14:textId="77777777" w:rsidR="005C0FDC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00000032" w14:textId="77777777" w:rsidR="005C0FDC" w:rsidRPr="00B11F06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1">
        <w:r w:rsidRPr="00B11F06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B11F0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0000033" w14:textId="77777777" w:rsidR="005C0FDC" w:rsidRPr="00B11F06" w:rsidRDefault="00000000">
      <w:pPr>
        <w:shd w:val="clear" w:color="auto" w:fill="FFFFFF"/>
        <w:spacing w:line="276" w:lineRule="auto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00000034" w14:textId="77777777" w:rsidR="005C0FDC" w:rsidRPr="00B11F06" w:rsidRDefault="00000000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B11F0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B11F0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B11F0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B11F0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B11F0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B11F06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B11F06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00000035" w14:textId="77777777" w:rsidR="005C0FDC" w:rsidRPr="00B11F06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B11F06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00000036" w14:textId="77777777" w:rsidR="005C0FDC" w:rsidRPr="00B11F06" w:rsidRDefault="00000000">
      <w:pPr>
        <w:shd w:val="clear" w:color="auto" w:fill="FFFFFF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2">
        <w:r w:rsidRPr="00B11F06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B11F0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B11F06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00000037" w14:textId="77777777" w:rsidR="005C0FDC" w:rsidRDefault="00000000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00000038" w14:textId="77777777" w:rsidR="005C0FDC" w:rsidRDefault="005C0FDC">
      <w:pPr>
        <w:shd w:val="clear" w:color="auto" w:fill="FFFFFF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039" w14:textId="77777777" w:rsidR="005C0FDC" w:rsidRDefault="005C0FDC">
      <w:pPr>
        <w:spacing w:line="276" w:lineRule="auto"/>
        <w:jc w:val="center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5C0FDC">
      <w:footerReference w:type="default" r:id="rId23"/>
      <w:pgSz w:w="11900" w:h="16840"/>
      <w:pgMar w:top="1417" w:right="112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17F47" w14:textId="77777777" w:rsidR="001D60CF" w:rsidRDefault="001D60CF">
      <w:r>
        <w:separator/>
      </w:r>
    </w:p>
  </w:endnote>
  <w:endnote w:type="continuationSeparator" w:id="0">
    <w:p w14:paraId="090B3EAE" w14:textId="77777777" w:rsidR="001D60CF" w:rsidRDefault="001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A" w14:textId="77777777" w:rsidR="005C0F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07800A7" wp14:editId="36BDC6A8">
          <wp:simplePos x="0" y="0"/>
          <wp:positionH relativeFrom="column">
            <wp:posOffset>-1068063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4244256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969E3" w14:textId="77777777" w:rsidR="001D60CF" w:rsidRDefault="001D60CF">
      <w:r>
        <w:separator/>
      </w:r>
    </w:p>
  </w:footnote>
  <w:footnote w:type="continuationSeparator" w:id="0">
    <w:p w14:paraId="30EA2A06" w14:textId="77777777" w:rsidR="001D60CF" w:rsidRDefault="001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9389D"/>
    <w:multiLevelType w:val="multilevel"/>
    <w:tmpl w:val="2CE81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5808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DC"/>
    <w:rsid w:val="001D60CF"/>
    <w:rsid w:val="001F25A8"/>
    <w:rsid w:val="005C0FDC"/>
    <w:rsid w:val="007A6DC2"/>
    <w:rsid w:val="00917E6F"/>
    <w:rsid w:val="00B11F06"/>
    <w:rsid w:val="00BB6D24"/>
    <w:rsid w:val="00C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182F"/>
  <w15:docId w15:val="{04C4E80C-36E8-4B88-BB23-A702B59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Hipervnculo">
    <w:name w:val="Hyperlink"/>
    <w:basedOn w:val="Fuentedeprrafopredeter"/>
    <w:uiPriority w:val="99"/>
    <w:unhideWhenUsed/>
    <w:rsid w:val="00FE7D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7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48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es/quienes-somos/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orne@llorenteycuenc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nsa.fotocasa.es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indic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://adevint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otocasa.es/es/" TargetMode="External"/><Relationship Id="rId22" Type="http://schemas.openxmlformats.org/officeDocument/2006/relationships/hyperlink" Target="mailto:emerin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hFXqZzUQHhaYx9WPBx1lG6uRAg==">CgMxLjAaJwoBMBIiCiAIBCocCgtBQUFCS0dHMWxLNBAIGgtBQUFCS0dHMWxLNCKPAgoLQUFBQktHRzFsSzQS3QEKC0FBQUJLR0cxbEs0EgtBQUFCS0dHMWxLNBooCgl0ZXh0L2h0bWwSG2FjdHVhbGl6YXIgZ3LDoWZpY28gaXplcnRpcyIpCgp0ZXh0L3BsYWluEhthY3R1YWxpemFyIGdyw6FmaWNvIGl6ZXJ0aXMqGyIVMTA4MjA4NTcyMTUyMDQ4ODkwODAyKAA4ADCRur+v5jE4kbq/r+YxWgxyMWxiMDQxajVwYzJyAiAAeACaAQYIABAAGACqAR0SG2FjdHVhbGl6YXIgZ3LDoWZpY28gaXplcnRpc7ABALgBABiRur+v5jEgkbq/r+YxMABCEGtpeC4xZ3JuM3FzdWYwenIyCWguMnM4ZXlvMTgAciExWGxUXzVpR2VBR0RHQkIybTdFYnMwMFMwNmpDZk5fZ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 López García</cp:lastModifiedBy>
  <cp:revision>6</cp:revision>
  <dcterms:created xsi:type="dcterms:W3CDTF">2024-02-06T13:46:00Z</dcterms:created>
  <dcterms:modified xsi:type="dcterms:W3CDTF">2024-04-01T21:50:00Z</dcterms:modified>
</cp:coreProperties>
</file>