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E24EB" w14:textId="77777777" w:rsidR="007C56EF" w:rsidRDefault="00000000">
      <w:r>
        <w:rPr>
          <w:noProof/>
        </w:rPr>
        <w:drawing>
          <wp:anchor distT="0" distB="0" distL="114300" distR="114300" simplePos="0" relativeHeight="251658240" behindDoc="0" locked="0" layoutInCell="1" hidden="0" allowOverlap="1" wp14:anchorId="71ED3FF1" wp14:editId="35BAF8BD">
            <wp:simplePos x="0" y="0"/>
            <wp:positionH relativeFrom="column">
              <wp:posOffset>-1078856</wp:posOffset>
            </wp:positionH>
            <wp:positionV relativeFrom="paragraph">
              <wp:posOffset>-350444</wp:posOffset>
            </wp:positionV>
            <wp:extent cx="7581265" cy="1019175"/>
            <wp:effectExtent l="0" t="0" r="0" b="0"/>
            <wp:wrapNone/>
            <wp:docPr id="16123519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BAB1600" w14:textId="77777777" w:rsidR="007C56EF" w:rsidRDefault="007C56EF">
      <w:pPr>
        <w:jc w:val="right"/>
        <w:rPr>
          <w:rFonts w:ascii="National" w:eastAsia="National" w:hAnsi="National" w:cs="National"/>
          <w:color w:val="303AB2"/>
          <w:sz w:val="36"/>
          <w:szCs w:val="36"/>
        </w:rPr>
      </w:pPr>
    </w:p>
    <w:p w14:paraId="7D77D48A" w14:textId="77777777" w:rsidR="007C56EF" w:rsidRDefault="007C56EF">
      <w:pPr>
        <w:jc w:val="right"/>
        <w:rPr>
          <w:rFonts w:ascii="National" w:eastAsia="National" w:hAnsi="National" w:cs="National"/>
          <w:color w:val="303AB2"/>
          <w:sz w:val="36"/>
          <w:szCs w:val="36"/>
        </w:rPr>
      </w:pPr>
    </w:p>
    <w:p w14:paraId="7921AA77" w14:textId="77777777" w:rsidR="007C56EF" w:rsidRDefault="007C56EF">
      <w:pPr>
        <w:rPr>
          <w:rFonts w:ascii="National" w:eastAsia="National" w:hAnsi="National" w:cs="National"/>
          <w:color w:val="303AB2"/>
          <w:sz w:val="18"/>
          <w:szCs w:val="18"/>
        </w:rPr>
      </w:pPr>
    </w:p>
    <w:p w14:paraId="1B958CA5" w14:textId="77777777" w:rsidR="007C56EF" w:rsidRDefault="00000000">
      <w:pPr>
        <w:spacing w:line="276" w:lineRule="auto"/>
        <w:jc w:val="center"/>
        <w:rPr>
          <w:rFonts w:ascii="National" w:eastAsia="National" w:hAnsi="National" w:cs="National"/>
          <w:b/>
          <w:color w:val="1DBDC5"/>
          <w:sz w:val="38"/>
          <w:szCs w:val="38"/>
        </w:rPr>
      </w:pPr>
      <w:r>
        <w:rPr>
          <w:rFonts w:ascii="National" w:eastAsia="National" w:hAnsi="National" w:cs="National"/>
          <w:b/>
          <w:color w:val="1DBDC5"/>
          <w:sz w:val="38"/>
          <w:szCs w:val="38"/>
        </w:rPr>
        <w:t>TOPE DEL 3% SUBIDAS ALQUILER EN 2024</w:t>
      </w:r>
    </w:p>
    <w:p w14:paraId="534161B1" w14:textId="77777777" w:rsidR="007C56EF" w:rsidRDefault="00000000">
      <w:pPr>
        <w:jc w:val="center"/>
        <w:rPr>
          <w:rFonts w:ascii="National" w:eastAsia="National" w:hAnsi="National" w:cs="National"/>
          <w:b/>
          <w:color w:val="303AB2"/>
          <w:sz w:val="54"/>
          <w:szCs w:val="54"/>
        </w:rPr>
      </w:pPr>
      <w:r>
        <w:rPr>
          <w:rFonts w:ascii="National" w:eastAsia="National" w:hAnsi="National" w:cs="National"/>
          <w:b/>
          <w:color w:val="303AB2"/>
          <w:sz w:val="54"/>
          <w:szCs w:val="54"/>
        </w:rPr>
        <w:t xml:space="preserve">El 23% de los arrendadores planea fijar un precio más alto cuando finalice el contrato actual </w:t>
      </w:r>
    </w:p>
    <w:p w14:paraId="0E4DB5A5" w14:textId="77777777" w:rsidR="007C56EF" w:rsidRDefault="007C56EF">
      <w:pPr>
        <w:spacing w:line="276" w:lineRule="auto"/>
        <w:ind w:right="4"/>
        <w:jc w:val="both"/>
        <w:rPr>
          <w:rFonts w:ascii="Open Sans" w:eastAsia="Open Sans" w:hAnsi="Open Sans" w:cs="Open Sans"/>
          <w:color w:val="303AB2"/>
        </w:rPr>
      </w:pPr>
    </w:p>
    <w:p w14:paraId="563E3576" w14:textId="77777777" w:rsidR="007C56EF" w:rsidRDefault="00000000">
      <w:pPr>
        <w:numPr>
          <w:ilvl w:val="0"/>
          <w:numId w:val="1"/>
        </w:numPr>
        <w:pBdr>
          <w:top w:val="nil"/>
          <w:left w:val="nil"/>
          <w:bottom w:val="nil"/>
          <w:right w:val="nil"/>
          <w:between w:val="nil"/>
        </w:pBdr>
        <w:rPr>
          <w:rFonts w:ascii="Open Sans" w:eastAsia="Open Sans" w:hAnsi="Open Sans" w:cs="Open Sans"/>
          <w:color w:val="303AB2"/>
        </w:rPr>
      </w:pPr>
      <w:r>
        <w:rPr>
          <w:rFonts w:ascii="Open Sans" w:eastAsia="Open Sans" w:hAnsi="Open Sans" w:cs="Open Sans"/>
          <w:color w:val="303AB2"/>
        </w:rPr>
        <w:t>Aumenta el porcentaje de arrendadores que se plantea vender el piso una vez finalice el contrato de alquiler (pasa del 6% al 9%)</w:t>
      </w:r>
    </w:p>
    <w:p w14:paraId="2B95C463" w14:textId="77777777" w:rsidR="007C56EF" w:rsidRDefault="00000000">
      <w:pPr>
        <w:numPr>
          <w:ilvl w:val="0"/>
          <w:numId w:val="1"/>
        </w:numPr>
        <w:pBdr>
          <w:top w:val="nil"/>
          <w:left w:val="nil"/>
          <w:bottom w:val="nil"/>
          <w:right w:val="nil"/>
          <w:between w:val="nil"/>
        </w:pBdr>
        <w:rPr>
          <w:rFonts w:ascii="Open Sans" w:eastAsia="Open Sans" w:hAnsi="Open Sans" w:cs="Open Sans"/>
          <w:color w:val="303AB2"/>
        </w:rPr>
      </w:pPr>
      <w:r>
        <w:rPr>
          <w:rFonts w:ascii="Open Sans" w:eastAsia="Open Sans" w:hAnsi="Open Sans" w:cs="Open Sans"/>
          <w:color w:val="303AB2"/>
        </w:rPr>
        <w:t>Se incrementan los propietarios que están estudiando destinar posteriormente la vivienda a alquiler vacacional pasando del 6% al 7% en 2024</w:t>
      </w:r>
    </w:p>
    <w:p w14:paraId="2B9BDF9C" w14:textId="77777777" w:rsidR="007C56EF" w:rsidRDefault="00000000">
      <w:pPr>
        <w:numPr>
          <w:ilvl w:val="0"/>
          <w:numId w:val="1"/>
        </w:numPr>
        <w:pBdr>
          <w:top w:val="nil"/>
          <w:left w:val="nil"/>
          <w:bottom w:val="nil"/>
          <w:right w:val="nil"/>
          <w:between w:val="nil"/>
        </w:pBdr>
        <w:rPr>
          <w:rFonts w:ascii="Open Sans" w:eastAsia="Open Sans" w:hAnsi="Open Sans" w:cs="Open Sans"/>
          <w:color w:val="303AB2"/>
        </w:rPr>
      </w:pPr>
      <w:r>
        <w:rPr>
          <w:rFonts w:ascii="Open Sans" w:eastAsia="Open Sans" w:hAnsi="Open Sans" w:cs="Open Sans"/>
          <w:color w:val="303AB2"/>
        </w:rPr>
        <w:t>El límite del 3% no desincentiva la compra como inversión y mantiene estable el porcentaje de futuros compradores que se lo plantea</w:t>
      </w:r>
    </w:p>
    <w:p w14:paraId="15DE2EC1" w14:textId="77777777" w:rsidR="007C56EF" w:rsidRDefault="007C56EF">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07B455BE" w14:textId="77777777" w:rsidR="007C56E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Light" w:eastAsia="Open Sans Light" w:hAnsi="Open Sans Light" w:cs="Open Sans Light"/>
          <w:b/>
          <w:color w:val="303AB2"/>
          <w:sz w:val="22"/>
          <w:szCs w:val="22"/>
        </w:rPr>
        <w:t>Madrid, 26 de abril de 2024</w:t>
      </w:r>
    </w:p>
    <w:p w14:paraId="2C4A1345" w14:textId="77777777" w:rsidR="007C56EF" w:rsidRDefault="007C56EF">
      <w:pPr>
        <w:spacing w:line="276" w:lineRule="auto"/>
        <w:ind w:right="4"/>
        <w:jc w:val="both"/>
        <w:rPr>
          <w:rFonts w:ascii="Open Sans" w:eastAsia="Open Sans" w:hAnsi="Open Sans" w:cs="Open Sans"/>
        </w:rPr>
      </w:pPr>
    </w:p>
    <w:p w14:paraId="30D20F37" w14:textId="1C281603" w:rsidR="007C56EF" w:rsidRDefault="00000000">
      <w:pPr>
        <w:spacing w:line="276" w:lineRule="auto"/>
        <w:ind w:right="4"/>
        <w:jc w:val="both"/>
        <w:rPr>
          <w:rFonts w:ascii="Open Sans" w:eastAsia="Open Sans" w:hAnsi="Open Sans" w:cs="Open Sans"/>
        </w:rPr>
      </w:pPr>
      <w:r>
        <w:rPr>
          <w:rFonts w:ascii="Open Sans" w:eastAsia="Open Sans" w:hAnsi="Open Sans" w:cs="Open Sans"/>
        </w:rPr>
        <w:t xml:space="preserve">La limitación a los incrementos en las actualizaciones de rentas de los alquileres ha cambiado de fase este año: </w:t>
      </w:r>
      <w:hyperlink r:id="rId9">
        <w:r>
          <w:rPr>
            <w:rFonts w:ascii="Open Sans" w:eastAsia="Open Sans" w:hAnsi="Open Sans" w:cs="Open Sans"/>
            <w:color w:val="0000FF"/>
            <w:u w:val="single"/>
          </w:rPr>
          <w:t>del tope del 2% que se puso en 2022 y 2023</w:t>
        </w:r>
      </w:hyperlink>
      <w:r>
        <w:rPr>
          <w:rFonts w:ascii="Open Sans" w:eastAsia="Open Sans" w:hAnsi="Open Sans" w:cs="Open Sans"/>
        </w:rPr>
        <w:t xml:space="preserve">, ha pasado al 3% en 2024, a la espera de que el nuevo índice de referencia recogido en la ley de vivienda entre en vigor en 2025. Frente a esta medida, </w:t>
      </w:r>
      <w:r>
        <w:rPr>
          <w:rFonts w:ascii="Open Sans" w:eastAsia="Open Sans" w:hAnsi="Open Sans" w:cs="Open Sans"/>
          <w:b/>
        </w:rPr>
        <w:t>uno de cada dos propietarios de vivienda en alquiler (48%) dice que tomará medidas en el futuro</w:t>
      </w:r>
      <w:r>
        <w:rPr>
          <w:rFonts w:ascii="Open Sans" w:eastAsia="Open Sans" w:hAnsi="Open Sans" w:cs="Open Sans"/>
        </w:rPr>
        <w:t>. Así, destacan los arrendadores que desean poner un precio más alto tras la finalización del contrato, en concreto son el 23%. Esta es una de las principales conclusiones de la última encuesta realizada po</w:t>
      </w:r>
      <w:r w:rsidR="005D05DC">
        <w:rPr>
          <w:rFonts w:ascii="Open Sans" w:eastAsia="Open Sans" w:hAnsi="Open Sans" w:cs="Open Sans"/>
        </w:rPr>
        <w:t xml:space="preserve">r Fotocasa </w:t>
      </w:r>
      <w:proofErr w:type="spellStart"/>
      <w:r w:rsidR="005D05DC">
        <w:rPr>
          <w:rFonts w:ascii="Open Sans" w:eastAsia="Open Sans" w:hAnsi="Open Sans" w:cs="Open Sans"/>
        </w:rPr>
        <w:t>Research</w:t>
      </w:r>
      <w:proofErr w:type="spellEnd"/>
      <w:r w:rsidR="005D05DC">
        <w:rPr>
          <w:rFonts w:ascii="Open Sans" w:eastAsia="Open Sans" w:hAnsi="Open Sans" w:cs="Open Sans"/>
        </w:rPr>
        <w:t xml:space="preserve"> </w:t>
      </w:r>
      <w:r>
        <w:rPr>
          <w:rFonts w:ascii="Open Sans" w:eastAsia="Open Sans" w:hAnsi="Open Sans" w:cs="Open Sans"/>
        </w:rPr>
        <w:t xml:space="preserve">a casi 1.600 arrendadores y arrendatarios.   </w:t>
      </w:r>
    </w:p>
    <w:p w14:paraId="059E7FF5" w14:textId="77777777" w:rsidR="007C56EF" w:rsidRDefault="007C56EF">
      <w:pPr>
        <w:spacing w:line="276" w:lineRule="auto"/>
        <w:ind w:right="4"/>
        <w:jc w:val="both"/>
        <w:rPr>
          <w:rFonts w:ascii="Open Sans" w:eastAsia="Open Sans" w:hAnsi="Open Sans" w:cs="Open Sans"/>
        </w:rPr>
      </w:pPr>
    </w:p>
    <w:p w14:paraId="2C9F9EB7" w14:textId="77777777" w:rsidR="007C56EF" w:rsidRDefault="00000000">
      <w:pPr>
        <w:spacing w:line="276" w:lineRule="auto"/>
        <w:ind w:right="4"/>
        <w:jc w:val="both"/>
        <w:rPr>
          <w:rFonts w:ascii="Open Sans" w:eastAsia="Open Sans" w:hAnsi="Open Sans" w:cs="Open Sans"/>
        </w:rPr>
      </w:pPr>
      <w:r>
        <w:rPr>
          <w:rFonts w:ascii="Open Sans" w:eastAsia="Open Sans" w:hAnsi="Open Sans" w:cs="Open Sans"/>
        </w:rPr>
        <w:t xml:space="preserve">Otra medida que quieren poner en marcha los arrendadores es </w:t>
      </w:r>
      <w:r>
        <w:rPr>
          <w:rFonts w:ascii="Open Sans" w:eastAsia="Open Sans" w:hAnsi="Open Sans" w:cs="Open Sans"/>
          <w:b/>
        </w:rPr>
        <w:t>buscar inquilinos que puedan asumir un mayor precio del alquiler</w:t>
      </w:r>
      <w:r>
        <w:rPr>
          <w:rFonts w:ascii="Open Sans" w:eastAsia="Open Sans" w:hAnsi="Open Sans" w:cs="Open Sans"/>
        </w:rPr>
        <w:t>. Y lo quieren hacer un 17% de los que quieren tomar esta medida, un porcentaje dos puntos por debajo respecto a hace un año.</w:t>
      </w:r>
    </w:p>
    <w:p w14:paraId="01D70E3F" w14:textId="77777777" w:rsidR="005D05DC" w:rsidRDefault="005D05DC">
      <w:pPr>
        <w:spacing w:line="276" w:lineRule="auto"/>
        <w:ind w:right="4"/>
        <w:jc w:val="both"/>
        <w:rPr>
          <w:rFonts w:ascii="Open Sans" w:eastAsia="Open Sans" w:hAnsi="Open Sans" w:cs="Open Sans"/>
        </w:rPr>
      </w:pPr>
    </w:p>
    <w:p w14:paraId="02989B9D" w14:textId="77777777" w:rsidR="007C56EF" w:rsidRDefault="007C56EF">
      <w:pPr>
        <w:spacing w:line="276" w:lineRule="auto"/>
        <w:ind w:right="4"/>
        <w:jc w:val="both"/>
        <w:rPr>
          <w:rFonts w:ascii="Open Sans" w:eastAsia="Open Sans" w:hAnsi="Open Sans" w:cs="Open Sans"/>
        </w:rPr>
      </w:pPr>
    </w:p>
    <w:p w14:paraId="3396944D" w14:textId="77777777" w:rsidR="007C56EF"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Sí que aumentan porcentualmente, con respecto a 2023, los que </w:t>
      </w:r>
      <w:r>
        <w:rPr>
          <w:rFonts w:ascii="Open Sans" w:eastAsia="Open Sans" w:hAnsi="Open Sans" w:cs="Open Sans"/>
          <w:b/>
        </w:rPr>
        <w:t>se plantean vender el piso una vez finalice el contrato de arrendamiento, que pasan del 6% al 9%, así como los que estudian destinar posteriormente la vivienda a alquiler vacacional (del 6% al 7%).</w:t>
      </w:r>
      <w:r>
        <w:rPr>
          <w:rFonts w:ascii="Open Sans" w:eastAsia="Open Sans" w:hAnsi="Open Sans" w:cs="Open Sans"/>
        </w:rPr>
        <w:t xml:space="preserve">  </w:t>
      </w:r>
    </w:p>
    <w:p w14:paraId="32C425A4" w14:textId="77777777" w:rsidR="007C56EF" w:rsidRDefault="007C56EF">
      <w:pPr>
        <w:spacing w:line="276" w:lineRule="auto"/>
        <w:ind w:right="4"/>
        <w:jc w:val="both"/>
        <w:rPr>
          <w:rFonts w:ascii="Open Sans" w:eastAsia="Open Sans" w:hAnsi="Open Sans" w:cs="Open Sans"/>
        </w:rPr>
      </w:pPr>
    </w:p>
    <w:p w14:paraId="29E4E2FD" w14:textId="77777777" w:rsidR="007C56EF" w:rsidRDefault="00000000">
      <w:pPr>
        <w:spacing w:line="276" w:lineRule="auto"/>
        <w:ind w:right="4"/>
        <w:jc w:val="both"/>
        <w:rPr>
          <w:rFonts w:ascii="Open Sans" w:eastAsia="Open Sans" w:hAnsi="Open Sans" w:cs="Open Sans"/>
        </w:rPr>
      </w:pPr>
      <w:r>
        <w:rPr>
          <w:rFonts w:ascii="Open Sans" w:eastAsia="Open Sans" w:hAnsi="Open Sans" w:cs="Open Sans"/>
        </w:rPr>
        <w:t>Además, cabe reseñar que la norma no parece desincentivar la compra de vivienda como inversión, ya que únicamente el 7% (el mismo porcentaje que el año anterior) asegura que en el futuro se plantearía más seriamente la adquisición de una vivienda con este propósito.</w:t>
      </w:r>
    </w:p>
    <w:p w14:paraId="4CE4D8A7" w14:textId="77777777" w:rsidR="007C56E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60E52B9F" wp14:editId="0F21A2A9">
            <wp:extent cx="5908675" cy="4008120"/>
            <wp:effectExtent l="0" t="0" r="0" b="0"/>
            <wp:docPr id="1612351946" name="image2.jpg" descr="Escala de tiemp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Escala de tiempo, Gráfico de barras&#10;&#10;Descripción generada automáticamente"/>
                    <pic:cNvPicPr preferRelativeResize="0"/>
                  </pic:nvPicPr>
                  <pic:blipFill>
                    <a:blip r:embed="rId10"/>
                    <a:srcRect/>
                    <a:stretch>
                      <a:fillRect/>
                    </a:stretch>
                  </pic:blipFill>
                  <pic:spPr>
                    <a:xfrm>
                      <a:off x="0" y="0"/>
                      <a:ext cx="5908962" cy="4008315"/>
                    </a:xfrm>
                    <a:prstGeom prst="rect">
                      <a:avLst/>
                    </a:prstGeom>
                    <a:ln/>
                  </pic:spPr>
                </pic:pic>
              </a:graphicData>
            </a:graphic>
          </wp:inline>
        </w:drawing>
      </w:r>
    </w:p>
    <w:p w14:paraId="02586938" w14:textId="646316D2" w:rsidR="007C56EF" w:rsidRDefault="00000000">
      <w:pPr>
        <w:spacing w:line="276" w:lineRule="auto"/>
        <w:ind w:right="4"/>
        <w:jc w:val="both"/>
        <w:rPr>
          <w:rFonts w:ascii="Open Sans" w:eastAsia="Open Sans" w:hAnsi="Open Sans" w:cs="Open Sans"/>
        </w:rPr>
      </w:pPr>
      <w:r>
        <w:rPr>
          <w:rFonts w:ascii="Open Sans" w:eastAsia="Open Sans" w:hAnsi="Open Sans" w:cs="Open Sans"/>
        </w:rPr>
        <w:t xml:space="preserve">“La mayoría de los propietarios esperarán a que el límite de actualización del contrato finalice. Sin embargo, </w:t>
      </w:r>
      <w:r w:rsidR="005D05DC">
        <w:rPr>
          <w:rFonts w:ascii="Open Sans" w:eastAsia="Open Sans" w:hAnsi="Open Sans" w:cs="Open Sans"/>
        </w:rPr>
        <w:t>un volumen significativo de arrendadores busca</w:t>
      </w:r>
      <w:r>
        <w:rPr>
          <w:rFonts w:ascii="Open Sans" w:eastAsia="Open Sans" w:hAnsi="Open Sans" w:cs="Open Sans"/>
        </w:rPr>
        <w:t xml:space="preserve"> otras fórmulas para seguir obteniendo los rendimientos establecidos en su hoja de ruta cuando de forma legislativa se limita la rentabilidad que obtienen al poner su vivienda en alquiler. Lamentablemente esta situación termina repercutiendo en el inquilino, o bien en forma de un aumento del precio de los alquileres o de menor oferta disponible en el mercado, lo que dificulta su acceso”, </w:t>
      </w:r>
      <w:r w:rsidRPr="005D05DC">
        <w:rPr>
          <w:rFonts w:ascii="Open Sans" w:eastAsia="Open Sans" w:hAnsi="Open Sans" w:cs="Open Sans"/>
          <w:b/>
          <w:bCs/>
        </w:rPr>
        <w:t xml:space="preserve">explica María Matos, directora de Estudios y portavoz de </w:t>
      </w:r>
      <w:hyperlink r:id="rId11">
        <w:r w:rsidRPr="005D05DC">
          <w:rPr>
            <w:rFonts w:ascii="Open Sans" w:eastAsia="Open Sans" w:hAnsi="Open Sans" w:cs="Open Sans"/>
            <w:b/>
            <w:bCs/>
            <w:color w:val="1155CC"/>
            <w:u w:val="single"/>
          </w:rPr>
          <w:t>Fotocasa</w:t>
        </w:r>
      </w:hyperlink>
      <w:r w:rsidRPr="005D05DC">
        <w:rPr>
          <w:rFonts w:ascii="Open Sans" w:eastAsia="Open Sans" w:hAnsi="Open Sans" w:cs="Open Sans"/>
          <w:b/>
          <w:bCs/>
        </w:rPr>
        <w:t>.</w:t>
      </w:r>
      <w:r>
        <w:rPr>
          <w:rFonts w:ascii="Open Sans" w:eastAsia="Open Sans" w:hAnsi="Open Sans" w:cs="Open Sans"/>
        </w:rPr>
        <w:t xml:space="preserve">  </w:t>
      </w:r>
    </w:p>
    <w:p w14:paraId="2F636E04" w14:textId="77777777" w:rsidR="005D05DC" w:rsidRDefault="005D05DC">
      <w:pPr>
        <w:spacing w:line="276" w:lineRule="auto"/>
        <w:ind w:right="4"/>
        <w:jc w:val="both"/>
        <w:rPr>
          <w:rFonts w:ascii="Open Sans" w:eastAsia="Open Sans" w:hAnsi="Open Sans" w:cs="Open Sans"/>
        </w:rPr>
      </w:pPr>
    </w:p>
    <w:p w14:paraId="14C94810" w14:textId="77777777" w:rsidR="007C56EF" w:rsidRDefault="007C56EF">
      <w:pPr>
        <w:spacing w:line="276" w:lineRule="auto"/>
        <w:ind w:right="4"/>
        <w:jc w:val="both"/>
        <w:rPr>
          <w:rFonts w:ascii="Open Sans" w:eastAsia="Open Sans" w:hAnsi="Open Sans" w:cs="Open Sans"/>
        </w:rPr>
      </w:pPr>
    </w:p>
    <w:p w14:paraId="08DE4291" w14:textId="77777777" w:rsidR="007C56EF"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La disminución de la idea de </w:t>
      </w:r>
      <w:r w:rsidRPr="005D05DC">
        <w:rPr>
          <w:rFonts w:ascii="Open Sans" w:eastAsia="Open Sans" w:hAnsi="Open Sans" w:cs="Open Sans"/>
          <w:b/>
          <w:bCs/>
        </w:rPr>
        <w:t>establecer un precio más alto una vez finalice el contrato se hace más patente dentro del colectivo de 55-75 años</w:t>
      </w:r>
      <w:r>
        <w:rPr>
          <w:rFonts w:ascii="Open Sans" w:eastAsia="Open Sans" w:hAnsi="Open Sans" w:cs="Open Sans"/>
        </w:rPr>
        <w:t>. Así, los arrendadores de edades comprendidas en esta franja que se planteaban incrementar el precio eran en 2023 un 30%, mientras que doce meses después únicamente constituyen el 21%.</w:t>
      </w:r>
    </w:p>
    <w:p w14:paraId="51AC7A5C" w14:textId="77777777" w:rsidR="007C56EF" w:rsidRDefault="007C56EF">
      <w:pPr>
        <w:spacing w:line="276" w:lineRule="auto"/>
        <w:ind w:right="4"/>
        <w:jc w:val="both"/>
        <w:rPr>
          <w:rFonts w:ascii="Open Sans" w:eastAsia="Open Sans" w:hAnsi="Open Sans" w:cs="Open Sans"/>
        </w:rPr>
      </w:pPr>
    </w:p>
    <w:p w14:paraId="60DEF269" w14:textId="77777777" w:rsidR="007C56EF" w:rsidRDefault="00000000">
      <w:pPr>
        <w:spacing w:line="276" w:lineRule="auto"/>
        <w:ind w:right="4"/>
        <w:jc w:val="both"/>
        <w:rPr>
          <w:rFonts w:ascii="Open Sans" w:eastAsia="Open Sans" w:hAnsi="Open Sans" w:cs="Open Sans"/>
        </w:rPr>
      </w:pPr>
      <w:r>
        <w:rPr>
          <w:rFonts w:ascii="Open Sans" w:eastAsia="Open Sans" w:hAnsi="Open Sans" w:cs="Open Sans"/>
        </w:rPr>
        <w:t xml:space="preserve">Entre los colectivos de </w:t>
      </w:r>
      <w:r w:rsidRPr="005D05DC">
        <w:rPr>
          <w:rFonts w:ascii="Open Sans" w:eastAsia="Open Sans" w:hAnsi="Open Sans" w:cs="Open Sans"/>
          <w:b/>
          <w:bCs/>
        </w:rPr>
        <w:t>propietarios más jóvenes</w:t>
      </w:r>
      <w:r>
        <w:rPr>
          <w:rFonts w:ascii="Open Sans" w:eastAsia="Open Sans" w:hAnsi="Open Sans" w:cs="Open Sans"/>
        </w:rPr>
        <w:t xml:space="preserve"> existe una doble tendencia: por un lado, y de manera tendencial, se observa un incremento en la </w:t>
      </w:r>
      <w:r w:rsidRPr="005D05DC">
        <w:rPr>
          <w:rFonts w:ascii="Open Sans" w:eastAsia="Open Sans" w:hAnsi="Open Sans" w:cs="Open Sans"/>
          <w:b/>
          <w:bCs/>
        </w:rPr>
        <w:t>predisposición a vender el piso una vez finalice el contrato entre los jóvenes de 25-34 años</w:t>
      </w:r>
      <w:r>
        <w:rPr>
          <w:rFonts w:ascii="Open Sans" w:eastAsia="Open Sans" w:hAnsi="Open Sans" w:cs="Open Sans"/>
        </w:rPr>
        <w:t>. Por otro lado, y también de manera tendencial, se aprecia un aumento de actitud conservadora dentro del colectivo de arrendadores entre los 34 y los 45 años, entre los que disminuye su intención de tomar medidas en respuesta al límite del 3% a la subida del alquiler.</w:t>
      </w:r>
    </w:p>
    <w:p w14:paraId="6406A1ED" w14:textId="77777777" w:rsidR="007C56EF" w:rsidRDefault="007C56EF">
      <w:pPr>
        <w:spacing w:line="276" w:lineRule="auto"/>
        <w:ind w:right="4"/>
        <w:jc w:val="both"/>
        <w:rPr>
          <w:rFonts w:ascii="Open Sans" w:eastAsia="Open Sans" w:hAnsi="Open Sans" w:cs="Open Sans"/>
        </w:rPr>
      </w:pPr>
    </w:p>
    <w:p w14:paraId="6D7EDDA2" w14:textId="77777777" w:rsidR="007C56EF" w:rsidRDefault="00000000">
      <w:pPr>
        <w:spacing w:line="276" w:lineRule="auto"/>
        <w:ind w:right="4"/>
        <w:jc w:val="both"/>
        <w:rPr>
          <w:rFonts w:ascii="Open Sans" w:eastAsia="Open Sans" w:hAnsi="Open Sans" w:cs="Open Sans"/>
        </w:rPr>
      </w:pPr>
      <w:r>
        <w:rPr>
          <w:rFonts w:ascii="Open Sans" w:eastAsia="Open Sans" w:hAnsi="Open Sans" w:cs="Open Sans"/>
        </w:rPr>
        <w:t xml:space="preserve">Por comunidades encontramos algunas diferencias relevantes, siendo </w:t>
      </w:r>
      <w:r w:rsidRPr="005D05DC">
        <w:rPr>
          <w:rFonts w:ascii="Open Sans" w:eastAsia="Open Sans" w:hAnsi="Open Sans" w:cs="Open Sans"/>
          <w:b/>
          <w:bCs/>
        </w:rPr>
        <w:t xml:space="preserve">los arrendadores de Madrid relativamente más propensos a vender el piso una vez finalice el contrato </w:t>
      </w:r>
      <w:r>
        <w:rPr>
          <w:rFonts w:ascii="Open Sans" w:eastAsia="Open Sans" w:hAnsi="Open Sans" w:cs="Open Sans"/>
        </w:rPr>
        <w:t>(10%), y los de Andalucía se inclinan más hacia plantearse la compra de vivienda como inversión (12%).</w:t>
      </w:r>
    </w:p>
    <w:p w14:paraId="37097634" w14:textId="77777777" w:rsidR="007C56EF" w:rsidRDefault="007C56EF">
      <w:pPr>
        <w:spacing w:line="276" w:lineRule="auto"/>
        <w:ind w:right="4"/>
        <w:jc w:val="both"/>
        <w:rPr>
          <w:rFonts w:ascii="Open Sans" w:eastAsia="Open Sans" w:hAnsi="Open Sans" w:cs="Open Sans"/>
        </w:rPr>
      </w:pPr>
    </w:p>
    <w:p w14:paraId="01088787" w14:textId="77777777" w:rsidR="007C56EF" w:rsidRDefault="007C56EF">
      <w:pPr>
        <w:spacing w:line="276" w:lineRule="auto"/>
        <w:ind w:right="4"/>
        <w:jc w:val="both"/>
        <w:rPr>
          <w:rFonts w:ascii="Open Sans" w:eastAsia="Open Sans" w:hAnsi="Open Sans" w:cs="Open Sans"/>
        </w:rPr>
      </w:pPr>
    </w:p>
    <w:p w14:paraId="19C7DCCA" w14:textId="77777777" w:rsidR="005D05DC" w:rsidRDefault="005D05DC">
      <w:pPr>
        <w:spacing w:line="276" w:lineRule="auto"/>
        <w:ind w:right="4"/>
        <w:jc w:val="both"/>
        <w:rPr>
          <w:rFonts w:ascii="Open Sans" w:eastAsia="Open Sans" w:hAnsi="Open Sans" w:cs="Open Sans"/>
        </w:rPr>
      </w:pPr>
    </w:p>
    <w:p w14:paraId="3F440954" w14:textId="77777777" w:rsidR="007C56E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026B9B4" w14:textId="77777777" w:rsidR="007C56E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8AEF9B1" w14:textId="77777777" w:rsidR="007C56EF"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4BADEA32" w14:textId="77777777" w:rsidR="007C56EF" w:rsidRDefault="00000000">
      <w:pPr>
        <w:shd w:val="clear" w:color="auto" w:fill="FFFFFF"/>
        <w:spacing w:before="280" w:after="280" w:line="276" w:lineRule="auto"/>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69FE5368" w14:textId="77777777" w:rsidR="007C56EF" w:rsidRDefault="007C56EF">
      <w:pPr>
        <w:spacing w:line="276" w:lineRule="auto"/>
        <w:jc w:val="right"/>
        <w:rPr>
          <w:rFonts w:ascii="Open Sans Light" w:eastAsia="Open Sans Light" w:hAnsi="Open Sans Light" w:cs="Open Sans Light"/>
          <w:b/>
          <w:color w:val="303AB2"/>
        </w:rPr>
      </w:pPr>
    </w:p>
    <w:p w14:paraId="498FE1FE" w14:textId="77777777" w:rsidR="005D05DC" w:rsidRDefault="005D05DC">
      <w:pPr>
        <w:spacing w:line="276" w:lineRule="auto"/>
        <w:jc w:val="right"/>
        <w:rPr>
          <w:rFonts w:ascii="Open Sans Light" w:eastAsia="Open Sans Light" w:hAnsi="Open Sans Light" w:cs="Open Sans Light"/>
          <w:b/>
          <w:color w:val="303AB2"/>
        </w:rPr>
      </w:pPr>
    </w:p>
    <w:p w14:paraId="634FED00" w14:textId="77777777" w:rsidR="005D05DC" w:rsidRDefault="005D05DC">
      <w:pPr>
        <w:spacing w:line="276" w:lineRule="auto"/>
        <w:jc w:val="right"/>
        <w:rPr>
          <w:rFonts w:ascii="Open Sans Light" w:eastAsia="Open Sans Light" w:hAnsi="Open Sans Light" w:cs="Open Sans Light"/>
          <w:b/>
          <w:color w:val="303AB2"/>
        </w:rPr>
      </w:pPr>
    </w:p>
    <w:p w14:paraId="2A1D81DC" w14:textId="77777777" w:rsidR="005D05DC" w:rsidRDefault="005D05DC">
      <w:pPr>
        <w:spacing w:line="276" w:lineRule="auto"/>
        <w:jc w:val="right"/>
        <w:rPr>
          <w:rFonts w:ascii="Open Sans Light" w:eastAsia="Open Sans Light" w:hAnsi="Open Sans Light" w:cs="Open Sans Light"/>
          <w:b/>
          <w:color w:val="303AB2"/>
        </w:rPr>
      </w:pPr>
    </w:p>
    <w:p w14:paraId="5CD2B56A" w14:textId="77777777" w:rsidR="007C56E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1A868E49" w14:textId="77777777" w:rsidR="007C56EF"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370D33C7" w14:textId="77777777" w:rsidR="007C56EF"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088280C" w14:textId="77777777" w:rsidR="007C56EF"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5275042A" w14:textId="77777777" w:rsidR="007C56EF"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6E2D94C0" w14:textId="77777777" w:rsidR="007C56EF" w:rsidRDefault="007C56EF">
      <w:pPr>
        <w:spacing w:line="276" w:lineRule="auto"/>
        <w:jc w:val="right"/>
        <w:rPr>
          <w:rFonts w:ascii="Open Sans" w:eastAsia="Open Sans" w:hAnsi="Open Sans" w:cs="Open Sans"/>
        </w:rPr>
      </w:pPr>
    </w:p>
    <w:p w14:paraId="5D7EE011" w14:textId="77777777" w:rsidR="005D05DC" w:rsidRDefault="005D05DC">
      <w:pPr>
        <w:spacing w:line="276" w:lineRule="auto"/>
        <w:rPr>
          <w:rFonts w:ascii="Open Sans Light" w:eastAsia="Open Sans Light" w:hAnsi="Open Sans Light" w:cs="Open Sans Light"/>
          <w:b/>
          <w:color w:val="303AB2"/>
          <w:sz w:val="22"/>
          <w:szCs w:val="22"/>
        </w:rPr>
      </w:pPr>
    </w:p>
    <w:p w14:paraId="65B06D41" w14:textId="490B9C7A" w:rsidR="007C56EF"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C5C38D8" w14:textId="77777777" w:rsidR="007C56EF"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8FD9554" w14:textId="77777777" w:rsidR="007C56EF" w:rsidRDefault="0000000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73568FB4" w14:textId="77777777" w:rsidR="007C56E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AD3E493" w14:textId="77777777" w:rsidR="007C56EF" w:rsidRDefault="007C56EF">
      <w:pPr>
        <w:spacing w:line="276" w:lineRule="auto"/>
        <w:rPr>
          <w:rFonts w:ascii="Open Sans Light" w:eastAsia="Open Sans Light" w:hAnsi="Open Sans Light" w:cs="Open Sans Light"/>
          <w:b/>
          <w:color w:val="303AB2"/>
          <w:sz w:val="22"/>
          <w:szCs w:val="22"/>
        </w:rPr>
      </w:pPr>
    </w:p>
    <w:p w14:paraId="0DF4C2BB" w14:textId="77777777" w:rsidR="007C56EF"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1DF45EC" w14:textId="77777777" w:rsidR="007C56EF"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6D8A14DF" w14:textId="77777777" w:rsidR="007C56EF" w:rsidRPr="005D05DC" w:rsidRDefault="00000000">
      <w:pPr>
        <w:shd w:val="clear" w:color="auto" w:fill="FFFFFF"/>
        <w:spacing w:line="276" w:lineRule="auto"/>
        <w:rPr>
          <w:rFonts w:ascii="Open Sans" w:eastAsia="Open Sans" w:hAnsi="Open Sans" w:cs="Open Sans"/>
          <w:color w:val="0000FF"/>
          <w:sz w:val="22"/>
          <w:szCs w:val="22"/>
          <w:u w:val="single"/>
          <w:lang w:val="en-US"/>
        </w:rPr>
      </w:pPr>
      <w:hyperlink r:id="rId22">
        <w:r w:rsidRPr="005D05DC">
          <w:rPr>
            <w:rFonts w:ascii="Open Sans" w:eastAsia="Open Sans" w:hAnsi="Open Sans" w:cs="Open Sans"/>
            <w:color w:val="0000FF"/>
            <w:sz w:val="22"/>
            <w:szCs w:val="22"/>
            <w:u w:val="single"/>
            <w:lang w:val="en-US"/>
          </w:rPr>
          <w:t>rtorne@llorenteycuenca.com</w:t>
        </w:r>
      </w:hyperlink>
      <w:r w:rsidRPr="005D05DC">
        <w:rPr>
          <w:rFonts w:ascii="Open Sans" w:eastAsia="Open Sans" w:hAnsi="Open Sans" w:cs="Open Sans"/>
          <w:color w:val="0000FF"/>
          <w:sz w:val="22"/>
          <w:szCs w:val="22"/>
          <w:lang w:val="en-US"/>
        </w:rPr>
        <w:tab/>
      </w:r>
      <w:r w:rsidRPr="005D05DC">
        <w:rPr>
          <w:rFonts w:ascii="Open Sans" w:eastAsia="Open Sans" w:hAnsi="Open Sans" w:cs="Open Sans"/>
          <w:color w:val="0000FF"/>
          <w:sz w:val="22"/>
          <w:szCs w:val="22"/>
          <w:lang w:val="en-US"/>
        </w:rPr>
        <w:tab/>
      </w:r>
      <w:r w:rsidRPr="005D05DC">
        <w:rPr>
          <w:rFonts w:ascii="Open Sans" w:eastAsia="Open Sans" w:hAnsi="Open Sans" w:cs="Open Sans"/>
          <w:color w:val="0000FF"/>
          <w:sz w:val="22"/>
          <w:szCs w:val="22"/>
          <w:lang w:val="en-US"/>
        </w:rPr>
        <w:tab/>
      </w:r>
    </w:p>
    <w:p w14:paraId="654F9A4F" w14:textId="77777777" w:rsidR="007C56EF" w:rsidRPr="005D05DC" w:rsidRDefault="00000000">
      <w:pPr>
        <w:shd w:val="clear" w:color="auto" w:fill="FFFFFF"/>
        <w:spacing w:line="276" w:lineRule="auto"/>
        <w:rPr>
          <w:rFonts w:ascii="Open Sans" w:eastAsia="Open Sans" w:hAnsi="Open Sans" w:cs="Open Sans"/>
          <w:color w:val="000000"/>
          <w:sz w:val="22"/>
          <w:szCs w:val="22"/>
          <w:lang w:val="en-US"/>
        </w:rPr>
      </w:pPr>
      <w:r w:rsidRPr="005D05DC">
        <w:rPr>
          <w:rFonts w:ascii="Open Sans" w:eastAsia="Open Sans" w:hAnsi="Open Sans" w:cs="Open Sans"/>
          <w:color w:val="000000"/>
          <w:sz w:val="22"/>
          <w:szCs w:val="22"/>
          <w:lang w:val="en-US"/>
        </w:rPr>
        <w:t xml:space="preserve">638 68 19 85      </w:t>
      </w:r>
      <w:r w:rsidRPr="005D05DC">
        <w:rPr>
          <w:rFonts w:ascii="Open Sans" w:eastAsia="Open Sans" w:hAnsi="Open Sans" w:cs="Open Sans"/>
          <w:color w:val="000000"/>
          <w:sz w:val="22"/>
          <w:szCs w:val="22"/>
          <w:lang w:val="en-US"/>
        </w:rPr>
        <w:tab/>
      </w:r>
      <w:r w:rsidRPr="005D05DC">
        <w:rPr>
          <w:rFonts w:ascii="Open Sans" w:eastAsia="Open Sans" w:hAnsi="Open Sans" w:cs="Open Sans"/>
          <w:color w:val="000000"/>
          <w:sz w:val="22"/>
          <w:szCs w:val="22"/>
          <w:lang w:val="en-US"/>
        </w:rPr>
        <w:tab/>
      </w:r>
      <w:r w:rsidRPr="005D05DC">
        <w:rPr>
          <w:rFonts w:ascii="Open Sans" w:eastAsia="Open Sans" w:hAnsi="Open Sans" w:cs="Open Sans"/>
          <w:color w:val="000000"/>
          <w:sz w:val="22"/>
          <w:szCs w:val="22"/>
          <w:lang w:val="en-US"/>
        </w:rPr>
        <w:tab/>
      </w:r>
      <w:r w:rsidRPr="005D05DC">
        <w:rPr>
          <w:rFonts w:ascii="Open Sans" w:eastAsia="Open Sans" w:hAnsi="Open Sans" w:cs="Open Sans"/>
          <w:color w:val="000000"/>
          <w:sz w:val="22"/>
          <w:szCs w:val="22"/>
          <w:lang w:val="en-US"/>
        </w:rPr>
        <w:tab/>
      </w:r>
      <w:r w:rsidRPr="005D05DC">
        <w:rPr>
          <w:rFonts w:ascii="Open Sans" w:eastAsia="Open Sans" w:hAnsi="Open Sans" w:cs="Open Sans"/>
          <w:color w:val="000000"/>
          <w:sz w:val="22"/>
          <w:szCs w:val="22"/>
          <w:lang w:val="en-US"/>
        </w:rPr>
        <w:tab/>
      </w:r>
      <w:r w:rsidRPr="005D05DC">
        <w:rPr>
          <w:rFonts w:ascii="Open Sans" w:eastAsia="Open Sans" w:hAnsi="Open Sans" w:cs="Open Sans"/>
          <w:color w:val="000000"/>
          <w:sz w:val="22"/>
          <w:szCs w:val="22"/>
          <w:lang w:val="en-US"/>
        </w:rPr>
        <w:tab/>
      </w:r>
      <w:r w:rsidRPr="005D05DC">
        <w:rPr>
          <w:rFonts w:ascii="Open Sans" w:eastAsia="Open Sans" w:hAnsi="Open Sans" w:cs="Open Sans"/>
          <w:color w:val="000000"/>
          <w:sz w:val="22"/>
          <w:szCs w:val="22"/>
          <w:lang w:val="en-US"/>
        </w:rPr>
        <w:tab/>
      </w:r>
    </w:p>
    <w:p w14:paraId="39DFBDD0" w14:textId="77777777" w:rsidR="007C56EF" w:rsidRPr="005D05DC" w:rsidRDefault="00000000">
      <w:pPr>
        <w:shd w:val="clear" w:color="auto" w:fill="FFFFFF"/>
        <w:rPr>
          <w:rFonts w:ascii="Arial" w:eastAsia="Arial" w:hAnsi="Arial" w:cs="Arial"/>
          <w:color w:val="222222"/>
          <w:sz w:val="22"/>
          <w:szCs w:val="22"/>
          <w:lang w:val="en-US"/>
        </w:rPr>
      </w:pPr>
      <w:r w:rsidRPr="005D05DC">
        <w:rPr>
          <w:rFonts w:ascii="Arial" w:eastAsia="Arial" w:hAnsi="Arial" w:cs="Arial"/>
          <w:color w:val="222222"/>
          <w:sz w:val="22"/>
          <w:szCs w:val="22"/>
          <w:lang w:val="en-US"/>
        </w:rPr>
        <w:tab/>
      </w:r>
      <w:r w:rsidRPr="005D05DC">
        <w:rPr>
          <w:rFonts w:ascii="Arial" w:eastAsia="Arial" w:hAnsi="Arial" w:cs="Arial"/>
          <w:color w:val="222222"/>
          <w:sz w:val="22"/>
          <w:szCs w:val="22"/>
          <w:lang w:val="en-US"/>
        </w:rPr>
        <w:tab/>
      </w:r>
      <w:r w:rsidRPr="005D05DC">
        <w:rPr>
          <w:rFonts w:ascii="Arial" w:eastAsia="Arial" w:hAnsi="Arial" w:cs="Arial"/>
          <w:color w:val="222222"/>
          <w:sz w:val="22"/>
          <w:szCs w:val="22"/>
          <w:lang w:val="en-US"/>
        </w:rPr>
        <w:tab/>
      </w:r>
      <w:r w:rsidRPr="005D05DC">
        <w:rPr>
          <w:rFonts w:ascii="Arial" w:eastAsia="Arial" w:hAnsi="Arial" w:cs="Arial"/>
          <w:color w:val="222222"/>
          <w:sz w:val="22"/>
          <w:szCs w:val="22"/>
          <w:lang w:val="en-US"/>
        </w:rPr>
        <w:tab/>
      </w:r>
      <w:r w:rsidRPr="005D05DC">
        <w:rPr>
          <w:rFonts w:ascii="Arial" w:eastAsia="Arial" w:hAnsi="Arial" w:cs="Arial"/>
          <w:color w:val="222222"/>
          <w:sz w:val="22"/>
          <w:szCs w:val="22"/>
          <w:lang w:val="en-US"/>
        </w:rPr>
        <w:tab/>
      </w:r>
      <w:r w:rsidRPr="005D05DC">
        <w:rPr>
          <w:rFonts w:ascii="Arial" w:eastAsia="Arial" w:hAnsi="Arial" w:cs="Arial"/>
          <w:color w:val="222222"/>
          <w:sz w:val="22"/>
          <w:szCs w:val="22"/>
          <w:lang w:val="en-US"/>
        </w:rPr>
        <w:tab/>
      </w:r>
      <w:r w:rsidRPr="005D05DC">
        <w:rPr>
          <w:rFonts w:ascii="Arial" w:eastAsia="Arial" w:hAnsi="Arial" w:cs="Arial"/>
          <w:color w:val="222222"/>
          <w:sz w:val="22"/>
          <w:szCs w:val="22"/>
          <w:lang w:val="en-US"/>
        </w:rPr>
        <w:tab/>
        <w:t xml:space="preserve">     </w:t>
      </w:r>
    </w:p>
    <w:p w14:paraId="5781AABB" w14:textId="77777777" w:rsidR="007C56EF" w:rsidRPr="005D05DC" w:rsidRDefault="00000000">
      <w:pPr>
        <w:shd w:val="clear" w:color="auto" w:fill="FFFFFF"/>
        <w:rPr>
          <w:rFonts w:ascii="Open Sans" w:eastAsia="Open Sans" w:hAnsi="Open Sans" w:cs="Open Sans"/>
          <w:b/>
          <w:color w:val="000000"/>
          <w:sz w:val="22"/>
          <w:szCs w:val="22"/>
          <w:lang w:val="en-US"/>
        </w:rPr>
      </w:pPr>
      <w:r w:rsidRPr="005D05DC">
        <w:rPr>
          <w:rFonts w:ascii="Open Sans" w:eastAsia="Open Sans" w:hAnsi="Open Sans" w:cs="Open Sans"/>
          <w:b/>
          <w:color w:val="000000"/>
          <w:sz w:val="22"/>
          <w:szCs w:val="22"/>
          <w:lang w:val="en-US"/>
        </w:rPr>
        <w:t>Fanny Merino</w:t>
      </w:r>
    </w:p>
    <w:p w14:paraId="247F9D6E" w14:textId="77777777" w:rsidR="007C56EF" w:rsidRPr="005D05DC" w:rsidRDefault="00000000">
      <w:pPr>
        <w:shd w:val="clear" w:color="auto" w:fill="FFFFFF"/>
        <w:rPr>
          <w:rFonts w:ascii="Open Sans" w:eastAsia="Open Sans" w:hAnsi="Open Sans" w:cs="Open Sans"/>
          <w:b/>
          <w:color w:val="000000"/>
          <w:sz w:val="22"/>
          <w:szCs w:val="22"/>
          <w:lang w:val="en-US"/>
        </w:rPr>
      </w:pPr>
      <w:hyperlink r:id="rId23">
        <w:r w:rsidRPr="005D05DC">
          <w:rPr>
            <w:rFonts w:ascii="Open Sans" w:eastAsia="Open Sans" w:hAnsi="Open Sans" w:cs="Open Sans"/>
            <w:color w:val="0000FF"/>
            <w:sz w:val="22"/>
            <w:szCs w:val="22"/>
            <w:u w:val="single"/>
            <w:lang w:val="en-US"/>
          </w:rPr>
          <w:t>emerino@llorenteycuenca.com</w:t>
        </w:r>
      </w:hyperlink>
      <w:r w:rsidRPr="005D05DC">
        <w:rPr>
          <w:rFonts w:ascii="Open Sans" w:eastAsia="Open Sans" w:hAnsi="Open Sans" w:cs="Open Sans"/>
          <w:color w:val="0000FF"/>
          <w:sz w:val="22"/>
          <w:szCs w:val="22"/>
          <w:lang w:val="en-US"/>
        </w:rPr>
        <w:tab/>
      </w:r>
      <w:r w:rsidRPr="005D05DC">
        <w:rPr>
          <w:rFonts w:ascii="Open Sans" w:eastAsia="Open Sans" w:hAnsi="Open Sans" w:cs="Open Sans"/>
          <w:color w:val="0000FF"/>
          <w:sz w:val="22"/>
          <w:szCs w:val="22"/>
          <w:lang w:val="en-US"/>
        </w:rPr>
        <w:tab/>
      </w:r>
    </w:p>
    <w:p w14:paraId="4EC7421A" w14:textId="77777777" w:rsidR="007C56EF" w:rsidRDefault="00000000">
      <w:pPr>
        <w:shd w:val="clear" w:color="auto" w:fill="FFFFFF"/>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4D3FC1AD" w14:textId="77777777" w:rsidR="007C56EF" w:rsidRDefault="007C56EF">
      <w:pPr>
        <w:shd w:val="clear" w:color="auto" w:fill="FFFFFF"/>
        <w:rPr>
          <w:rFonts w:ascii="Open Sans" w:eastAsia="Open Sans" w:hAnsi="Open Sans" w:cs="Open Sans"/>
          <w:color w:val="000000"/>
          <w:sz w:val="22"/>
          <w:szCs w:val="22"/>
        </w:rPr>
      </w:pPr>
    </w:p>
    <w:p w14:paraId="21F5E8B6" w14:textId="77777777" w:rsidR="007C56EF" w:rsidRDefault="007C56EF">
      <w:pPr>
        <w:spacing w:line="276" w:lineRule="auto"/>
        <w:jc w:val="center"/>
        <w:rPr>
          <w:rFonts w:ascii="Open Sans" w:eastAsia="Open Sans" w:hAnsi="Open Sans" w:cs="Open Sans"/>
          <w:color w:val="000000"/>
          <w:sz w:val="21"/>
          <w:szCs w:val="21"/>
        </w:rPr>
      </w:pPr>
    </w:p>
    <w:sectPr w:rsidR="007C56EF">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18607" w14:textId="77777777" w:rsidR="00632159" w:rsidRDefault="00632159">
      <w:r>
        <w:separator/>
      </w:r>
    </w:p>
  </w:endnote>
  <w:endnote w:type="continuationSeparator" w:id="0">
    <w:p w14:paraId="18BBE3DB" w14:textId="77777777" w:rsidR="00632159" w:rsidRDefault="0063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E3860E8-7E44-4D3E-B139-225B5FE072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01ACF62-D957-4053-92F9-A04E61F60B8E}"/>
    <w:embedBold r:id="rId3" w:fontKey="{6A946D4E-AC77-4458-8896-14D3A1274F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DEBEB67-4AB9-42AC-BA51-90A5DE2B65C0}"/>
    <w:embedItalic r:id="rId5" w:fontKey="{F8DC10A0-8F5B-4A71-A846-9EB381BD4D9E}"/>
  </w:font>
  <w:font w:name="Cambria">
    <w:panose1 w:val="02040503050406030204"/>
    <w:charset w:val="00"/>
    <w:family w:val="roman"/>
    <w:pitch w:val="variable"/>
    <w:sig w:usb0="E00006FF" w:usb1="420024FF" w:usb2="02000000" w:usb3="00000000" w:csb0="0000019F" w:csb1="00000000"/>
    <w:embedRegular r:id="rId6" w:fontKey="{BDB7B3D5-349C-4194-A0D3-41DA122C735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FBFFD841-0E47-45F5-A5CD-105D0D08A97E}"/>
    <w:embedBold r:id="rId8" w:fontKey="{56DAD2AB-1598-43BD-AA1B-D03E25BA35BC}"/>
  </w:font>
  <w:font w:name="Open Sans Light">
    <w:charset w:val="00"/>
    <w:family w:val="swiss"/>
    <w:pitch w:val="variable"/>
    <w:sig w:usb0="E00002EF" w:usb1="4000205B" w:usb2="00000028" w:usb3="00000000" w:csb0="0000019F" w:csb1="00000000"/>
    <w:embedRegular r:id="rId9" w:fontKey="{4BCDA7F3-EE8F-4891-B7B7-3DC48C8F0E3B}"/>
    <w:embedBold r:id="rId10" w:fontKey="{68BC3696-4151-493B-B77E-29DFB193980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92E8F" w14:textId="77777777" w:rsidR="007C56E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C420F96" wp14:editId="2D5CA35E">
          <wp:simplePos x="0" y="0"/>
          <wp:positionH relativeFrom="column">
            <wp:posOffset>-1068061</wp:posOffset>
          </wp:positionH>
          <wp:positionV relativeFrom="paragraph">
            <wp:posOffset>174608</wp:posOffset>
          </wp:positionV>
          <wp:extent cx="7670550" cy="451315"/>
          <wp:effectExtent l="0" t="0" r="0" b="0"/>
          <wp:wrapNone/>
          <wp:docPr id="16123519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E7F39" w14:textId="77777777" w:rsidR="00632159" w:rsidRDefault="00632159">
      <w:r>
        <w:separator/>
      </w:r>
    </w:p>
  </w:footnote>
  <w:footnote w:type="continuationSeparator" w:id="0">
    <w:p w14:paraId="2BA5721A" w14:textId="77777777" w:rsidR="00632159" w:rsidRDefault="006321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8C1C14"/>
    <w:multiLevelType w:val="multilevel"/>
    <w:tmpl w:val="A9FCB884"/>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6723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6EF"/>
    <w:rsid w:val="005D05DC"/>
    <w:rsid w:val="00632159"/>
    <w:rsid w:val="007C56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B4419"/>
  <w15:docId w15:val="{13847714-3E87-4729-ADD0-9F0CEFED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
    <w:rPr>
      <w:rFonts w:ascii="Cambria" w:eastAsia="Cambria" w:hAnsi="Cambria" w:cs="Cambria"/>
      <w:sz w:val="22"/>
      <w:szCs w:val="22"/>
    </w:rPr>
    <w:tblPr>
      <w:tblStyleRowBandSize w:val="1"/>
      <w:tblStyleColBandSize w:val="1"/>
      <w:tblCellMar>
        <w:left w:w="108" w:type="dxa"/>
        <w:right w:w="108" w:type="dxa"/>
      </w:tblCellMar>
    </w:tblPr>
  </w:style>
  <w:style w:type="paragraph" w:styleId="Prrafodelista">
    <w:name w:val="List Paragraph"/>
    <w:basedOn w:val="Normal"/>
    <w:uiPriority w:val="34"/>
    <w:qFormat/>
    <w:rsid w:val="00926A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mailto:emerino@llorenteycuenca.com" TargetMode="External"/><Relationship Id="rId10" Type="http://schemas.openxmlformats.org/officeDocument/2006/relationships/image" Target="media/image2.jpg"/><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prensa.fotocasa.es/subir-precios-y-buscar-inquilinos-solventes-medidas-de-los-propietarios-frente-a-la-limitacion-del-2/" TargetMode="External"/><Relationship Id="rId14" Type="http://schemas.openxmlformats.org/officeDocument/2006/relationships/hyperlink" Target="https://www.fotocasa.es/es/quienes-somos/" TargetMode="External"/><Relationship Id="rId22" Type="http://schemas.openxmlformats.org/officeDocument/2006/relationships/hyperlink" Target="mailto:rtorne@llorenteycuenc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8MDdQbZeAwTHOZJ60s6dsiCqAw==">CgMxLjAyCWguMnM4ZXlvMTgAciExb3JxNU43clJibzVKNGlBZUx3aHBCZmJrek44OGQtc24=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1010</Words>
  <Characters>5561</Characters>
  <Application>Microsoft Office Word</Application>
  <DocSecurity>0</DocSecurity>
  <Lines>46</Lines>
  <Paragraphs>13</Paragraphs>
  <ScaleCrop>false</ScaleCrop>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2024-04-23T19:51:00Z</dcterms:modified>
</cp:coreProperties>
</file>