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60B1EF" w14:textId="77777777" w:rsidR="00F33C16" w:rsidRDefault="00000000">
      <w:r>
        <w:t>—-------------------------------------------</w:t>
      </w:r>
      <w:r>
        <w:rPr>
          <w:noProof/>
        </w:rPr>
        <w:drawing>
          <wp:anchor distT="0" distB="0" distL="114300" distR="114300" simplePos="0" relativeHeight="251658240" behindDoc="0" locked="0" layoutInCell="1" hidden="0" allowOverlap="1" wp14:anchorId="133ABB6C" wp14:editId="4F34D348">
            <wp:simplePos x="0" y="0"/>
            <wp:positionH relativeFrom="column">
              <wp:posOffset>-1078859</wp:posOffset>
            </wp:positionH>
            <wp:positionV relativeFrom="paragraph">
              <wp:posOffset>-350447</wp:posOffset>
            </wp:positionV>
            <wp:extent cx="7581265" cy="1019175"/>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197146F" w14:textId="77777777" w:rsidR="00F33C16" w:rsidRDefault="00F33C16">
      <w:pPr>
        <w:jc w:val="right"/>
        <w:rPr>
          <w:rFonts w:ascii="National" w:eastAsia="National" w:hAnsi="National" w:cs="National"/>
          <w:color w:val="303AB2"/>
          <w:sz w:val="36"/>
          <w:szCs w:val="36"/>
        </w:rPr>
      </w:pPr>
    </w:p>
    <w:p w14:paraId="7BF7D4C4" w14:textId="77777777" w:rsidR="00F33C16" w:rsidRDefault="00F33C16">
      <w:pPr>
        <w:jc w:val="right"/>
        <w:rPr>
          <w:rFonts w:ascii="National" w:eastAsia="National" w:hAnsi="National" w:cs="National"/>
          <w:color w:val="303AB2"/>
          <w:sz w:val="36"/>
          <w:szCs w:val="36"/>
        </w:rPr>
      </w:pPr>
    </w:p>
    <w:p w14:paraId="6DAA595D" w14:textId="77777777" w:rsidR="00F33C16" w:rsidRDefault="00F33C16">
      <w:pPr>
        <w:rPr>
          <w:rFonts w:ascii="National" w:eastAsia="National" w:hAnsi="National" w:cs="National"/>
          <w:color w:val="303AB2"/>
          <w:sz w:val="18"/>
          <w:szCs w:val="18"/>
        </w:rPr>
      </w:pPr>
    </w:p>
    <w:p w14:paraId="3B332FDC" w14:textId="77777777" w:rsidR="00F33C16" w:rsidRDefault="00000000">
      <w:pPr>
        <w:spacing w:line="276" w:lineRule="auto"/>
        <w:jc w:val="center"/>
        <w:rPr>
          <w:rFonts w:ascii="National" w:eastAsia="National" w:hAnsi="National" w:cs="National"/>
          <w:b/>
          <w:color w:val="1DBDC5"/>
          <w:sz w:val="34"/>
          <w:szCs w:val="34"/>
        </w:rPr>
      </w:pPr>
      <w:r>
        <w:rPr>
          <w:rFonts w:ascii="National" w:eastAsia="National" w:hAnsi="National" w:cs="National"/>
          <w:b/>
          <w:color w:val="1DBDC5"/>
          <w:sz w:val="34"/>
          <w:szCs w:val="34"/>
        </w:rPr>
        <w:t>ANÁLISIS DEL MERCADO EN LA COMUNIDAD VALENCIANA</w:t>
      </w:r>
    </w:p>
    <w:p w14:paraId="35BFD421" w14:textId="5C5B251B" w:rsidR="00F33C16" w:rsidRDefault="00000000">
      <w:pPr>
        <w:jc w:val="center"/>
        <w:rPr>
          <w:rFonts w:ascii="National" w:eastAsia="National" w:hAnsi="National" w:cs="National"/>
          <w:b/>
          <w:color w:val="303AB2"/>
          <w:sz w:val="14"/>
          <w:szCs w:val="14"/>
        </w:rPr>
      </w:pPr>
      <w:r>
        <w:rPr>
          <w:rFonts w:ascii="National" w:eastAsia="National" w:hAnsi="National" w:cs="National"/>
          <w:b/>
          <w:color w:val="303AB2"/>
          <w:sz w:val="54"/>
          <w:szCs w:val="54"/>
        </w:rPr>
        <w:t xml:space="preserve">El alquiler supera el precio de la burbuja de 2007 en un </w:t>
      </w:r>
      <w:r w:rsidR="005E6389">
        <w:rPr>
          <w:rFonts w:ascii="National" w:eastAsia="National" w:hAnsi="National" w:cs="National"/>
          <w:b/>
          <w:color w:val="303AB2"/>
          <w:sz w:val="54"/>
          <w:szCs w:val="54"/>
        </w:rPr>
        <w:t>50</w:t>
      </w:r>
      <w:r>
        <w:rPr>
          <w:rFonts w:ascii="National" w:eastAsia="National" w:hAnsi="National" w:cs="National"/>
          <w:b/>
          <w:color w:val="303AB2"/>
          <w:sz w:val="54"/>
          <w:szCs w:val="54"/>
        </w:rPr>
        <w:t xml:space="preserve">% y la compra sube a doble dígito </w:t>
      </w:r>
    </w:p>
    <w:p w14:paraId="1B39BB39" w14:textId="77777777" w:rsidR="00F33C16" w:rsidRDefault="00F33C16">
      <w:pPr>
        <w:rPr>
          <w:rFonts w:ascii="National" w:eastAsia="National" w:hAnsi="National" w:cs="National"/>
          <w:b/>
          <w:color w:val="303AB2"/>
          <w:sz w:val="14"/>
          <w:szCs w:val="14"/>
        </w:rPr>
      </w:pPr>
    </w:p>
    <w:p w14:paraId="10D04D41" w14:textId="77777777" w:rsidR="00F33C16" w:rsidRDefault="00000000">
      <w:pPr>
        <w:numPr>
          <w:ilvl w:val="0"/>
          <w:numId w:val="1"/>
        </w:numPr>
        <w:spacing w:line="276" w:lineRule="auto"/>
        <w:ind w:right="4"/>
        <w:jc w:val="both"/>
        <w:rPr>
          <w:rFonts w:ascii="Open Sans" w:eastAsia="Open Sans" w:hAnsi="Open Sans" w:cs="Open Sans"/>
        </w:rPr>
      </w:pPr>
      <w:r>
        <w:rPr>
          <w:rFonts w:ascii="Open Sans" w:eastAsia="Open Sans" w:hAnsi="Open Sans" w:cs="Open Sans"/>
          <w:color w:val="303AB2"/>
        </w:rPr>
        <w:t>El precio del alquiler en la Comunidad Valenciana marca récord histórico en abril con 12,15 €/m² y eleva el precio de la renta media a 972 euros</w:t>
      </w:r>
    </w:p>
    <w:p w14:paraId="22307E66" w14:textId="77777777" w:rsidR="00F33C16" w:rsidRDefault="00000000">
      <w:pPr>
        <w:numPr>
          <w:ilvl w:val="0"/>
          <w:numId w:val="1"/>
        </w:numPr>
        <w:spacing w:line="276" w:lineRule="auto"/>
        <w:ind w:right="4"/>
        <w:jc w:val="both"/>
        <w:rPr>
          <w:rFonts w:ascii="Open Sans" w:eastAsia="Open Sans" w:hAnsi="Open Sans" w:cs="Open Sans"/>
        </w:rPr>
      </w:pPr>
      <w:r>
        <w:rPr>
          <w:rFonts w:ascii="Open Sans" w:eastAsia="Open Sans" w:hAnsi="Open Sans" w:cs="Open Sans"/>
          <w:color w:val="303AB2"/>
        </w:rPr>
        <w:t>Las subidas del precio del mercado de la compra (12,8%) y del mercado del alquiler (10,3%) en abril de 2024 superan el 10% interanual</w:t>
      </w:r>
    </w:p>
    <w:p w14:paraId="396DC2FB" w14:textId="77777777" w:rsidR="00F33C16" w:rsidRDefault="00000000">
      <w:pPr>
        <w:numPr>
          <w:ilvl w:val="0"/>
          <w:numId w:val="1"/>
        </w:numPr>
        <w:spacing w:line="276" w:lineRule="auto"/>
        <w:ind w:right="4"/>
        <w:jc w:val="both"/>
        <w:rPr>
          <w:rFonts w:ascii="Open Sans" w:eastAsia="Open Sans" w:hAnsi="Open Sans" w:cs="Open Sans"/>
        </w:rPr>
      </w:pPr>
      <w:r>
        <w:rPr>
          <w:rFonts w:ascii="Open Sans" w:eastAsia="Open Sans" w:hAnsi="Open Sans" w:cs="Open Sans"/>
          <w:color w:val="303AB2"/>
        </w:rPr>
        <w:t>La vivienda valenciana atraviesa una etapa de calentamiento en el que la elevada demanda y la escasa oferta provocan tensiones elevando precios</w:t>
      </w:r>
    </w:p>
    <w:p w14:paraId="42DDEC4D" w14:textId="77777777" w:rsidR="00F33C16" w:rsidRDefault="00F33C16">
      <w:pPr>
        <w:pBdr>
          <w:top w:val="nil"/>
          <w:left w:val="nil"/>
          <w:bottom w:val="nil"/>
          <w:right w:val="nil"/>
          <w:between w:val="nil"/>
        </w:pBdr>
        <w:spacing w:line="276" w:lineRule="auto"/>
        <w:ind w:left="720"/>
        <w:jc w:val="both"/>
        <w:rPr>
          <w:rFonts w:ascii="Open Sans Light" w:eastAsia="Open Sans Light" w:hAnsi="Open Sans Light" w:cs="Open Sans Light"/>
          <w:b/>
          <w:color w:val="303AB2"/>
          <w:sz w:val="22"/>
          <w:szCs w:val="22"/>
        </w:rPr>
      </w:pPr>
    </w:p>
    <w:p w14:paraId="56BF2CFF" w14:textId="77777777" w:rsidR="00F33C16"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Valencia, 08 de mayo de 2024</w:t>
      </w:r>
    </w:p>
    <w:p w14:paraId="7F2E2978" w14:textId="77777777" w:rsidR="00F33C16" w:rsidRDefault="00F33C16">
      <w:pPr>
        <w:pBdr>
          <w:top w:val="nil"/>
          <w:left w:val="nil"/>
          <w:bottom w:val="nil"/>
          <w:right w:val="nil"/>
          <w:between w:val="nil"/>
        </w:pBdr>
        <w:spacing w:line="276" w:lineRule="auto"/>
        <w:jc w:val="both"/>
        <w:rPr>
          <w:rFonts w:ascii="Open Sans Light" w:eastAsia="Open Sans Light" w:hAnsi="Open Sans Light" w:cs="Open Sans Light"/>
          <w:b/>
          <w:color w:val="303AB2"/>
          <w:sz w:val="22"/>
          <w:szCs w:val="22"/>
        </w:rPr>
      </w:pPr>
    </w:p>
    <w:p w14:paraId="28F9E3F2" w14:textId="77777777" w:rsidR="00F33C16" w:rsidRDefault="00000000">
      <w:pPr>
        <w:spacing w:line="276" w:lineRule="auto"/>
        <w:ind w:right="4"/>
        <w:jc w:val="both"/>
        <w:rPr>
          <w:rFonts w:ascii="Open Sans" w:eastAsia="Open Sans" w:hAnsi="Open Sans" w:cs="Open Sans"/>
        </w:rPr>
      </w:pPr>
      <w:r>
        <w:rPr>
          <w:rFonts w:ascii="Open Sans" w:eastAsia="Open Sans" w:hAnsi="Open Sans" w:cs="Open Sans"/>
        </w:rPr>
        <w:t xml:space="preserve">La comunidad autónoma de Valencia alcanza nuevamente el precio máximo del alquiler con 12,15€/m², la cifra más alta desde que el </w:t>
      </w:r>
      <w:hyperlink r:id="rId9">
        <w:r>
          <w:rPr>
            <w:rFonts w:ascii="Open Sans" w:eastAsia="Open Sans" w:hAnsi="Open Sans" w:cs="Open Sans"/>
            <w:color w:val="1155CC"/>
            <w:u w:val="single"/>
          </w:rPr>
          <w:t>índice Inmobiliario Fotocasa</w:t>
        </w:r>
      </w:hyperlink>
      <w:r>
        <w:rPr>
          <w:rFonts w:ascii="Open Sans" w:eastAsia="Open Sans" w:hAnsi="Open Sans" w:cs="Open Sans"/>
        </w:rPr>
        <w:t xml:space="preserve"> tiene registros hace 18 años. Por su parte, en el mercado de la compra continúan los incrementos de dos dígitos con una subida del 12,8% y el precio de la vivienda de segunda mano ya llega a los 1.835 euros, tras el año de mayor encarecimiento de su historia.</w:t>
      </w:r>
    </w:p>
    <w:p w14:paraId="15AA7E6D" w14:textId="77777777" w:rsidR="00F33C16" w:rsidRDefault="00F33C16">
      <w:pPr>
        <w:spacing w:line="276" w:lineRule="auto"/>
        <w:ind w:right="4"/>
        <w:jc w:val="both"/>
        <w:rPr>
          <w:rFonts w:ascii="Open Sans" w:eastAsia="Open Sans" w:hAnsi="Open Sans" w:cs="Open Sans"/>
        </w:rPr>
      </w:pPr>
    </w:p>
    <w:p w14:paraId="48C0E853" w14:textId="77777777" w:rsidR="00F33C16" w:rsidRDefault="00000000">
      <w:pPr>
        <w:spacing w:line="276" w:lineRule="auto"/>
        <w:ind w:right="-567"/>
        <w:jc w:val="both"/>
        <w:rPr>
          <w:rFonts w:ascii="Open Sans" w:eastAsia="Open Sans" w:hAnsi="Open Sans" w:cs="Open Sans"/>
        </w:rPr>
      </w:pPr>
      <w:r>
        <w:rPr>
          <w:rFonts w:ascii="Open Sans" w:eastAsia="Open Sans" w:hAnsi="Open Sans" w:cs="Open Sans"/>
          <w:b/>
          <w:color w:val="303AB2"/>
          <w:sz w:val="28"/>
          <w:szCs w:val="28"/>
        </w:rPr>
        <w:t>El precio del alquiler en la Comunidad de Valencia</w:t>
      </w:r>
    </w:p>
    <w:p w14:paraId="2B9D91FE" w14:textId="77777777" w:rsidR="00F33C16" w:rsidRDefault="00F33C16">
      <w:pPr>
        <w:spacing w:line="276" w:lineRule="auto"/>
        <w:ind w:right="4"/>
        <w:jc w:val="both"/>
        <w:rPr>
          <w:rFonts w:ascii="Open Sans" w:eastAsia="Open Sans" w:hAnsi="Open Sans" w:cs="Open Sans"/>
        </w:rPr>
      </w:pPr>
    </w:p>
    <w:p w14:paraId="56F68EF2" w14:textId="7B3D972E" w:rsidR="00F33C16" w:rsidRDefault="00000000">
      <w:pPr>
        <w:spacing w:line="276" w:lineRule="auto"/>
        <w:ind w:right="4"/>
        <w:jc w:val="both"/>
        <w:rPr>
          <w:rFonts w:ascii="Open Sans" w:eastAsia="Open Sans" w:hAnsi="Open Sans" w:cs="Open Sans"/>
        </w:rPr>
      </w:pPr>
      <w:r>
        <w:rPr>
          <w:rFonts w:ascii="Open Sans" w:eastAsia="Open Sans" w:hAnsi="Open Sans" w:cs="Open Sans"/>
        </w:rPr>
        <w:t xml:space="preserve">El precio de la vivienda en alquiler (12,15€/m²) </w:t>
      </w:r>
      <w:r>
        <w:rPr>
          <w:rFonts w:ascii="Open Sans" w:eastAsia="Open Sans" w:hAnsi="Open Sans" w:cs="Open Sans"/>
          <w:b/>
        </w:rPr>
        <w:t xml:space="preserve">se encuentra un </w:t>
      </w:r>
      <w:r w:rsidR="005E6389">
        <w:rPr>
          <w:rFonts w:ascii="Open Sans" w:eastAsia="Open Sans" w:hAnsi="Open Sans" w:cs="Open Sans"/>
          <w:b/>
        </w:rPr>
        <w:t>50</w:t>
      </w:r>
      <w:r>
        <w:rPr>
          <w:rFonts w:ascii="Open Sans" w:eastAsia="Open Sans" w:hAnsi="Open Sans" w:cs="Open Sans"/>
          <w:b/>
        </w:rPr>
        <w:t>% por encima del precio registrado durante la burbuja inmobiliaria de 2007</w:t>
      </w:r>
      <w:r>
        <w:rPr>
          <w:rFonts w:ascii="Open Sans" w:eastAsia="Open Sans" w:hAnsi="Open Sans" w:cs="Open Sans"/>
        </w:rPr>
        <w:t xml:space="preserve"> (8,82€/m²), cuando de manera unánime en toda España se alcanzaron los mayores precios en la serie histórica. </w:t>
      </w:r>
    </w:p>
    <w:p w14:paraId="4BD6B34E" w14:textId="77777777" w:rsidR="00F33C16" w:rsidRDefault="00F33C16">
      <w:pPr>
        <w:spacing w:line="276" w:lineRule="auto"/>
        <w:ind w:right="4"/>
        <w:jc w:val="both"/>
        <w:rPr>
          <w:rFonts w:ascii="Open Sans" w:eastAsia="Open Sans" w:hAnsi="Open Sans" w:cs="Open Sans"/>
        </w:rPr>
      </w:pPr>
    </w:p>
    <w:p w14:paraId="06A98591" w14:textId="77777777" w:rsidR="00F33C16" w:rsidRDefault="00000000">
      <w:pPr>
        <w:spacing w:line="276" w:lineRule="auto"/>
        <w:ind w:right="4"/>
        <w:jc w:val="both"/>
        <w:rPr>
          <w:rFonts w:ascii="Open Sans" w:eastAsia="Open Sans" w:hAnsi="Open Sans" w:cs="Open Sans"/>
        </w:rPr>
      </w:pPr>
      <w:r>
        <w:rPr>
          <w:rFonts w:ascii="Open Sans" w:eastAsia="Open Sans" w:hAnsi="Open Sans" w:cs="Open Sans"/>
        </w:rPr>
        <w:t xml:space="preserve">Este encarecimiento del coste del arrendamiento en la autonomía se ha acelerado de forma significativa en los dos últimos años. Concretamente, </w:t>
      </w:r>
      <w:r>
        <w:rPr>
          <w:rFonts w:ascii="Open Sans" w:eastAsia="Open Sans" w:hAnsi="Open Sans" w:cs="Open Sans"/>
          <w:b/>
        </w:rPr>
        <w:t>se cumplen 26 meses consecutivos de subidas interanuales en el precio del arrendamiento</w:t>
      </w:r>
      <w:r>
        <w:rPr>
          <w:rFonts w:ascii="Open Sans" w:eastAsia="Open Sans" w:hAnsi="Open Sans" w:cs="Open Sans"/>
        </w:rPr>
        <w:t xml:space="preserve"> </w:t>
      </w:r>
      <w:r>
        <w:rPr>
          <w:rFonts w:ascii="Open Sans" w:eastAsia="Open Sans" w:hAnsi="Open Sans" w:cs="Open Sans"/>
        </w:rPr>
        <w:lastRenderedPageBreak/>
        <w:t>valenciano. Los aumentos de dos dígitos se producen desde marzo de 2022, con un incremento del 12,5%, y se han llegado a alcanzar las mayores variaciones de hasta un 18,8%. En estos momentos el encarecimiento continúa siendo abultado, con una subida del 10,3% en abril de 2024.</w:t>
      </w:r>
    </w:p>
    <w:p w14:paraId="3075B111" w14:textId="77777777" w:rsidR="00F33C16" w:rsidRDefault="00F33C16">
      <w:pPr>
        <w:spacing w:line="276" w:lineRule="auto"/>
        <w:ind w:right="4"/>
        <w:jc w:val="both"/>
        <w:rPr>
          <w:rFonts w:ascii="Open Sans" w:eastAsia="Open Sans" w:hAnsi="Open Sans" w:cs="Open Sans"/>
        </w:rPr>
      </w:pPr>
    </w:p>
    <w:p w14:paraId="2E16A528" w14:textId="77777777" w:rsidR="00F33C16" w:rsidRDefault="00000000">
      <w:pPr>
        <w:spacing w:after="160" w:line="259" w:lineRule="auto"/>
        <w:rPr>
          <w:rFonts w:ascii="Open Sans" w:eastAsia="Open Sans" w:hAnsi="Open Sans" w:cs="Open Sans"/>
          <w:b/>
          <w:color w:val="303AB2"/>
          <w:sz w:val="26"/>
          <w:szCs w:val="26"/>
        </w:rPr>
      </w:pPr>
      <w:r>
        <w:rPr>
          <w:noProof/>
          <w:sz w:val="22"/>
          <w:szCs w:val="22"/>
        </w:rPr>
        <w:drawing>
          <wp:inline distT="0" distB="0" distL="0" distR="0" wp14:anchorId="389A6213" wp14:editId="15B1427B">
            <wp:extent cx="5928554" cy="3393317"/>
            <wp:effectExtent l="0" t="0" r="0" b="0"/>
            <wp:docPr id="1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l="4663" t="9084" r="3052" b="9474"/>
                    <a:stretch>
                      <a:fillRect/>
                    </a:stretch>
                  </pic:blipFill>
                  <pic:spPr>
                    <a:xfrm>
                      <a:off x="0" y="0"/>
                      <a:ext cx="5928554" cy="3393317"/>
                    </a:xfrm>
                    <a:prstGeom prst="rect">
                      <a:avLst/>
                    </a:prstGeom>
                    <a:ln/>
                  </pic:spPr>
                </pic:pic>
              </a:graphicData>
            </a:graphic>
          </wp:inline>
        </w:drawing>
      </w:r>
    </w:p>
    <w:p w14:paraId="35CAAA0D" w14:textId="77777777" w:rsidR="00F33C16" w:rsidRDefault="00F33C16">
      <w:pPr>
        <w:spacing w:line="276" w:lineRule="auto"/>
        <w:ind w:right="4"/>
        <w:jc w:val="both"/>
        <w:rPr>
          <w:rFonts w:ascii="Open Sans" w:eastAsia="Open Sans" w:hAnsi="Open Sans" w:cs="Open Sans"/>
        </w:rPr>
      </w:pPr>
    </w:p>
    <w:p w14:paraId="3AEA893E" w14:textId="77777777" w:rsidR="00F33C16" w:rsidRDefault="00000000">
      <w:pPr>
        <w:spacing w:line="276" w:lineRule="auto"/>
        <w:ind w:right="4"/>
        <w:jc w:val="both"/>
        <w:rPr>
          <w:rFonts w:ascii="Open Sans" w:eastAsia="Open Sans" w:hAnsi="Open Sans" w:cs="Open Sans"/>
        </w:rPr>
      </w:pPr>
      <w:r>
        <w:rPr>
          <w:rFonts w:ascii="Open Sans" w:eastAsia="Open Sans" w:hAnsi="Open Sans" w:cs="Open Sans"/>
        </w:rPr>
        <w:t xml:space="preserve">Sin embargo, la última subida de doble dígito (10,3%), perteneciente a abril de 2024, supone la variación menos acusada desde el inicio de la escalada en 2022. Esta </w:t>
      </w:r>
      <w:r>
        <w:rPr>
          <w:rFonts w:ascii="Open Sans" w:eastAsia="Open Sans" w:hAnsi="Open Sans" w:cs="Open Sans"/>
          <w:b/>
        </w:rPr>
        <w:t>tendencia de moderación se explica por la pérdida de actividad que se concentra en el mercado del alquiler</w:t>
      </w:r>
      <w:r>
        <w:rPr>
          <w:rFonts w:ascii="Open Sans" w:eastAsia="Open Sans" w:hAnsi="Open Sans" w:cs="Open Sans"/>
        </w:rPr>
        <w:t xml:space="preserve"> y, específicamente, desde el lado de la demanda efectiva, según el pulso de la demanda en la región recopilada por </w:t>
      </w:r>
      <w:hyperlink r:id="rId11">
        <w:r>
          <w:rPr>
            <w:rFonts w:ascii="Open Sans" w:eastAsia="Open Sans" w:hAnsi="Open Sans" w:cs="Open Sans"/>
            <w:color w:val="1155CC"/>
            <w:u w:val="single"/>
          </w:rPr>
          <w:t>Fotocasa Research</w:t>
        </w:r>
      </w:hyperlink>
      <w:r>
        <w:rPr>
          <w:rFonts w:ascii="Open Sans" w:eastAsia="Open Sans" w:hAnsi="Open Sans" w:cs="Open Sans"/>
        </w:rPr>
        <w:t>.</w:t>
      </w:r>
    </w:p>
    <w:p w14:paraId="529FE52A" w14:textId="77777777" w:rsidR="00F33C16" w:rsidRDefault="00F33C16">
      <w:pPr>
        <w:spacing w:line="276" w:lineRule="auto"/>
        <w:ind w:right="4"/>
        <w:jc w:val="both"/>
        <w:rPr>
          <w:rFonts w:ascii="Open Sans" w:eastAsia="Open Sans" w:hAnsi="Open Sans" w:cs="Open Sans"/>
        </w:rPr>
      </w:pPr>
    </w:p>
    <w:p w14:paraId="5B276DB3" w14:textId="77777777" w:rsidR="00F33C16" w:rsidRDefault="00000000">
      <w:pPr>
        <w:spacing w:line="276" w:lineRule="auto"/>
        <w:ind w:right="4"/>
        <w:jc w:val="both"/>
        <w:rPr>
          <w:rFonts w:ascii="Open Sans" w:eastAsia="Open Sans" w:hAnsi="Open Sans" w:cs="Open Sans"/>
        </w:rPr>
      </w:pPr>
      <w:r>
        <w:rPr>
          <w:rFonts w:ascii="Open Sans" w:eastAsia="Open Sans" w:hAnsi="Open Sans" w:cs="Open Sans"/>
        </w:rPr>
        <w:t xml:space="preserve">“Esto significa que menos inquilinos están interactuando con el alquiler, debido a los precios máximos de la comunidad, que impiden la accesibilidad a la vivienda en renta. Aun así, la moderación de la demanda es demasiado leve para que el mercado pueda equilibrar el desfase entre oferta y demanda. El año 2024 marca un hito en la reducción de la oferta de vivienda en más del 15%. El furor por vender, la fuga de las viviendas de alquiler de larga duración a los regímenes temporales, turísticos o de habitaciones han ocasionado que el stock esté en mínimos históricos”, comenta María Matos, directora de Estudios y portavoz de </w:t>
      </w:r>
      <w:hyperlink r:id="rId12">
        <w:r>
          <w:rPr>
            <w:rFonts w:ascii="Open Sans" w:eastAsia="Open Sans" w:hAnsi="Open Sans" w:cs="Open Sans"/>
            <w:color w:val="1155CC"/>
            <w:u w:val="single"/>
          </w:rPr>
          <w:t>Fotocasa</w:t>
        </w:r>
      </w:hyperlink>
      <w:r>
        <w:rPr>
          <w:rFonts w:ascii="Open Sans" w:eastAsia="Open Sans" w:hAnsi="Open Sans" w:cs="Open Sans"/>
        </w:rPr>
        <w:t xml:space="preserve">. </w:t>
      </w:r>
    </w:p>
    <w:p w14:paraId="12A84605" w14:textId="77777777" w:rsidR="00F33C16" w:rsidRDefault="00000000">
      <w:pPr>
        <w:spacing w:line="276" w:lineRule="auto"/>
        <w:ind w:right="-567"/>
        <w:jc w:val="both"/>
        <w:rPr>
          <w:rFonts w:ascii="Open Sans" w:eastAsia="Open Sans" w:hAnsi="Open Sans" w:cs="Open Sans"/>
          <w:b/>
          <w:color w:val="303AB2"/>
          <w:sz w:val="28"/>
          <w:szCs w:val="28"/>
        </w:rPr>
      </w:pPr>
      <w:r>
        <w:rPr>
          <w:rFonts w:ascii="Open Sans" w:eastAsia="Open Sans" w:hAnsi="Open Sans" w:cs="Open Sans"/>
          <w:b/>
          <w:color w:val="303AB2"/>
          <w:sz w:val="28"/>
          <w:szCs w:val="28"/>
        </w:rPr>
        <w:lastRenderedPageBreak/>
        <w:t>El precio de la compra en la Comunidad Valenciana</w:t>
      </w:r>
    </w:p>
    <w:p w14:paraId="5C92E70F" w14:textId="77777777" w:rsidR="00F33C16" w:rsidRDefault="00F33C16">
      <w:pPr>
        <w:spacing w:line="276" w:lineRule="auto"/>
        <w:ind w:right="-567"/>
        <w:jc w:val="both"/>
        <w:rPr>
          <w:rFonts w:ascii="Open Sans" w:eastAsia="Open Sans" w:hAnsi="Open Sans" w:cs="Open Sans"/>
          <w:b/>
          <w:color w:val="303AB2"/>
          <w:sz w:val="28"/>
          <w:szCs w:val="28"/>
        </w:rPr>
      </w:pPr>
    </w:p>
    <w:p w14:paraId="0AB721F7" w14:textId="77777777" w:rsidR="00F33C16" w:rsidRDefault="00000000">
      <w:pPr>
        <w:spacing w:line="276" w:lineRule="auto"/>
        <w:ind w:right="4"/>
        <w:jc w:val="both"/>
        <w:rPr>
          <w:rFonts w:ascii="Open Sans" w:eastAsia="Open Sans" w:hAnsi="Open Sans" w:cs="Open Sans"/>
        </w:rPr>
      </w:pPr>
      <w:r>
        <w:rPr>
          <w:rFonts w:ascii="Open Sans" w:eastAsia="Open Sans" w:hAnsi="Open Sans" w:cs="Open Sans"/>
        </w:rPr>
        <w:t xml:space="preserve">De igual modo, en el mercado de la compraventa el incremento interanual supera el 10%, al presentar un aumento del 12,8% y sitúa el precio por metro cuadrado en los 1.835 euros. Esta cifra sitúa </w:t>
      </w:r>
      <w:r>
        <w:rPr>
          <w:rFonts w:ascii="Open Sans" w:eastAsia="Open Sans" w:hAnsi="Open Sans" w:cs="Open Sans"/>
          <w:b/>
        </w:rPr>
        <w:t>el precio de una vivienda tipo de 80m² en la autonomía en 146.800 euros</w:t>
      </w:r>
      <w:r>
        <w:rPr>
          <w:rFonts w:ascii="Open Sans" w:eastAsia="Open Sans" w:hAnsi="Open Sans" w:cs="Open Sans"/>
        </w:rPr>
        <w:t>.</w:t>
      </w:r>
    </w:p>
    <w:p w14:paraId="2E9EA958" w14:textId="77777777" w:rsidR="00F33C16" w:rsidRDefault="00F33C16">
      <w:pPr>
        <w:spacing w:line="276" w:lineRule="auto"/>
        <w:ind w:right="4"/>
        <w:jc w:val="both"/>
        <w:rPr>
          <w:rFonts w:ascii="Open Sans" w:eastAsia="Open Sans" w:hAnsi="Open Sans" w:cs="Open Sans"/>
        </w:rPr>
      </w:pPr>
    </w:p>
    <w:p w14:paraId="17D359AE" w14:textId="77777777" w:rsidR="00F33C16" w:rsidRDefault="00000000">
      <w:pPr>
        <w:spacing w:line="276" w:lineRule="auto"/>
        <w:ind w:right="4"/>
        <w:jc w:val="both"/>
        <w:rPr>
          <w:rFonts w:ascii="Open Sans" w:eastAsia="Open Sans" w:hAnsi="Open Sans" w:cs="Open Sans"/>
        </w:rPr>
      </w:pPr>
      <w:r>
        <w:rPr>
          <w:rFonts w:ascii="Open Sans" w:eastAsia="Open Sans" w:hAnsi="Open Sans" w:cs="Open Sans"/>
        </w:rPr>
        <w:t xml:space="preserve">El mercado de la vivienda de segunda mano inició su encarecimiento coincidiendo con la primera subida de los tipos de interés en 2022 y el consecuente ascenso del Euríbor. Esta tendencia de aceleración del crecimiento cumple un año y cuatro meses consecutivos y </w:t>
      </w:r>
      <w:r>
        <w:rPr>
          <w:rFonts w:ascii="Open Sans" w:eastAsia="Open Sans" w:hAnsi="Open Sans" w:cs="Open Sans"/>
          <w:b/>
        </w:rPr>
        <w:t>supone el mayor ritmo de crecimiento de la vivienda en la Comunidad Valenciana de los últimos 17 años</w:t>
      </w:r>
      <w:r>
        <w:rPr>
          <w:rFonts w:ascii="Open Sans" w:eastAsia="Open Sans" w:hAnsi="Open Sans" w:cs="Open Sans"/>
        </w:rPr>
        <w:t>.</w:t>
      </w:r>
    </w:p>
    <w:p w14:paraId="22243158" w14:textId="77777777" w:rsidR="00F33C16" w:rsidRDefault="00F33C16">
      <w:pPr>
        <w:spacing w:line="276" w:lineRule="auto"/>
        <w:ind w:right="4"/>
        <w:jc w:val="both"/>
        <w:rPr>
          <w:rFonts w:ascii="Open Sans" w:eastAsia="Open Sans" w:hAnsi="Open Sans" w:cs="Open Sans"/>
        </w:rPr>
      </w:pPr>
    </w:p>
    <w:p w14:paraId="6185BB3C" w14:textId="77777777" w:rsidR="00F33C16" w:rsidRDefault="00000000">
      <w:pPr>
        <w:spacing w:after="160" w:line="259" w:lineRule="auto"/>
        <w:rPr>
          <w:rFonts w:ascii="Open Sans" w:eastAsia="Open Sans" w:hAnsi="Open Sans" w:cs="Open Sans"/>
        </w:rPr>
      </w:pPr>
      <w:r>
        <w:rPr>
          <w:noProof/>
          <w:sz w:val="22"/>
          <w:szCs w:val="22"/>
        </w:rPr>
        <w:drawing>
          <wp:inline distT="0" distB="0" distL="0" distR="0" wp14:anchorId="4C50186A" wp14:editId="37C56909">
            <wp:extent cx="5915978" cy="3423021"/>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l="4643" t="9133" r="3602" b="8951"/>
                    <a:stretch>
                      <a:fillRect/>
                    </a:stretch>
                  </pic:blipFill>
                  <pic:spPr>
                    <a:xfrm>
                      <a:off x="0" y="0"/>
                      <a:ext cx="5915978" cy="3423021"/>
                    </a:xfrm>
                    <a:prstGeom prst="rect">
                      <a:avLst/>
                    </a:prstGeom>
                    <a:ln/>
                  </pic:spPr>
                </pic:pic>
              </a:graphicData>
            </a:graphic>
          </wp:inline>
        </w:drawing>
      </w:r>
    </w:p>
    <w:p w14:paraId="626CC476" w14:textId="77777777" w:rsidR="00F33C16" w:rsidRDefault="00F33C16">
      <w:pPr>
        <w:spacing w:line="276" w:lineRule="auto"/>
        <w:ind w:right="4"/>
        <w:jc w:val="both"/>
        <w:rPr>
          <w:rFonts w:ascii="Open Sans" w:eastAsia="Open Sans" w:hAnsi="Open Sans" w:cs="Open Sans"/>
        </w:rPr>
      </w:pPr>
    </w:p>
    <w:p w14:paraId="01B9D0A4" w14:textId="77777777" w:rsidR="00F33C16" w:rsidRDefault="00000000">
      <w:pPr>
        <w:shd w:val="clear" w:color="auto" w:fill="FFFFFF"/>
        <w:spacing w:before="280" w:after="280" w:line="276" w:lineRule="auto"/>
        <w:jc w:val="both"/>
        <w:rPr>
          <w:rFonts w:ascii="Open Sans" w:eastAsia="Open Sans" w:hAnsi="Open Sans" w:cs="Open Sans"/>
        </w:rPr>
      </w:pPr>
      <w:r>
        <w:rPr>
          <w:rFonts w:ascii="Open Sans" w:eastAsia="Open Sans" w:hAnsi="Open Sans" w:cs="Open Sans"/>
        </w:rPr>
        <w:t xml:space="preserve">“Nunca habíamos detectado un incremento del precio tan abultado durante un periodo tan largo. Esta subida nos devuelve a niveles de 2006, previos a la burbuja inmobiliaria cuando el coste de la vivienda sufrió un gran calentamiento. Estos incrementos tan significativos, coinciden con el cambio de política monetaria de la subida de tipos de interés por parte del BCE. Esto ha provocado el auge de la demanda de compra extranjera, que la local se ha especializado y se focaliza en muchos casos en la compra para inversión. Una situación que complica el acceso </w:t>
      </w:r>
      <w:r>
        <w:rPr>
          <w:rFonts w:ascii="Open Sans" w:eastAsia="Open Sans" w:hAnsi="Open Sans" w:cs="Open Sans"/>
        </w:rPr>
        <w:lastRenderedPageBreak/>
        <w:t xml:space="preserve">a la vivienda, ya que la región prácticamente no cuenta con stock de vivienda social pública, lo que agrava todavía más las dificultades”, comenta María Matos, directora de Estudios y Portavoz de </w:t>
      </w:r>
      <w:hyperlink r:id="rId14">
        <w:r>
          <w:rPr>
            <w:rFonts w:ascii="Open Sans" w:eastAsia="Open Sans" w:hAnsi="Open Sans" w:cs="Open Sans"/>
            <w:color w:val="1155CC"/>
            <w:u w:val="single"/>
          </w:rPr>
          <w:t>Fotocasa</w:t>
        </w:r>
      </w:hyperlink>
      <w:r>
        <w:rPr>
          <w:rFonts w:ascii="Open Sans" w:eastAsia="Open Sans" w:hAnsi="Open Sans" w:cs="Open Sans"/>
        </w:rPr>
        <w:t>.</w:t>
      </w:r>
    </w:p>
    <w:p w14:paraId="5085DB06" w14:textId="77777777" w:rsidR="00F33C16" w:rsidRDefault="00F33C16">
      <w:pPr>
        <w:spacing w:line="276" w:lineRule="auto"/>
        <w:ind w:right="-567"/>
        <w:jc w:val="both"/>
        <w:rPr>
          <w:rFonts w:ascii="Open Sans" w:eastAsia="Open Sans" w:hAnsi="Open Sans" w:cs="Open Sans"/>
          <w:b/>
          <w:color w:val="303AB2"/>
          <w:sz w:val="28"/>
          <w:szCs w:val="28"/>
        </w:rPr>
      </w:pPr>
    </w:p>
    <w:p w14:paraId="3A305EE8" w14:textId="77777777" w:rsidR="00F33C16" w:rsidRDefault="00000000">
      <w:pPr>
        <w:spacing w:line="276" w:lineRule="auto"/>
        <w:ind w:right="-567"/>
        <w:jc w:val="both"/>
        <w:rPr>
          <w:rFonts w:ascii="Open Sans" w:eastAsia="Open Sans" w:hAnsi="Open Sans" w:cs="Open Sans"/>
          <w:b/>
          <w:color w:val="303AB2"/>
          <w:sz w:val="28"/>
          <w:szCs w:val="28"/>
        </w:rPr>
      </w:pPr>
      <w:r>
        <w:rPr>
          <w:rFonts w:ascii="Open Sans" w:eastAsia="Open Sans" w:hAnsi="Open Sans" w:cs="Open Sans"/>
          <w:b/>
          <w:color w:val="303AB2"/>
          <w:sz w:val="28"/>
          <w:szCs w:val="28"/>
        </w:rPr>
        <w:t>Situación del precio de la vivienda en cada provincia</w:t>
      </w:r>
    </w:p>
    <w:p w14:paraId="6CB5C012" w14:textId="77777777" w:rsidR="00F33C16" w:rsidRDefault="00F33C16">
      <w:pPr>
        <w:spacing w:line="276" w:lineRule="auto"/>
        <w:ind w:right="-567"/>
        <w:jc w:val="both"/>
        <w:rPr>
          <w:rFonts w:ascii="Open Sans" w:eastAsia="Open Sans" w:hAnsi="Open Sans" w:cs="Open Sans"/>
          <w:b/>
          <w:color w:val="303AB2"/>
          <w:sz w:val="28"/>
          <w:szCs w:val="28"/>
        </w:rPr>
      </w:pPr>
    </w:p>
    <w:p w14:paraId="139671EC" w14:textId="77777777" w:rsidR="00F33C16" w:rsidRDefault="00000000">
      <w:pPr>
        <w:spacing w:line="276" w:lineRule="auto"/>
        <w:ind w:right="4"/>
        <w:jc w:val="both"/>
        <w:rPr>
          <w:rFonts w:ascii="Open Sans" w:eastAsia="Open Sans" w:hAnsi="Open Sans" w:cs="Open Sans"/>
        </w:rPr>
      </w:pPr>
      <w:r>
        <w:rPr>
          <w:rFonts w:ascii="Open Sans" w:eastAsia="Open Sans" w:hAnsi="Open Sans" w:cs="Open Sans"/>
        </w:rPr>
        <w:t xml:space="preserve">Una tendencia similar muestran las capitales de provincia de la región en el mercado del alquiler. Todas las localidades </w:t>
      </w:r>
      <w:r>
        <w:rPr>
          <w:rFonts w:ascii="Open Sans" w:eastAsia="Open Sans" w:hAnsi="Open Sans" w:cs="Open Sans"/>
          <w:b/>
        </w:rPr>
        <w:t>superan el precio registrado en 2007 y en estos momentos presentan aumentos significativos</w:t>
      </w:r>
      <w:r>
        <w:rPr>
          <w:rFonts w:ascii="Open Sans" w:eastAsia="Open Sans" w:hAnsi="Open Sans" w:cs="Open Sans"/>
        </w:rPr>
        <w:t xml:space="preserve">. La capital que más crece es Valencia con una variación del 11,4% interanual, seguida de Castellón que bate su récord de precio (8,82€/m²) con una subida del 7,6% y por último, Alicante que muestra un incremento del 5,9%. </w:t>
      </w:r>
    </w:p>
    <w:p w14:paraId="0D9D161F" w14:textId="77777777" w:rsidR="00F33C16" w:rsidRDefault="00F33C16">
      <w:pPr>
        <w:spacing w:line="276" w:lineRule="auto"/>
        <w:ind w:right="4"/>
        <w:jc w:val="both"/>
        <w:rPr>
          <w:rFonts w:ascii="Open Sans" w:eastAsia="Open Sans" w:hAnsi="Open Sans" w:cs="Open Sans"/>
        </w:rPr>
      </w:pPr>
      <w:bookmarkStart w:id="0" w:name="_heading=h.4xd4vbxynavl" w:colFirst="0" w:colLast="0"/>
      <w:bookmarkEnd w:id="0"/>
    </w:p>
    <w:tbl>
      <w:tblPr>
        <w:tblStyle w:val="a3"/>
        <w:tblW w:w="9087"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1636"/>
        <w:gridCol w:w="1422"/>
        <w:gridCol w:w="1473"/>
        <w:gridCol w:w="1413"/>
        <w:gridCol w:w="1294"/>
        <w:gridCol w:w="1849"/>
      </w:tblGrid>
      <w:tr w:rsidR="00F33C16" w14:paraId="52ED6238" w14:textId="77777777" w:rsidTr="00F33C16">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636" w:type="dxa"/>
            <w:shd w:val="clear" w:color="auto" w:fill="1DBDC5"/>
          </w:tcPr>
          <w:p w14:paraId="5E665D41" w14:textId="77777777" w:rsidR="00F33C16" w:rsidRDefault="00000000">
            <w:pPr>
              <w:rPr>
                <w:rFonts w:ascii="Open Sans" w:eastAsia="Open Sans" w:hAnsi="Open Sans" w:cs="Open Sans"/>
                <w:sz w:val="22"/>
                <w:szCs w:val="22"/>
              </w:rPr>
            </w:pPr>
            <w:r>
              <w:rPr>
                <w:rFonts w:ascii="Open Sans" w:eastAsia="Open Sans" w:hAnsi="Open Sans" w:cs="Open Sans"/>
                <w:sz w:val="22"/>
                <w:szCs w:val="22"/>
              </w:rPr>
              <w:t xml:space="preserve">   ALQUILER</w:t>
            </w:r>
          </w:p>
        </w:tc>
        <w:tc>
          <w:tcPr>
            <w:tcW w:w="1422" w:type="dxa"/>
            <w:shd w:val="clear" w:color="auto" w:fill="1DBDC5"/>
          </w:tcPr>
          <w:p w14:paraId="18147715" w14:textId="77777777" w:rsidR="00F33C1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Abril 2024</w:t>
            </w:r>
          </w:p>
          <w:p w14:paraId="64292CC1" w14:textId="77777777" w:rsidR="00F33C1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(euros/m²)</w:t>
            </w:r>
          </w:p>
        </w:tc>
        <w:tc>
          <w:tcPr>
            <w:tcW w:w="1473" w:type="dxa"/>
            <w:shd w:val="clear" w:color="auto" w:fill="1DBDC5"/>
          </w:tcPr>
          <w:p w14:paraId="1AA6D6EF" w14:textId="77777777" w:rsidR="00F33C1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Variación interanual</w:t>
            </w:r>
          </w:p>
        </w:tc>
        <w:tc>
          <w:tcPr>
            <w:tcW w:w="1413" w:type="dxa"/>
            <w:shd w:val="clear" w:color="auto" w:fill="1DBDC5"/>
          </w:tcPr>
          <w:p w14:paraId="0D905B1B" w14:textId="77777777" w:rsidR="00F33C1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Mes valor máximo</w:t>
            </w:r>
          </w:p>
        </w:tc>
        <w:tc>
          <w:tcPr>
            <w:tcW w:w="1294" w:type="dxa"/>
            <w:shd w:val="clear" w:color="auto" w:fill="1DBDC5"/>
          </w:tcPr>
          <w:p w14:paraId="7603CAD6" w14:textId="77777777" w:rsidR="00F33C1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Precio 2007</w:t>
            </w:r>
          </w:p>
        </w:tc>
        <w:tc>
          <w:tcPr>
            <w:tcW w:w="1849" w:type="dxa"/>
            <w:shd w:val="clear" w:color="auto" w:fill="1DBDC5"/>
          </w:tcPr>
          <w:p w14:paraId="0A895E25" w14:textId="77777777" w:rsidR="00F33C1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Acumulativo 2007 vs. 2024</w:t>
            </w:r>
          </w:p>
        </w:tc>
      </w:tr>
      <w:tr w:rsidR="00F33C16" w14:paraId="7A7A7FF8" w14:textId="77777777" w:rsidTr="00F33C16">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636" w:type="dxa"/>
            <w:shd w:val="clear" w:color="auto" w:fill="1DBDC5"/>
            <w:vAlign w:val="bottom"/>
          </w:tcPr>
          <w:p w14:paraId="77DDE1B2" w14:textId="77777777" w:rsidR="00F33C16" w:rsidRDefault="00000000">
            <w:pPr>
              <w:rPr>
                <w:rFonts w:ascii="Open Sans" w:eastAsia="Open Sans" w:hAnsi="Open Sans" w:cs="Open Sans"/>
                <w:sz w:val="22"/>
                <w:szCs w:val="22"/>
              </w:rPr>
            </w:pPr>
            <w:r>
              <w:rPr>
                <w:rFonts w:ascii="Open Sans" w:eastAsia="Open Sans" w:hAnsi="Open Sans" w:cs="Open Sans"/>
                <w:sz w:val="22"/>
                <w:szCs w:val="22"/>
              </w:rPr>
              <w:t>Valencia</w:t>
            </w:r>
          </w:p>
        </w:tc>
        <w:tc>
          <w:tcPr>
            <w:tcW w:w="1422" w:type="dxa"/>
            <w:vAlign w:val="bottom"/>
          </w:tcPr>
          <w:p w14:paraId="16286453" w14:textId="77777777" w:rsidR="00F33C1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14,56 €</w:t>
            </w:r>
          </w:p>
        </w:tc>
        <w:tc>
          <w:tcPr>
            <w:tcW w:w="1473" w:type="dxa"/>
            <w:vAlign w:val="bottom"/>
          </w:tcPr>
          <w:p w14:paraId="269D84F8" w14:textId="77777777" w:rsidR="00F33C1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11,4%</w:t>
            </w:r>
          </w:p>
        </w:tc>
        <w:tc>
          <w:tcPr>
            <w:tcW w:w="1413" w:type="dxa"/>
            <w:vAlign w:val="bottom"/>
          </w:tcPr>
          <w:p w14:paraId="0402D625" w14:textId="77777777" w:rsidR="00F33C1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oct-23</w:t>
            </w:r>
          </w:p>
        </w:tc>
        <w:tc>
          <w:tcPr>
            <w:tcW w:w="1294" w:type="dxa"/>
            <w:vAlign w:val="bottom"/>
          </w:tcPr>
          <w:p w14:paraId="7BDDF7D2" w14:textId="77777777" w:rsidR="00F33C1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8,24 €</w:t>
            </w:r>
          </w:p>
        </w:tc>
        <w:tc>
          <w:tcPr>
            <w:tcW w:w="1849" w:type="dxa"/>
            <w:vAlign w:val="bottom"/>
          </w:tcPr>
          <w:p w14:paraId="0D791DD7" w14:textId="77777777" w:rsidR="00F33C1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65%</w:t>
            </w:r>
          </w:p>
        </w:tc>
      </w:tr>
      <w:tr w:rsidR="00F33C16" w14:paraId="67D754A4" w14:textId="77777777" w:rsidTr="00F33C16">
        <w:trPr>
          <w:trHeight w:val="197"/>
        </w:trPr>
        <w:tc>
          <w:tcPr>
            <w:cnfStyle w:val="001000000000" w:firstRow="0" w:lastRow="0" w:firstColumn="1" w:lastColumn="0" w:oddVBand="0" w:evenVBand="0" w:oddHBand="0" w:evenHBand="0" w:firstRowFirstColumn="0" w:firstRowLastColumn="0" w:lastRowFirstColumn="0" w:lastRowLastColumn="0"/>
            <w:tcW w:w="1636" w:type="dxa"/>
            <w:shd w:val="clear" w:color="auto" w:fill="1DBDC5"/>
            <w:vAlign w:val="bottom"/>
          </w:tcPr>
          <w:p w14:paraId="488C3625" w14:textId="77777777" w:rsidR="00F33C16" w:rsidRDefault="00000000">
            <w:pPr>
              <w:rPr>
                <w:rFonts w:ascii="Open Sans" w:eastAsia="Open Sans" w:hAnsi="Open Sans" w:cs="Open Sans"/>
                <w:sz w:val="22"/>
                <w:szCs w:val="22"/>
              </w:rPr>
            </w:pPr>
            <w:r>
              <w:rPr>
                <w:rFonts w:ascii="Open Sans" w:eastAsia="Open Sans" w:hAnsi="Open Sans" w:cs="Open Sans"/>
                <w:sz w:val="22"/>
                <w:szCs w:val="22"/>
              </w:rPr>
              <w:t>Alicante</w:t>
            </w:r>
          </w:p>
        </w:tc>
        <w:tc>
          <w:tcPr>
            <w:tcW w:w="1422" w:type="dxa"/>
            <w:vAlign w:val="bottom"/>
          </w:tcPr>
          <w:p w14:paraId="4605F665" w14:textId="77777777" w:rsidR="00F33C1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12,38 €</w:t>
            </w:r>
          </w:p>
        </w:tc>
        <w:tc>
          <w:tcPr>
            <w:tcW w:w="1473" w:type="dxa"/>
            <w:vAlign w:val="bottom"/>
          </w:tcPr>
          <w:p w14:paraId="6DCA4912" w14:textId="77777777" w:rsidR="00F33C1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5,9%</w:t>
            </w:r>
          </w:p>
        </w:tc>
        <w:tc>
          <w:tcPr>
            <w:tcW w:w="1413" w:type="dxa"/>
            <w:vAlign w:val="bottom"/>
          </w:tcPr>
          <w:p w14:paraId="04622337" w14:textId="77777777" w:rsidR="00F33C1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jul-23</w:t>
            </w:r>
          </w:p>
        </w:tc>
        <w:tc>
          <w:tcPr>
            <w:tcW w:w="1294" w:type="dxa"/>
            <w:vAlign w:val="bottom"/>
          </w:tcPr>
          <w:p w14:paraId="43EDA935" w14:textId="77777777" w:rsidR="00F33C1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7,84 €</w:t>
            </w:r>
          </w:p>
        </w:tc>
        <w:tc>
          <w:tcPr>
            <w:tcW w:w="1849" w:type="dxa"/>
            <w:vAlign w:val="bottom"/>
          </w:tcPr>
          <w:p w14:paraId="0F8120E3" w14:textId="77777777" w:rsidR="00F33C1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58%</w:t>
            </w:r>
          </w:p>
        </w:tc>
      </w:tr>
      <w:tr w:rsidR="00F33C16" w14:paraId="7D91CA4C" w14:textId="77777777" w:rsidTr="00F33C16">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636" w:type="dxa"/>
            <w:shd w:val="clear" w:color="auto" w:fill="1DBDC5"/>
            <w:vAlign w:val="bottom"/>
          </w:tcPr>
          <w:p w14:paraId="4AD70FEA" w14:textId="77777777" w:rsidR="00F33C16" w:rsidRDefault="00000000">
            <w:pPr>
              <w:rPr>
                <w:rFonts w:ascii="Open Sans" w:eastAsia="Open Sans" w:hAnsi="Open Sans" w:cs="Open Sans"/>
                <w:sz w:val="22"/>
                <w:szCs w:val="22"/>
              </w:rPr>
            </w:pPr>
            <w:r>
              <w:rPr>
                <w:rFonts w:ascii="Open Sans" w:eastAsia="Open Sans" w:hAnsi="Open Sans" w:cs="Open Sans"/>
                <w:sz w:val="22"/>
                <w:szCs w:val="22"/>
              </w:rPr>
              <w:t>Castellón</w:t>
            </w:r>
          </w:p>
        </w:tc>
        <w:tc>
          <w:tcPr>
            <w:tcW w:w="1422" w:type="dxa"/>
            <w:vAlign w:val="bottom"/>
          </w:tcPr>
          <w:p w14:paraId="378A52E8" w14:textId="77777777" w:rsidR="00F33C1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8,82 €</w:t>
            </w:r>
          </w:p>
        </w:tc>
        <w:tc>
          <w:tcPr>
            <w:tcW w:w="1473" w:type="dxa"/>
            <w:vAlign w:val="bottom"/>
          </w:tcPr>
          <w:p w14:paraId="509B7262" w14:textId="77777777" w:rsidR="00F33C1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7,6%</w:t>
            </w:r>
          </w:p>
        </w:tc>
        <w:tc>
          <w:tcPr>
            <w:tcW w:w="1413" w:type="dxa"/>
            <w:vAlign w:val="bottom"/>
          </w:tcPr>
          <w:p w14:paraId="76800D37" w14:textId="77777777" w:rsidR="00F33C1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abr-24</w:t>
            </w:r>
          </w:p>
        </w:tc>
        <w:tc>
          <w:tcPr>
            <w:tcW w:w="1294" w:type="dxa"/>
            <w:vAlign w:val="bottom"/>
          </w:tcPr>
          <w:p w14:paraId="2987DB3C" w14:textId="77777777" w:rsidR="00F33C1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8,12 €</w:t>
            </w:r>
          </w:p>
        </w:tc>
        <w:tc>
          <w:tcPr>
            <w:tcW w:w="1849" w:type="dxa"/>
            <w:vAlign w:val="bottom"/>
          </w:tcPr>
          <w:p w14:paraId="5BF26822" w14:textId="77777777" w:rsidR="00F33C1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w:t>
            </w:r>
          </w:p>
        </w:tc>
      </w:tr>
    </w:tbl>
    <w:p w14:paraId="5D0ABFAB" w14:textId="77777777" w:rsidR="00F33C16" w:rsidRDefault="00F33C16">
      <w:pPr>
        <w:spacing w:line="276" w:lineRule="auto"/>
        <w:ind w:right="4"/>
        <w:jc w:val="center"/>
        <w:rPr>
          <w:rFonts w:ascii="Open Sans Light" w:eastAsia="Open Sans Light" w:hAnsi="Open Sans Light" w:cs="Open Sans Light"/>
          <w:b/>
          <w:color w:val="303AB2"/>
          <w:sz w:val="22"/>
          <w:szCs w:val="22"/>
        </w:rPr>
      </w:pPr>
    </w:p>
    <w:p w14:paraId="0067D8EB" w14:textId="77777777" w:rsidR="00F33C16" w:rsidRDefault="00000000">
      <w:pPr>
        <w:spacing w:line="276" w:lineRule="auto"/>
        <w:ind w:right="4"/>
        <w:jc w:val="center"/>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Comparativa evolución precio ALQUILER entre Alicante, Valencia y Castellón</w:t>
      </w:r>
    </w:p>
    <w:p w14:paraId="2AF96206" w14:textId="77777777" w:rsidR="00F33C16" w:rsidRDefault="00000000">
      <w:pPr>
        <w:spacing w:line="276" w:lineRule="auto"/>
        <w:ind w:right="4"/>
        <w:rPr>
          <w:rFonts w:ascii="Open Sans Light" w:eastAsia="Open Sans Light" w:hAnsi="Open Sans Light" w:cs="Open Sans Light"/>
          <w:b/>
          <w:color w:val="303AB2"/>
          <w:sz w:val="22"/>
          <w:szCs w:val="22"/>
        </w:rPr>
      </w:pPr>
      <w:r>
        <w:rPr>
          <w:rFonts w:ascii="Open Sans" w:eastAsia="Open Sans" w:hAnsi="Open Sans" w:cs="Open Sans"/>
          <w:noProof/>
        </w:rPr>
        <w:drawing>
          <wp:inline distT="114300" distB="114300" distL="114300" distR="114300" wp14:anchorId="2B5B3F89" wp14:editId="66A12643">
            <wp:extent cx="5764220" cy="2692400"/>
            <wp:effectExtent l="0" t="0" r="0" b="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l="2116" t="27280" r="2420" b="5941"/>
                    <a:stretch>
                      <a:fillRect/>
                    </a:stretch>
                  </pic:blipFill>
                  <pic:spPr>
                    <a:xfrm>
                      <a:off x="0" y="0"/>
                      <a:ext cx="5764220" cy="2692400"/>
                    </a:xfrm>
                    <a:prstGeom prst="rect">
                      <a:avLst/>
                    </a:prstGeom>
                    <a:ln/>
                  </pic:spPr>
                </pic:pic>
              </a:graphicData>
            </a:graphic>
          </wp:inline>
        </w:drawing>
      </w:r>
    </w:p>
    <w:p w14:paraId="3C3251EE" w14:textId="77777777" w:rsidR="00F33C16" w:rsidRDefault="00F33C16">
      <w:pPr>
        <w:spacing w:line="276" w:lineRule="auto"/>
        <w:ind w:right="4"/>
        <w:jc w:val="both"/>
        <w:rPr>
          <w:rFonts w:ascii="Open Sans" w:eastAsia="Open Sans" w:hAnsi="Open Sans" w:cs="Open Sans"/>
        </w:rPr>
      </w:pPr>
    </w:p>
    <w:p w14:paraId="717DDFD7" w14:textId="77777777" w:rsidR="00F33C16" w:rsidRDefault="00000000">
      <w:pPr>
        <w:spacing w:line="276" w:lineRule="auto"/>
        <w:ind w:right="4"/>
        <w:jc w:val="both"/>
        <w:rPr>
          <w:rFonts w:ascii="Open Sans" w:eastAsia="Open Sans" w:hAnsi="Open Sans" w:cs="Open Sans"/>
        </w:rPr>
      </w:pPr>
      <w:r>
        <w:rPr>
          <w:rFonts w:ascii="Open Sans" w:eastAsia="Open Sans" w:hAnsi="Open Sans" w:cs="Open Sans"/>
        </w:rPr>
        <w:t xml:space="preserve">En el mercado de la compraventa la tendencia también es de calentamiento. Se observa que la provincia de </w:t>
      </w:r>
      <w:r>
        <w:rPr>
          <w:rFonts w:ascii="Open Sans" w:eastAsia="Open Sans" w:hAnsi="Open Sans" w:cs="Open Sans"/>
          <w:b/>
        </w:rPr>
        <w:t>Alicante ya ha alcanzado de nuevo el precio de la burbuja de 2007 superándolo en un 6%. Por su lado, Valencia se sitúa a un escaso 7% de volver a marcar su precio máximo</w:t>
      </w:r>
      <w:r>
        <w:rPr>
          <w:rFonts w:ascii="Open Sans" w:eastAsia="Open Sans" w:hAnsi="Open Sans" w:cs="Open Sans"/>
        </w:rPr>
        <w:t xml:space="preserve"> después de 17 años. La única </w:t>
      </w:r>
      <w:r>
        <w:rPr>
          <w:rFonts w:ascii="Open Sans" w:eastAsia="Open Sans" w:hAnsi="Open Sans" w:cs="Open Sans"/>
        </w:rPr>
        <w:lastRenderedPageBreak/>
        <w:t>que se mantiene en niveles de precio todavía saludables es Castellón, a una distancia de 43% de su anterior mayor precio. Los aumentos a nivel interanual tanto de Valencia como de Alicante reflejan un encarecimiento del precio muy abultado en ambas provincias.</w:t>
      </w:r>
    </w:p>
    <w:p w14:paraId="050126C8" w14:textId="77777777" w:rsidR="00F33C16" w:rsidRDefault="00000000">
      <w:pPr>
        <w:spacing w:line="276" w:lineRule="auto"/>
        <w:ind w:right="4"/>
        <w:jc w:val="both"/>
        <w:rPr>
          <w:rFonts w:ascii="Open Sans Light" w:eastAsia="Open Sans Light" w:hAnsi="Open Sans Light" w:cs="Open Sans Light"/>
          <w:b/>
          <w:color w:val="303AB2"/>
        </w:rPr>
      </w:pPr>
      <w:r>
        <w:rPr>
          <w:rFonts w:ascii="Open Sans" w:eastAsia="Open Sans" w:hAnsi="Open Sans" w:cs="Open Sans"/>
        </w:rPr>
        <w:t xml:space="preserve"> </w:t>
      </w:r>
    </w:p>
    <w:tbl>
      <w:tblPr>
        <w:tblStyle w:val="a4"/>
        <w:tblW w:w="9150"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1590"/>
        <w:gridCol w:w="1410"/>
        <w:gridCol w:w="1500"/>
        <w:gridCol w:w="1515"/>
        <w:gridCol w:w="1185"/>
        <w:gridCol w:w="1950"/>
      </w:tblGrid>
      <w:tr w:rsidR="00F33C16" w14:paraId="0B9548CC" w14:textId="77777777" w:rsidTr="00F33C16">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590" w:type="dxa"/>
            <w:shd w:val="clear" w:color="auto" w:fill="1DBDC5"/>
          </w:tcPr>
          <w:p w14:paraId="18397AE2" w14:textId="77777777" w:rsidR="00F33C16" w:rsidRDefault="00000000">
            <w:pPr>
              <w:rPr>
                <w:rFonts w:ascii="Open Sans" w:eastAsia="Open Sans" w:hAnsi="Open Sans" w:cs="Open Sans"/>
                <w:sz w:val="20"/>
                <w:szCs w:val="20"/>
              </w:rPr>
            </w:pPr>
            <w:r>
              <w:rPr>
                <w:rFonts w:ascii="Open Sans" w:eastAsia="Open Sans" w:hAnsi="Open Sans" w:cs="Open Sans"/>
                <w:sz w:val="22"/>
                <w:szCs w:val="22"/>
              </w:rPr>
              <w:t xml:space="preserve">  VENTA</w:t>
            </w:r>
          </w:p>
        </w:tc>
        <w:tc>
          <w:tcPr>
            <w:tcW w:w="1410" w:type="dxa"/>
            <w:shd w:val="clear" w:color="auto" w:fill="1DBDC5"/>
          </w:tcPr>
          <w:p w14:paraId="702BFABA" w14:textId="77777777" w:rsidR="00F33C1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Abril 2024</w:t>
            </w:r>
          </w:p>
          <w:p w14:paraId="623EAE79" w14:textId="77777777" w:rsidR="00F33C1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(euros/m²)</w:t>
            </w:r>
          </w:p>
        </w:tc>
        <w:tc>
          <w:tcPr>
            <w:tcW w:w="1500" w:type="dxa"/>
            <w:shd w:val="clear" w:color="auto" w:fill="1DBDC5"/>
          </w:tcPr>
          <w:p w14:paraId="19B8505F" w14:textId="77777777" w:rsidR="00F33C1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Variación interanual</w:t>
            </w:r>
          </w:p>
        </w:tc>
        <w:tc>
          <w:tcPr>
            <w:tcW w:w="1515" w:type="dxa"/>
            <w:shd w:val="clear" w:color="auto" w:fill="1DBDC5"/>
          </w:tcPr>
          <w:p w14:paraId="4EEFFC04" w14:textId="77777777" w:rsidR="00F33C1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Mes valor máximo</w:t>
            </w:r>
          </w:p>
        </w:tc>
        <w:tc>
          <w:tcPr>
            <w:tcW w:w="1185" w:type="dxa"/>
            <w:shd w:val="clear" w:color="auto" w:fill="1DBDC5"/>
          </w:tcPr>
          <w:p w14:paraId="67A4056F" w14:textId="77777777" w:rsidR="00F33C1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Precio 2007</w:t>
            </w:r>
          </w:p>
        </w:tc>
        <w:tc>
          <w:tcPr>
            <w:tcW w:w="1950" w:type="dxa"/>
            <w:shd w:val="clear" w:color="auto" w:fill="1DBDC5"/>
          </w:tcPr>
          <w:p w14:paraId="1A716751" w14:textId="77777777" w:rsidR="00F33C1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Acumulativo 2007 vs. 2024</w:t>
            </w:r>
          </w:p>
        </w:tc>
      </w:tr>
      <w:tr w:rsidR="00F33C16" w14:paraId="54BC1205" w14:textId="77777777" w:rsidTr="00F33C1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590" w:type="dxa"/>
            <w:shd w:val="clear" w:color="auto" w:fill="1DBDC5"/>
            <w:vAlign w:val="bottom"/>
          </w:tcPr>
          <w:p w14:paraId="791680B0" w14:textId="77777777" w:rsidR="00F33C16" w:rsidRDefault="00000000">
            <w:pPr>
              <w:rPr>
                <w:rFonts w:ascii="Open Sans" w:eastAsia="Open Sans" w:hAnsi="Open Sans" w:cs="Open Sans"/>
                <w:sz w:val="22"/>
                <w:szCs w:val="22"/>
              </w:rPr>
            </w:pPr>
            <w:r>
              <w:rPr>
                <w:rFonts w:ascii="Open Sans" w:eastAsia="Open Sans" w:hAnsi="Open Sans" w:cs="Open Sans"/>
                <w:sz w:val="22"/>
                <w:szCs w:val="22"/>
              </w:rPr>
              <w:t>Valencia</w:t>
            </w:r>
          </w:p>
        </w:tc>
        <w:tc>
          <w:tcPr>
            <w:tcW w:w="1410" w:type="dxa"/>
            <w:vAlign w:val="bottom"/>
          </w:tcPr>
          <w:p w14:paraId="6F53E42F" w14:textId="77777777" w:rsidR="00F33C1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2.818 € </w:t>
            </w:r>
          </w:p>
        </w:tc>
        <w:tc>
          <w:tcPr>
            <w:tcW w:w="1500" w:type="dxa"/>
            <w:vAlign w:val="bottom"/>
          </w:tcPr>
          <w:p w14:paraId="0065CFD8" w14:textId="77777777" w:rsidR="00F33C1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15,6%</w:t>
            </w:r>
          </w:p>
        </w:tc>
        <w:tc>
          <w:tcPr>
            <w:tcW w:w="1515" w:type="dxa"/>
            <w:vAlign w:val="bottom"/>
          </w:tcPr>
          <w:p w14:paraId="5CE3532E" w14:textId="77777777" w:rsidR="00F33C1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sept-07</w:t>
            </w:r>
          </w:p>
        </w:tc>
        <w:tc>
          <w:tcPr>
            <w:tcW w:w="1185" w:type="dxa"/>
            <w:vAlign w:val="bottom"/>
          </w:tcPr>
          <w:p w14:paraId="17FAF105" w14:textId="77777777" w:rsidR="00F33C1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3.036 €</w:t>
            </w:r>
          </w:p>
        </w:tc>
        <w:tc>
          <w:tcPr>
            <w:tcW w:w="1950" w:type="dxa"/>
            <w:vAlign w:val="bottom"/>
          </w:tcPr>
          <w:p w14:paraId="10FCFE7F" w14:textId="77777777" w:rsidR="00F33C1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w:t>
            </w:r>
          </w:p>
        </w:tc>
      </w:tr>
      <w:tr w:rsidR="00F33C16" w14:paraId="7BC4B071" w14:textId="77777777" w:rsidTr="00F33C16">
        <w:trPr>
          <w:trHeight w:val="248"/>
        </w:trPr>
        <w:tc>
          <w:tcPr>
            <w:cnfStyle w:val="001000000000" w:firstRow="0" w:lastRow="0" w:firstColumn="1" w:lastColumn="0" w:oddVBand="0" w:evenVBand="0" w:oddHBand="0" w:evenHBand="0" w:firstRowFirstColumn="0" w:firstRowLastColumn="0" w:lastRowFirstColumn="0" w:lastRowLastColumn="0"/>
            <w:tcW w:w="1590" w:type="dxa"/>
            <w:shd w:val="clear" w:color="auto" w:fill="1DBDC5"/>
            <w:vAlign w:val="bottom"/>
          </w:tcPr>
          <w:p w14:paraId="4E0C3962" w14:textId="77777777" w:rsidR="00F33C16" w:rsidRDefault="00000000">
            <w:pPr>
              <w:rPr>
                <w:rFonts w:ascii="Open Sans" w:eastAsia="Open Sans" w:hAnsi="Open Sans" w:cs="Open Sans"/>
                <w:sz w:val="22"/>
                <w:szCs w:val="22"/>
              </w:rPr>
            </w:pPr>
            <w:r>
              <w:rPr>
                <w:rFonts w:ascii="Open Sans" w:eastAsia="Open Sans" w:hAnsi="Open Sans" w:cs="Open Sans"/>
                <w:sz w:val="22"/>
                <w:szCs w:val="22"/>
              </w:rPr>
              <w:t>Alicante</w:t>
            </w:r>
          </w:p>
        </w:tc>
        <w:tc>
          <w:tcPr>
            <w:tcW w:w="1410" w:type="dxa"/>
            <w:vAlign w:val="bottom"/>
          </w:tcPr>
          <w:p w14:paraId="46025033" w14:textId="77777777" w:rsidR="00F33C1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2.386 € </w:t>
            </w:r>
          </w:p>
        </w:tc>
        <w:tc>
          <w:tcPr>
            <w:tcW w:w="1500" w:type="dxa"/>
            <w:vAlign w:val="bottom"/>
          </w:tcPr>
          <w:p w14:paraId="61CB8812" w14:textId="77777777" w:rsidR="00F33C1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15,6%</w:t>
            </w:r>
          </w:p>
        </w:tc>
        <w:tc>
          <w:tcPr>
            <w:tcW w:w="1515" w:type="dxa"/>
            <w:vAlign w:val="bottom"/>
          </w:tcPr>
          <w:p w14:paraId="583008AF" w14:textId="77777777" w:rsidR="00F33C1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abr-24</w:t>
            </w:r>
          </w:p>
        </w:tc>
        <w:tc>
          <w:tcPr>
            <w:tcW w:w="1185" w:type="dxa"/>
            <w:vAlign w:val="bottom"/>
          </w:tcPr>
          <w:p w14:paraId="45C9FBDD" w14:textId="77777777" w:rsidR="00F33C1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2.244 €</w:t>
            </w:r>
          </w:p>
        </w:tc>
        <w:tc>
          <w:tcPr>
            <w:tcW w:w="1950" w:type="dxa"/>
            <w:vAlign w:val="bottom"/>
          </w:tcPr>
          <w:p w14:paraId="70D02267" w14:textId="77777777" w:rsidR="00F33C1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w:t>
            </w:r>
          </w:p>
        </w:tc>
      </w:tr>
      <w:tr w:rsidR="00F33C16" w14:paraId="40B4EC5A" w14:textId="77777777" w:rsidTr="00F33C1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590" w:type="dxa"/>
            <w:shd w:val="clear" w:color="auto" w:fill="1DBDC5"/>
            <w:vAlign w:val="bottom"/>
          </w:tcPr>
          <w:p w14:paraId="43B1D5F6" w14:textId="77777777" w:rsidR="00F33C16" w:rsidRDefault="00000000">
            <w:pPr>
              <w:rPr>
                <w:rFonts w:ascii="Open Sans" w:eastAsia="Open Sans" w:hAnsi="Open Sans" w:cs="Open Sans"/>
                <w:sz w:val="22"/>
                <w:szCs w:val="22"/>
              </w:rPr>
            </w:pPr>
            <w:r>
              <w:rPr>
                <w:rFonts w:ascii="Open Sans" w:eastAsia="Open Sans" w:hAnsi="Open Sans" w:cs="Open Sans"/>
                <w:sz w:val="22"/>
                <w:szCs w:val="22"/>
              </w:rPr>
              <w:t>Castellón</w:t>
            </w:r>
          </w:p>
        </w:tc>
        <w:tc>
          <w:tcPr>
            <w:tcW w:w="1410" w:type="dxa"/>
            <w:vAlign w:val="bottom"/>
          </w:tcPr>
          <w:p w14:paraId="186A2266" w14:textId="77777777" w:rsidR="00F33C1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1.436 € </w:t>
            </w:r>
          </w:p>
        </w:tc>
        <w:tc>
          <w:tcPr>
            <w:tcW w:w="1500" w:type="dxa"/>
            <w:vAlign w:val="bottom"/>
          </w:tcPr>
          <w:p w14:paraId="3AB66957" w14:textId="77777777" w:rsidR="00F33C1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8,8%</w:t>
            </w:r>
          </w:p>
        </w:tc>
        <w:tc>
          <w:tcPr>
            <w:tcW w:w="1515" w:type="dxa"/>
            <w:vAlign w:val="bottom"/>
          </w:tcPr>
          <w:p w14:paraId="02F3F09F" w14:textId="77777777" w:rsidR="00F33C1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oct-07</w:t>
            </w:r>
          </w:p>
        </w:tc>
        <w:tc>
          <w:tcPr>
            <w:tcW w:w="1185" w:type="dxa"/>
            <w:vAlign w:val="bottom"/>
          </w:tcPr>
          <w:p w14:paraId="6362B836" w14:textId="77777777" w:rsidR="00F33C1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2.528 €</w:t>
            </w:r>
          </w:p>
        </w:tc>
        <w:tc>
          <w:tcPr>
            <w:tcW w:w="1950" w:type="dxa"/>
            <w:vAlign w:val="bottom"/>
          </w:tcPr>
          <w:p w14:paraId="5D41CF27" w14:textId="77777777" w:rsidR="00F33C1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-43%</w:t>
            </w:r>
          </w:p>
        </w:tc>
      </w:tr>
    </w:tbl>
    <w:p w14:paraId="77DC02B9" w14:textId="77777777" w:rsidR="00F33C16" w:rsidRDefault="00F33C16">
      <w:pPr>
        <w:spacing w:line="276" w:lineRule="auto"/>
        <w:ind w:right="4"/>
        <w:jc w:val="center"/>
        <w:rPr>
          <w:rFonts w:ascii="Open Sans Light" w:eastAsia="Open Sans Light" w:hAnsi="Open Sans Light" w:cs="Open Sans Light"/>
          <w:b/>
          <w:color w:val="303AB2"/>
          <w:sz w:val="22"/>
          <w:szCs w:val="22"/>
        </w:rPr>
      </w:pPr>
    </w:p>
    <w:p w14:paraId="4E615EBB" w14:textId="77777777" w:rsidR="00F33C16" w:rsidRDefault="00000000">
      <w:pPr>
        <w:spacing w:line="276" w:lineRule="auto"/>
        <w:ind w:right="4"/>
        <w:jc w:val="center"/>
        <w:rPr>
          <w:rFonts w:ascii="Open Sans Light" w:eastAsia="Open Sans Light" w:hAnsi="Open Sans Light" w:cs="Open Sans Light"/>
          <w:b/>
          <w:color w:val="303AB2"/>
        </w:rPr>
      </w:pPr>
      <w:r>
        <w:rPr>
          <w:rFonts w:ascii="Open Sans Light" w:eastAsia="Open Sans Light" w:hAnsi="Open Sans Light" w:cs="Open Sans Light"/>
          <w:b/>
          <w:color w:val="303AB2"/>
          <w:sz w:val="22"/>
          <w:szCs w:val="22"/>
        </w:rPr>
        <w:t>Comparativa evolución precio VENTA entre Alicante, Valencia y Castellón</w:t>
      </w:r>
    </w:p>
    <w:p w14:paraId="087BF897" w14:textId="77777777" w:rsidR="00F33C16" w:rsidRDefault="00000000">
      <w:pPr>
        <w:spacing w:line="276" w:lineRule="auto"/>
        <w:ind w:right="4"/>
        <w:jc w:val="both"/>
        <w:rPr>
          <w:rFonts w:ascii="Open Sans Light" w:eastAsia="Open Sans Light" w:hAnsi="Open Sans Light" w:cs="Open Sans Light"/>
          <w:b/>
          <w:color w:val="303AB2"/>
        </w:rPr>
      </w:pPr>
      <w:r>
        <w:rPr>
          <w:rFonts w:ascii="Open Sans" w:eastAsia="Open Sans" w:hAnsi="Open Sans" w:cs="Open Sans"/>
          <w:noProof/>
        </w:rPr>
        <w:drawing>
          <wp:inline distT="114300" distB="114300" distL="114300" distR="114300" wp14:anchorId="4F45BAB8" wp14:editId="5D4B91A4">
            <wp:extent cx="5806440" cy="2415540"/>
            <wp:effectExtent l="0" t="0" r="3810" b="381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l="2247" t="38630" r="1885" b="4293"/>
                    <a:stretch>
                      <a:fillRect/>
                    </a:stretch>
                  </pic:blipFill>
                  <pic:spPr>
                    <a:xfrm>
                      <a:off x="0" y="0"/>
                      <a:ext cx="5806765" cy="2415675"/>
                    </a:xfrm>
                    <a:prstGeom prst="rect">
                      <a:avLst/>
                    </a:prstGeom>
                    <a:ln/>
                  </pic:spPr>
                </pic:pic>
              </a:graphicData>
            </a:graphic>
          </wp:inline>
        </w:drawing>
      </w:r>
    </w:p>
    <w:p w14:paraId="16FC655E" w14:textId="77777777" w:rsidR="00F33C16" w:rsidRDefault="00F33C16">
      <w:pPr>
        <w:spacing w:line="276" w:lineRule="auto"/>
        <w:jc w:val="right"/>
        <w:rPr>
          <w:rFonts w:ascii="Open Sans Light" w:eastAsia="Open Sans Light" w:hAnsi="Open Sans Light" w:cs="Open Sans Light"/>
          <w:b/>
          <w:color w:val="303AB2"/>
        </w:rPr>
      </w:pPr>
    </w:p>
    <w:p w14:paraId="6BC97693" w14:textId="77777777" w:rsidR="00F33C16" w:rsidRDefault="00F33C16">
      <w:pPr>
        <w:spacing w:line="276" w:lineRule="auto"/>
        <w:jc w:val="right"/>
        <w:rPr>
          <w:rFonts w:ascii="Open Sans Light" w:eastAsia="Open Sans Light" w:hAnsi="Open Sans Light" w:cs="Open Sans Light"/>
          <w:b/>
          <w:color w:val="303AB2"/>
        </w:rPr>
      </w:pPr>
    </w:p>
    <w:p w14:paraId="2AD6E4C8" w14:textId="77777777" w:rsidR="00F33C16" w:rsidRDefault="00F33C16">
      <w:pPr>
        <w:spacing w:line="276" w:lineRule="auto"/>
        <w:jc w:val="right"/>
        <w:rPr>
          <w:rFonts w:ascii="Open Sans Light" w:eastAsia="Open Sans Light" w:hAnsi="Open Sans Light" w:cs="Open Sans Light"/>
          <w:b/>
          <w:color w:val="303AB2"/>
        </w:rPr>
      </w:pPr>
    </w:p>
    <w:p w14:paraId="11139E68" w14:textId="77777777" w:rsidR="00F33C16"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8B0B5C7" w14:textId="77777777" w:rsidR="00F33C1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7">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8">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6E3A5D65" w14:textId="77777777" w:rsidR="00F33C16"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hyperlink r:id="rId19">
        <w:r>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501DDE2E" w14:textId="77777777" w:rsidR="00F33C16" w:rsidRDefault="00000000">
      <w:pPr>
        <w:shd w:val="clear" w:color="auto" w:fill="FFFFFF"/>
        <w:spacing w:before="280" w:after="280" w:line="276" w:lineRule="auto"/>
        <w:jc w:val="both"/>
        <w:rPr>
          <w:rFonts w:ascii="Open Sans" w:eastAsia="Open Sans" w:hAnsi="Open Sans" w:cs="Open Sans"/>
          <w:sz w:val="22"/>
          <w:szCs w:val="22"/>
        </w:rPr>
      </w:pPr>
      <w:hyperlink r:id="rId20">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24E17988" w14:textId="77777777" w:rsidR="00F33C16"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Adevinta Spain</w:t>
      </w:r>
    </w:p>
    <w:p w14:paraId="790022AE" w14:textId="77777777" w:rsidR="00F33C16" w:rsidRDefault="00000000">
      <w:pPr>
        <w:spacing w:before="143" w:after="200"/>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21">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3">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4">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5">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6">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153F69F8" w14:textId="77777777" w:rsidR="00F33C16"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3CD11334" w14:textId="77777777" w:rsidR="00F33C16"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3.000 millones de visitas cada mes. </w:t>
      </w:r>
    </w:p>
    <w:p w14:paraId="3BDA9000" w14:textId="77777777" w:rsidR="00F33C16" w:rsidRDefault="00F33C16">
      <w:pPr>
        <w:spacing w:line="276" w:lineRule="auto"/>
        <w:rPr>
          <w:rFonts w:ascii="Open Sans" w:eastAsia="Open Sans" w:hAnsi="Open Sans" w:cs="Open Sans"/>
          <w:sz w:val="22"/>
          <w:szCs w:val="22"/>
        </w:rPr>
      </w:pPr>
    </w:p>
    <w:p w14:paraId="4AD32F3C" w14:textId="77777777" w:rsidR="00F33C16" w:rsidRDefault="00000000">
      <w:pPr>
        <w:spacing w:line="276" w:lineRule="auto"/>
        <w:rPr>
          <w:rFonts w:ascii="Open Sans" w:eastAsia="Open Sans" w:hAnsi="Open Sans" w:cs="Open Sans"/>
        </w:rPr>
      </w:pPr>
      <w:r>
        <w:rPr>
          <w:rFonts w:ascii="Open Sans" w:eastAsia="Open Sans" w:hAnsi="Open Sans" w:cs="Open Sans"/>
          <w:sz w:val="22"/>
          <w:szCs w:val="22"/>
        </w:rPr>
        <w:t xml:space="preserve">Más información en </w:t>
      </w:r>
      <w:hyperlink r:id="rId27">
        <w:r>
          <w:rPr>
            <w:rFonts w:ascii="Open Sans" w:eastAsia="Open Sans" w:hAnsi="Open Sans" w:cs="Open Sans"/>
            <w:color w:val="1155CC"/>
            <w:sz w:val="22"/>
            <w:szCs w:val="22"/>
            <w:u w:val="single"/>
          </w:rPr>
          <w:t>adevinta.es</w:t>
        </w:r>
      </w:hyperlink>
    </w:p>
    <w:p w14:paraId="22C7E578" w14:textId="77777777" w:rsidR="00F33C16" w:rsidRDefault="00F33C16">
      <w:pPr>
        <w:spacing w:line="276" w:lineRule="auto"/>
        <w:jc w:val="right"/>
        <w:rPr>
          <w:rFonts w:ascii="Open Sans" w:eastAsia="Open Sans" w:hAnsi="Open Sans" w:cs="Open Sans"/>
        </w:rPr>
      </w:pPr>
    </w:p>
    <w:p w14:paraId="69BAE9CF" w14:textId="77777777" w:rsidR="00F33C16"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42A89366" w14:textId="77777777" w:rsidR="00F33C16"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82B8ACB" w14:textId="77777777" w:rsidR="00F33C16" w:rsidRDefault="00000000">
      <w:pPr>
        <w:shd w:val="clear" w:color="auto" w:fill="FFFFFF"/>
        <w:spacing w:line="276" w:lineRule="auto"/>
        <w:rPr>
          <w:rFonts w:ascii="Open Sans" w:eastAsia="Open Sans" w:hAnsi="Open Sans" w:cs="Open Sans"/>
          <w:color w:val="0000FF"/>
          <w:sz w:val="22"/>
          <w:szCs w:val="22"/>
          <w:u w:val="single"/>
        </w:rPr>
      </w:pPr>
      <w:hyperlink r:id="rId28">
        <w:r>
          <w:rPr>
            <w:rFonts w:ascii="Open Sans" w:eastAsia="Open Sans" w:hAnsi="Open Sans" w:cs="Open Sans"/>
            <w:color w:val="0000FF"/>
            <w:sz w:val="22"/>
            <w:szCs w:val="22"/>
            <w:u w:val="single"/>
          </w:rPr>
          <w:t>comunicacion@fotocasa.es</w:t>
        </w:r>
      </w:hyperlink>
    </w:p>
    <w:p w14:paraId="19786650" w14:textId="77777777" w:rsidR="00F33C16"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3AF9D95D" w14:textId="77777777" w:rsidR="00F33C16" w:rsidRDefault="00F33C16">
      <w:pPr>
        <w:spacing w:line="276" w:lineRule="auto"/>
        <w:rPr>
          <w:rFonts w:ascii="Open Sans Light" w:eastAsia="Open Sans Light" w:hAnsi="Open Sans Light" w:cs="Open Sans Light"/>
          <w:b/>
          <w:color w:val="303AB2"/>
          <w:sz w:val="22"/>
          <w:szCs w:val="22"/>
        </w:rPr>
      </w:pPr>
    </w:p>
    <w:p w14:paraId="1E149782" w14:textId="77777777" w:rsidR="00F33C16"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17051E16" w14:textId="77777777" w:rsidR="00F33C16"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3A5FECE3" w14:textId="77777777" w:rsidR="00F33C16" w:rsidRPr="00A36192" w:rsidRDefault="00000000">
      <w:pPr>
        <w:shd w:val="clear" w:color="auto" w:fill="FFFFFF"/>
        <w:spacing w:line="276" w:lineRule="auto"/>
        <w:rPr>
          <w:rFonts w:ascii="Open Sans" w:eastAsia="Open Sans" w:hAnsi="Open Sans" w:cs="Open Sans"/>
          <w:color w:val="0000FF"/>
          <w:sz w:val="22"/>
          <w:szCs w:val="22"/>
          <w:u w:val="single"/>
          <w:lang w:val="en-US"/>
        </w:rPr>
      </w:pPr>
      <w:hyperlink r:id="rId29">
        <w:r w:rsidRPr="00A36192">
          <w:rPr>
            <w:rFonts w:ascii="Open Sans" w:eastAsia="Open Sans" w:hAnsi="Open Sans" w:cs="Open Sans"/>
            <w:color w:val="0000FF"/>
            <w:sz w:val="22"/>
            <w:szCs w:val="22"/>
            <w:u w:val="single"/>
            <w:lang w:val="en-US"/>
          </w:rPr>
          <w:t>rtorne@llorenteycuenca.com</w:t>
        </w:r>
      </w:hyperlink>
      <w:r w:rsidRPr="00A36192">
        <w:rPr>
          <w:rFonts w:ascii="Open Sans" w:eastAsia="Open Sans" w:hAnsi="Open Sans" w:cs="Open Sans"/>
          <w:color w:val="0000FF"/>
          <w:sz w:val="22"/>
          <w:szCs w:val="22"/>
          <w:lang w:val="en-US"/>
        </w:rPr>
        <w:tab/>
      </w:r>
      <w:r w:rsidRPr="00A36192">
        <w:rPr>
          <w:rFonts w:ascii="Open Sans" w:eastAsia="Open Sans" w:hAnsi="Open Sans" w:cs="Open Sans"/>
          <w:color w:val="0000FF"/>
          <w:sz w:val="22"/>
          <w:szCs w:val="22"/>
          <w:lang w:val="en-US"/>
        </w:rPr>
        <w:tab/>
      </w:r>
      <w:r w:rsidRPr="00A36192">
        <w:rPr>
          <w:rFonts w:ascii="Open Sans" w:eastAsia="Open Sans" w:hAnsi="Open Sans" w:cs="Open Sans"/>
          <w:color w:val="0000FF"/>
          <w:sz w:val="22"/>
          <w:szCs w:val="22"/>
          <w:lang w:val="en-US"/>
        </w:rPr>
        <w:tab/>
      </w:r>
    </w:p>
    <w:p w14:paraId="0D0F9177" w14:textId="77777777" w:rsidR="00F33C16" w:rsidRPr="00A36192" w:rsidRDefault="00000000">
      <w:pPr>
        <w:shd w:val="clear" w:color="auto" w:fill="FFFFFF"/>
        <w:spacing w:line="276" w:lineRule="auto"/>
        <w:rPr>
          <w:rFonts w:ascii="Open Sans" w:eastAsia="Open Sans" w:hAnsi="Open Sans" w:cs="Open Sans"/>
          <w:color w:val="000000"/>
          <w:sz w:val="22"/>
          <w:szCs w:val="22"/>
          <w:lang w:val="en-US"/>
        </w:rPr>
      </w:pPr>
      <w:r w:rsidRPr="00A36192">
        <w:rPr>
          <w:rFonts w:ascii="Open Sans" w:eastAsia="Open Sans" w:hAnsi="Open Sans" w:cs="Open Sans"/>
          <w:color w:val="000000"/>
          <w:sz w:val="22"/>
          <w:szCs w:val="22"/>
          <w:lang w:val="en-US"/>
        </w:rPr>
        <w:t xml:space="preserve">638 68 19 85      </w:t>
      </w:r>
      <w:r w:rsidRPr="00A36192">
        <w:rPr>
          <w:rFonts w:ascii="Open Sans" w:eastAsia="Open Sans" w:hAnsi="Open Sans" w:cs="Open Sans"/>
          <w:color w:val="000000"/>
          <w:sz w:val="22"/>
          <w:szCs w:val="22"/>
          <w:lang w:val="en-US"/>
        </w:rPr>
        <w:tab/>
      </w:r>
      <w:r w:rsidRPr="00A36192">
        <w:rPr>
          <w:rFonts w:ascii="Open Sans" w:eastAsia="Open Sans" w:hAnsi="Open Sans" w:cs="Open Sans"/>
          <w:color w:val="000000"/>
          <w:sz w:val="22"/>
          <w:szCs w:val="22"/>
          <w:lang w:val="en-US"/>
        </w:rPr>
        <w:tab/>
      </w:r>
      <w:r w:rsidRPr="00A36192">
        <w:rPr>
          <w:rFonts w:ascii="Open Sans" w:eastAsia="Open Sans" w:hAnsi="Open Sans" w:cs="Open Sans"/>
          <w:color w:val="000000"/>
          <w:sz w:val="22"/>
          <w:szCs w:val="22"/>
          <w:lang w:val="en-US"/>
        </w:rPr>
        <w:tab/>
      </w:r>
      <w:r w:rsidRPr="00A36192">
        <w:rPr>
          <w:rFonts w:ascii="Open Sans" w:eastAsia="Open Sans" w:hAnsi="Open Sans" w:cs="Open Sans"/>
          <w:color w:val="000000"/>
          <w:sz w:val="22"/>
          <w:szCs w:val="22"/>
          <w:lang w:val="en-US"/>
        </w:rPr>
        <w:tab/>
      </w:r>
      <w:r w:rsidRPr="00A36192">
        <w:rPr>
          <w:rFonts w:ascii="Open Sans" w:eastAsia="Open Sans" w:hAnsi="Open Sans" w:cs="Open Sans"/>
          <w:color w:val="000000"/>
          <w:sz w:val="22"/>
          <w:szCs w:val="22"/>
          <w:lang w:val="en-US"/>
        </w:rPr>
        <w:tab/>
      </w:r>
      <w:r w:rsidRPr="00A36192">
        <w:rPr>
          <w:rFonts w:ascii="Open Sans" w:eastAsia="Open Sans" w:hAnsi="Open Sans" w:cs="Open Sans"/>
          <w:color w:val="000000"/>
          <w:sz w:val="22"/>
          <w:szCs w:val="22"/>
          <w:lang w:val="en-US"/>
        </w:rPr>
        <w:tab/>
      </w:r>
      <w:r w:rsidRPr="00A36192">
        <w:rPr>
          <w:rFonts w:ascii="Open Sans" w:eastAsia="Open Sans" w:hAnsi="Open Sans" w:cs="Open Sans"/>
          <w:color w:val="000000"/>
          <w:sz w:val="22"/>
          <w:szCs w:val="22"/>
          <w:lang w:val="en-US"/>
        </w:rPr>
        <w:tab/>
      </w:r>
      <w:r w:rsidRPr="00A36192">
        <w:rPr>
          <w:rFonts w:ascii="Arial" w:eastAsia="Arial" w:hAnsi="Arial" w:cs="Arial"/>
          <w:color w:val="222222"/>
          <w:sz w:val="22"/>
          <w:szCs w:val="22"/>
          <w:lang w:val="en-US"/>
        </w:rPr>
        <w:tab/>
      </w:r>
      <w:r w:rsidRPr="00A36192">
        <w:rPr>
          <w:rFonts w:ascii="Arial" w:eastAsia="Arial" w:hAnsi="Arial" w:cs="Arial"/>
          <w:color w:val="222222"/>
          <w:sz w:val="22"/>
          <w:szCs w:val="22"/>
          <w:lang w:val="en-US"/>
        </w:rPr>
        <w:tab/>
      </w:r>
      <w:r w:rsidRPr="00A36192">
        <w:rPr>
          <w:rFonts w:ascii="Arial" w:eastAsia="Arial" w:hAnsi="Arial" w:cs="Arial"/>
          <w:color w:val="222222"/>
          <w:sz w:val="22"/>
          <w:szCs w:val="22"/>
          <w:lang w:val="en-US"/>
        </w:rPr>
        <w:tab/>
        <w:t xml:space="preserve">     </w:t>
      </w:r>
    </w:p>
    <w:p w14:paraId="294C4345" w14:textId="77777777" w:rsidR="00F33C16" w:rsidRPr="00A36192" w:rsidRDefault="00000000">
      <w:pPr>
        <w:shd w:val="clear" w:color="auto" w:fill="FFFFFF"/>
        <w:rPr>
          <w:rFonts w:ascii="Open Sans" w:eastAsia="Open Sans" w:hAnsi="Open Sans" w:cs="Open Sans"/>
          <w:b/>
          <w:color w:val="000000"/>
          <w:sz w:val="22"/>
          <w:szCs w:val="22"/>
          <w:lang w:val="en-US"/>
        </w:rPr>
      </w:pPr>
      <w:r w:rsidRPr="00A36192">
        <w:rPr>
          <w:rFonts w:ascii="Open Sans" w:eastAsia="Open Sans" w:hAnsi="Open Sans" w:cs="Open Sans"/>
          <w:b/>
          <w:color w:val="000000"/>
          <w:sz w:val="22"/>
          <w:szCs w:val="22"/>
          <w:lang w:val="en-US"/>
        </w:rPr>
        <w:t>Fanny Merino</w:t>
      </w:r>
    </w:p>
    <w:p w14:paraId="6DBD7B04" w14:textId="77777777" w:rsidR="00F33C16" w:rsidRPr="00A36192" w:rsidRDefault="00000000">
      <w:pPr>
        <w:shd w:val="clear" w:color="auto" w:fill="FFFFFF"/>
        <w:rPr>
          <w:rFonts w:ascii="Open Sans" w:eastAsia="Open Sans" w:hAnsi="Open Sans" w:cs="Open Sans"/>
          <w:b/>
          <w:color w:val="000000"/>
          <w:sz w:val="22"/>
          <w:szCs w:val="22"/>
          <w:lang w:val="en-US"/>
        </w:rPr>
      </w:pPr>
      <w:hyperlink r:id="rId30">
        <w:r w:rsidRPr="00A36192">
          <w:rPr>
            <w:rFonts w:ascii="Open Sans" w:eastAsia="Open Sans" w:hAnsi="Open Sans" w:cs="Open Sans"/>
            <w:color w:val="0000FF"/>
            <w:sz w:val="22"/>
            <w:szCs w:val="22"/>
            <w:u w:val="single"/>
            <w:lang w:val="en-US"/>
          </w:rPr>
          <w:t>emerino@llorenteycuenca.com</w:t>
        </w:r>
      </w:hyperlink>
      <w:r w:rsidRPr="00A36192">
        <w:rPr>
          <w:rFonts w:ascii="Open Sans" w:eastAsia="Open Sans" w:hAnsi="Open Sans" w:cs="Open Sans"/>
          <w:color w:val="0000FF"/>
          <w:sz w:val="22"/>
          <w:szCs w:val="22"/>
          <w:lang w:val="en-US"/>
        </w:rPr>
        <w:tab/>
      </w:r>
      <w:r w:rsidRPr="00A36192">
        <w:rPr>
          <w:rFonts w:ascii="Open Sans" w:eastAsia="Open Sans" w:hAnsi="Open Sans" w:cs="Open Sans"/>
          <w:color w:val="0000FF"/>
          <w:sz w:val="22"/>
          <w:szCs w:val="22"/>
          <w:lang w:val="en-US"/>
        </w:rPr>
        <w:tab/>
      </w:r>
    </w:p>
    <w:p w14:paraId="19253733" w14:textId="77777777" w:rsidR="00F33C16" w:rsidRDefault="00000000">
      <w:pPr>
        <w:shd w:val="clear" w:color="auto" w:fill="FFFFFF"/>
        <w:rPr>
          <w:rFonts w:ascii="Open Sans" w:eastAsia="Open Sans" w:hAnsi="Open Sans" w:cs="Open Sans"/>
          <w:color w:val="000000"/>
          <w:sz w:val="22"/>
          <w:szCs w:val="22"/>
        </w:rPr>
      </w:pPr>
      <w:r>
        <w:rPr>
          <w:rFonts w:ascii="Open Sans" w:eastAsia="Open Sans" w:hAnsi="Open Sans" w:cs="Open Sans"/>
          <w:color w:val="000000"/>
          <w:sz w:val="22"/>
          <w:szCs w:val="22"/>
        </w:rPr>
        <w:t>663 35 69 75 </w:t>
      </w:r>
    </w:p>
    <w:p w14:paraId="43C364FC" w14:textId="77777777" w:rsidR="00F33C16" w:rsidRDefault="00F33C16">
      <w:pPr>
        <w:shd w:val="clear" w:color="auto" w:fill="FFFFFF"/>
        <w:rPr>
          <w:rFonts w:ascii="Open Sans" w:eastAsia="Open Sans" w:hAnsi="Open Sans" w:cs="Open Sans"/>
          <w:color w:val="000000"/>
          <w:sz w:val="22"/>
          <w:szCs w:val="22"/>
        </w:rPr>
      </w:pPr>
    </w:p>
    <w:p w14:paraId="3A05FFFF" w14:textId="77777777" w:rsidR="00F33C16" w:rsidRDefault="00F33C16">
      <w:pPr>
        <w:spacing w:line="276" w:lineRule="auto"/>
        <w:jc w:val="center"/>
        <w:rPr>
          <w:rFonts w:ascii="Open Sans" w:eastAsia="Open Sans" w:hAnsi="Open Sans" w:cs="Open Sans"/>
          <w:color w:val="000000"/>
          <w:sz w:val="21"/>
          <w:szCs w:val="21"/>
        </w:rPr>
      </w:pPr>
    </w:p>
    <w:sectPr w:rsidR="00F33C16">
      <w:footerReference w:type="default" r:id="rId3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A1B374" w14:textId="77777777" w:rsidR="00C03EFB" w:rsidRDefault="00C03EFB">
      <w:r>
        <w:separator/>
      </w:r>
    </w:p>
  </w:endnote>
  <w:endnote w:type="continuationSeparator" w:id="0">
    <w:p w14:paraId="0B6F2986" w14:textId="77777777" w:rsidR="00C03EFB" w:rsidRDefault="00C03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D7068EDC-5FE2-4D77-B565-9F9F00EF556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6C0B263-8955-4397-B67D-9B29EE493666}"/>
    <w:embedBold r:id="rId3" w:fontKey="{24EE3295-F8B2-4525-B756-3C60FD76D76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8369643-0327-4988-A30E-3EEB48FAA7D8}"/>
    <w:embedItalic r:id="rId5" w:fontKey="{C0F35865-DA20-4078-974E-C2E4D7CBE1CA}"/>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8B6BA717-DD27-4B9D-8222-B55560C5D962}"/>
    <w:embedBold r:id="rId7" w:fontKey="{09D522E3-B739-4DA3-9B90-095A36E2C4F7}"/>
  </w:font>
  <w:font w:name="Open Sans Light">
    <w:charset w:val="00"/>
    <w:family w:val="swiss"/>
    <w:pitch w:val="variable"/>
    <w:sig w:usb0="E00002EF" w:usb1="4000205B" w:usb2="00000028" w:usb3="00000000" w:csb0="0000019F" w:csb1="00000000"/>
    <w:embedRegular r:id="rId8" w:fontKey="{1027CFCA-31C6-4F30-96B8-6B78A2DE9ABA}"/>
    <w:embedBold r:id="rId9" w:fontKey="{21F92D17-E71C-4734-B943-04CB5333FFE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E466ECED-41B2-43B5-997A-FBF8ADD949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8C47F" w14:textId="77777777" w:rsidR="00F33C16"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4BECFCE" wp14:editId="2736B581">
          <wp:simplePos x="0" y="0"/>
          <wp:positionH relativeFrom="column">
            <wp:posOffset>-1068064</wp:posOffset>
          </wp:positionH>
          <wp:positionV relativeFrom="paragraph">
            <wp:posOffset>174608</wp:posOffset>
          </wp:positionV>
          <wp:extent cx="7670550" cy="451315"/>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D4CF7D" w14:textId="77777777" w:rsidR="00C03EFB" w:rsidRDefault="00C03EFB">
      <w:r>
        <w:separator/>
      </w:r>
    </w:p>
  </w:footnote>
  <w:footnote w:type="continuationSeparator" w:id="0">
    <w:p w14:paraId="0566079D" w14:textId="77777777" w:rsidR="00C03EFB" w:rsidRDefault="00C03E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61AAB"/>
    <w:multiLevelType w:val="multilevel"/>
    <w:tmpl w:val="6F5CB89E"/>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7667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C16"/>
    <w:rsid w:val="00287E87"/>
    <w:rsid w:val="005E6389"/>
    <w:rsid w:val="00A36192"/>
    <w:rsid w:val="00C03EFB"/>
    <w:rsid w:val="00F33C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841C1"/>
  <w15:docId w15:val="{AFF60802-BC3C-4101-A6CC-806F45779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2">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customStyle="1" w:styleId="a3">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4">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prensa.fotocasa.es" TargetMode="External"/><Relationship Id="rId26" Type="http://schemas.openxmlformats.org/officeDocument/2006/relationships/hyperlink" Target="https://www.milanuncios.com/" TargetMode="External"/><Relationship Id="rId3" Type="http://schemas.openxmlformats.org/officeDocument/2006/relationships/styles" Target="styles.xml"/><Relationship Id="rId21" Type="http://schemas.openxmlformats.org/officeDocument/2006/relationships/hyperlink" Target="https://www.fotocasa.es/es/"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s://www.fotocasa.es/indice/" TargetMode="External"/><Relationship Id="rId25" Type="http://schemas.openxmlformats.org/officeDocument/2006/relationships/hyperlink" Target="https://motos.coches.ne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s://www.fotocasa.es/es/quienes-somos/" TargetMode="External"/><Relationship Id="rId29" Type="http://schemas.openxmlformats.org/officeDocument/2006/relationships/hyperlink" Target="mailto:rtorne@llorenteycuen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fotocasa.es/" TargetMode="External"/><Relationship Id="rId24" Type="http://schemas.openxmlformats.org/officeDocument/2006/relationships/hyperlink" Target="https://www.coches.ne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s://www.infojobs.net/" TargetMode="External"/><Relationship Id="rId28" Type="http://schemas.openxmlformats.org/officeDocument/2006/relationships/hyperlink" Target="mailto:comunicacion@fotocasa.es" TargetMode="External"/><Relationship Id="rId10" Type="http://schemas.openxmlformats.org/officeDocument/2006/relationships/image" Target="media/image2.jpg"/><Relationship Id="rId19" Type="http://schemas.openxmlformats.org/officeDocument/2006/relationships/hyperlink" Target="https://www.adevinta.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otocasa.es/indice-precio-vivienda" TargetMode="External"/><Relationship Id="rId14" Type="http://schemas.openxmlformats.org/officeDocument/2006/relationships/hyperlink" Target="https://www.fotocasa.es/es/" TargetMode="External"/><Relationship Id="rId22" Type="http://schemas.openxmlformats.org/officeDocument/2006/relationships/hyperlink" Target="https://www.habitaclia.com/" TargetMode="External"/><Relationship Id="rId27" Type="http://schemas.openxmlformats.org/officeDocument/2006/relationships/hyperlink" Target="http://adevinta.es" TargetMode="External"/><Relationship Id="rId30" Type="http://schemas.openxmlformats.org/officeDocument/2006/relationships/hyperlink" Target="mailto:emerino@llorenteycuenca.com"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EBWEy/r2e/Qo4MYexsAhlxZCnA==">CgMxLjAyDmguNHhkNHZieHluYXZsMgloLjJzOGV5bzE4AHIhMU4tc0RJWnBDRTdxRlZsSGVRN2NfOE9KX0dZQzAzNTd2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1369</Words>
  <Characters>7532</Characters>
  <Application>Microsoft Office Word</Application>
  <DocSecurity>0</DocSecurity>
  <Lines>62</Lines>
  <Paragraphs>17</Paragraphs>
  <ScaleCrop>false</ScaleCrop>
  <Company/>
  <LinksUpToDate>false</LinksUpToDate>
  <CharactersWithSpaces>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2024-01-17T12:20:00Z</dcterms:created>
  <dcterms:modified xsi:type="dcterms:W3CDTF">2024-05-07T09:59:00Z</dcterms:modified>
</cp:coreProperties>
</file>