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B66FE9" w:rsidRDefault="00000000">
      <w:r>
        <w:br/>
      </w:r>
      <w:r>
        <w:rPr>
          <w:noProof/>
        </w:rPr>
        <w:drawing>
          <wp:anchor distT="0" distB="0" distL="114300" distR="114300" simplePos="0" relativeHeight="251658240" behindDoc="0" locked="0" layoutInCell="1" hidden="0" allowOverlap="1">
            <wp:simplePos x="0" y="0"/>
            <wp:positionH relativeFrom="column">
              <wp:posOffset>-1078855</wp:posOffset>
            </wp:positionH>
            <wp:positionV relativeFrom="paragraph">
              <wp:posOffset>-350443</wp:posOffset>
            </wp:positionV>
            <wp:extent cx="7581265" cy="1019175"/>
            <wp:effectExtent l="0" t="0" r="0" b="0"/>
            <wp:wrapNone/>
            <wp:docPr id="6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00000002" w14:textId="77777777" w:rsidR="00B66FE9" w:rsidRDefault="00B66FE9"/>
    <w:p w14:paraId="00000003" w14:textId="77777777" w:rsidR="00B66FE9" w:rsidRDefault="00B66FE9">
      <w:pPr>
        <w:jc w:val="right"/>
        <w:rPr>
          <w:rFonts w:ascii="National" w:eastAsia="National" w:hAnsi="National" w:cs="National"/>
          <w:color w:val="303AB2"/>
          <w:sz w:val="36"/>
          <w:szCs w:val="36"/>
        </w:rPr>
      </w:pPr>
    </w:p>
    <w:p w14:paraId="00000004" w14:textId="77777777" w:rsidR="00B66FE9" w:rsidRDefault="00B66FE9">
      <w:pPr>
        <w:jc w:val="right"/>
        <w:rPr>
          <w:rFonts w:ascii="National" w:eastAsia="National" w:hAnsi="National" w:cs="National"/>
          <w:color w:val="303AB2"/>
          <w:sz w:val="36"/>
          <w:szCs w:val="36"/>
        </w:rPr>
      </w:pPr>
    </w:p>
    <w:p w14:paraId="00000005" w14:textId="77777777" w:rsidR="00B66FE9" w:rsidRPr="00A62C10" w:rsidRDefault="00000000">
      <w:pPr>
        <w:spacing w:line="276" w:lineRule="auto"/>
        <w:jc w:val="center"/>
        <w:rPr>
          <w:rFonts w:ascii="National" w:eastAsia="National" w:hAnsi="National" w:cs="National"/>
          <w:b/>
          <w:color w:val="1DBDC5"/>
          <w:sz w:val="40"/>
          <w:szCs w:val="40"/>
        </w:rPr>
      </w:pPr>
      <w:r w:rsidRPr="00A62C10">
        <w:rPr>
          <w:rFonts w:ascii="National" w:eastAsia="National" w:hAnsi="National" w:cs="National"/>
          <w:b/>
          <w:color w:val="1DBDC5"/>
          <w:sz w:val="40"/>
          <w:szCs w:val="40"/>
        </w:rPr>
        <w:t>ANÁLISIS DEL PRECIO EN MADRID</w:t>
      </w:r>
    </w:p>
    <w:p w14:paraId="00000006" w14:textId="503B3EA0" w:rsidR="00B66FE9" w:rsidRPr="00FC6D49" w:rsidRDefault="00000000">
      <w:pPr>
        <w:jc w:val="center"/>
        <w:rPr>
          <w:rFonts w:ascii="National" w:eastAsia="National" w:hAnsi="National" w:cs="National"/>
          <w:b/>
          <w:color w:val="303AB2"/>
          <w:sz w:val="54"/>
          <w:szCs w:val="54"/>
        </w:rPr>
      </w:pPr>
      <w:r w:rsidRPr="00FC6D49">
        <w:rPr>
          <w:rFonts w:ascii="National" w:eastAsia="National" w:hAnsi="National" w:cs="National"/>
          <w:b/>
          <w:color w:val="303AB2"/>
          <w:sz w:val="54"/>
          <w:szCs w:val="54"/>
        </w:rPr>
        <w:t xml:space="preserve">La vivienda en Madrid supera el precio de la burbuja de 2007 en un 15% y el </w:t>
      </w:r>
      <w:r w:rsidR="00FC6D49" w:rsidRPr="00FC6D49">
        <w:rPr>
          <w:rFonts w:ascii="National" w:eastAsia="National" w:hAnsi="National" w:cs="National"/>
          <w:b/>
          <w:color w:val="303AB2"/>
          <w:sz w:val="54"/>
          <w:szCs w:val="54"/>
        </w:rPr>
        <w:t xml:space="preserve">del </w:t>
      </w:r>
      <w:r w:rsidRPr="00FC6D49">
        <w:rPr>
          <w:rFonts w:ascii="National" w:eastAsia="National" w:hAnsi="National" w:cs="National"/>
          <w:b/>
          <w:color w:val="303AB2"/>
          <w:sz w:val="54"/>
          <w:szCs w:val="54"/>
        </w:rPr>
        <w:t>alquiler en un 50%</w:t>
      </w:r>
    </w:p>
    <w:p w14:paraId="00000007" w14:textId="77777777" w:rsidR="00B66FE9" w:rsidRDefault="00B66FE9">
      <w:pPr>
        <w:rPr>
          <w:rFonts w:ascii="National" w:eastAsia="National" w:hAnsi="National" w:cs="National"/>
          <w:b/>
          <w:color w:val="303AB2"/>
          <w:sz w:val="14"/>
          <w:szCs w:val="14"/>
        </w:rPr>
      </w:pPr>
    </w:p>
    <w:p w14:paraId="00000008" w14:textId="77777777" w:rsidR="00B66FE9" w:rsidRDefault="00B66FE9">
      <w:pPr>
        <w:rPr>
          <w:rFonts w:ascii="National" w:eastAsia="National" w:hAnsi="National" w:cs="National"/>
          <w:b/>
          <w:color w:val="303AB2"/>
          <w:sz w:val="14"/>
          <w:szCs w:val="14"/>
        </w:rPr>
      </w:pPr>
    </w:p>
    <w:p w14:paraId="00684C62" w14:textId="77777777" w:rsidR="00FC6D49" w:rsidRPr="00FC6D49" w:rsidRDefault="00FC6D49" w:rsidP="00FC6D49">
      <w:pPr>
        <w:spacing w:line="276" w:lineRule="auto"/>
        <w:ind w:left="720" w:right="4"/>
        <w:jc w:val="both"/>
        <w:rPr>
          <w:rFonts w:ascii="Open Sans" w:eastAsia="Open Sans" w:hAnsi="Open Sans" w:cs="Open Sans"/>
        </w:rPr>
      </w:pPr>
    </w:p>
    <w:p w14:paraId="00000009" w14:textId="451637D2" w:rsidR="00B66FE9" w:rsidRDefault="00000000">
      <w:pPr>
        <w:numPr>
          <w:ilvl w:val="0"/>
          <w:numId w:val="1"/>
        </w:numPr>
        <w:spacing w:line="276" w:lineRule="auto"/>
        <w:ind w:right="4"/>
        <w:jc w:val="both"/>
        <w:rPr>
          <w:rFonts w:ascii="Open Sans" w:eastAsia="Open Sans" w:hAnsi="Open Sans" w:cs="Open Sans"/>
        </w:rPr>
      </w:pPr>
      <w:r>
        <w:rPr>
          <w:rFonts w:ascii="Open Sans" w:eastAsia="Open Sans" w:hAnsi="Open Sans" w:cs="Open Sans"/>
          <w:color w:val="303AB2"/>
        </w:rPr>
        <w:t>Madrid es la cuarta ciudad de España que presenta precios máximos tanto en la compra como en el alquiler de vivienda</w:t>
      </w:r>
    </w:p>
    <w:p w14:paraId="0000000A" w14:textId="77777777" w:rsidR="00B66FE9" w:rsidRDefault="00000000">
      <w:pPr>
        <w:numPr>
          <w:ilvl w:val="0"/>
          <w:numId w:val="1"/>
        </w:numPr>
        <w:spacing w:line="276" w:lineRule="auto"/>
        <w:ind w:right="4"/>
        <w:jc w:val="both"/>
        <w:rPr>
          <w:rFonts w:ascii="Open Sans" w:eastAsia="Open Sans" w:hAnsi="Open Sans" w:cs="Open Sans"/>
        </w:rPr>
      </w:pPr>
      <w:r>
        <w:rPr>
          <w:rFonts w:ascii="Open Sans" w:eastAsia="Open Sans" w:hAnsi="Open Sans" w:cs="Open Sans"/>
          <w:color w:val="303AB2"/>
        </w:rPr>
        <w:t>El precio de la compra en Madrid marca récord y presenta una de las subidas más elevadas de la historia, con un incremento del 20,8%</w:t>
      </w:r>
    </w:p>
    <w:p w14:paraId="0000000B" w14:textId="77777777" w:rsidR="00B66FE9" w:rsidRDefault="00000000">
      <w:pPr>
        <w:numPr>
          <w:ilvl w:val="0"/>
          <w:numId w:val="1"/>
        </w:numPr>
        <w:spacing w:line="276" w:lineRule="auto"/>
        <w:ind w:right="4"/>
        <w:jc w:val="both"/>
        <w:rPr>
          <w:rFonts w:ascii="Open Sans" w:eastAsia="Open Sans" w:hAnsi="Open Sans" w:cs="Open Sans"/>
        </w:rPr>
      </w:pPr>
      <w:r>
        <w:rPr>
          <w:rFonts w:ascii="Open Sans" w:eastAsia="Open Sans" w:hAnsi="Open Sans" w:cs="Open Sans"/>
          <w:color w:val="303AB2"/>
        </w:rPr>
        <w:t>La ciudad presenta un aumento del 12,2% interanual y el coste del alquiler más alto registrado de casi 20 euros el metro cuadrado</w:t>
      </w:r>
    </w:p>
    <w:p w14:paraId="0000000C" w14:textId="77777777" w:rsidR="00B66FE9" w:rsidRDefault="00000000">
      <w:pPr>
        <w:numPr>
          <w:ilvl w:val="0"/>
          <w:numId w:val="1"/>
        </w:numPr>
        <w:spacing w:line="276" w:lineRule="auto"/>
        <w:ind w:right="4"/>
        <w:jc w:val="both"/>
        <w:rPr>
          <w:rFonts w:ascii="Open Sans" w:eastAsia="Open Sans" w:hAnsi="Open Sans" w:cs="Open Sans"/>
        </w:rPr>
      </w:pPr>
      <w:r>
        <w:rPr>
          <w:rFonts w:ascii="Open Sans" w:eastAsia="Open Sans" w:hAnsi="Open Sans" w:cs="Open Sans"/>
          <w:color w:val="303AB2"/>
        </w:rPr>
        <w:t>Ambos mercados presentan máximos al mismo tiempo, lo que dificulta aún más las soluciones habitacionales en la capital</w:t>
      </w:r>
    </w:p>
    <w:p w14:paraId="0000000D" w14:textId="77777777" w:rsidR="00B66FE9" w:rsidRDefault="00B66FE9">
      <w:pPr>
        <w:pBdr>
          <w:top w:val="nil"/>
          <w:left w:val="nil"/>
          <w:bottom w:val="nil"/>
          <w:right w:val="nil"/>
          <w:between w:val="nil"/>
        </w:pBdr>
        <w:spacing w:line="276" w:lineRule="auto"/>
        <w:ind w:left="720"/>
        <w:jc w:val="both"/>
        <w:rPr>
          <w:rFonts w:ascii="Open Sans Light" w:eastAsia="Open Sans Light" w:hAnsi="Open Sans Light" w:cs="Open Sans Light"/>
          <w:b/>
          <w:color w:val="303AB2"/>
          <w:sz w:val="22"/>
          <w:szCs w:val="22"/>
        </w:rPr>
      </w:pPr>
    </w:p>
    <w:p w14:paraId="0000000E" w14:textId="77777777" w:rsidR="00B66FE9" w:rsidRDefault="00B66FE9">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0000000F" w14:textId="77777777" w:rsidR="00B66FE9"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23 de mayo de 2024</w:t>
      </w:r>
    </w:p>
    <w:p w14:paraId="00000010" w14:textId="77777777" w:rsidR="00B66FE9" w:rsidRDefault="00B66FE9">
      <w:pPr>
        <w:spacing w:line="276" w:lineRule="auto"/>
        <w:ind w:right="4"/>
        <w:jc w:val="both"/>
        <w:rPr>
          <w:rFonts w:ascii="Open Sans" w:eastAsia="Open Sans" w:hAnsi="Open Sans" w:cs="Open Sans"/>
        </w:rPr>
      </w:pPr>
    </w:p>
    <w:p w14:paraId="00000012" w14:textId="0BDE71B8" w:rsidR="00B66FE9" w:rsidRDefault="00000000">
      <w:pPr>
        <w:spacing w:line="276" w:lineRule="auto"/>
        <w:ind w:right="4"/>
        <w:jc w:val="both"/>
        <w:rPr>
          <w:rFonts w:ascii="Open Sans" w:eastAsia="Open Sans" w:hAnsi="Open Sans" w:cs="Open Sans"/>
        </w:rPr>
      </w:pPr>
      <w:r>
        <w:rPr>
          <w:rFonts w:ascii="Open Sans" w:eastAsia="Open Sans" w:hAnsi="Open Sans" w:cs="Open Sans"/>
        </w:rPr>
        <w:t xml:space="preserve">La ciudad de Madrid marca un récord en el precio de la vivienda al obtener el nivel máximo histórico, tanto en el mercado de la compraventa como en el mercado del alquiler, según los datos del </w:t>
      </w:r>
      <w:hyperlink r:id="rId9">
        <w:r>
          <w:rPr>
            <w:rFonts w:ascii="Open Sans" w:eastAsia="Open Sans" w:hAnsi="Open Sans" w:cs="Open Sans"/>
            <w:color w:val="1155CC"/>
            <w:u w:val="single"/>
          </w:rPr>
          <w:t>Índice Inmobiliario Fotocasa</w:t>
        </w:r>
      </w:hyperlink>
      <w:r>
        <w:rPr>
          <w:rFonts w:ascii="Open Sans" w:eastAsia="Open Sans" w:hAnsi="Open Sans" w:cs="Open Sans"/>
        </w:rPr>
        <w:t>. Madrid capital cierra el mes de</w:t>
      </w:r>
      <w:r>
        <w:rPr>
          <w:rFonts w:ascii="Open Sans" w:eastAsia="Open Sans" w:hAnsi="Open Sans" w:cs="Open Sans"/>
          <w:b/>
        </w:rPr>
        <w:t xml:space="preserve"> abril de 2024 alcanzando el precio máximo de compra con 5.188€/m², y muestra el precio más alto del alquiler con 19,91€/m².</w:t>
      </w:r>
      <w:r>
        <w:rPr>
          <w:rFonts w:ascii="Open Sans" w:eastAsia="Open Sans" w:hAnsi="Open Sans" w:cs="Open Sans"/>
        </w:rPr>
        <w:t xml:space="preserve"> Las dos marcas superan las registradas durante la burbuja inmobiliaria de 2007, cuando de forma unánime en toda España se llegó a los mayores precios de la serie evolutiva.</w:t>
      </w:r>
    </w:p>
    <w:p w14:paraId="6C7DD490" w14:textId="77777777" w:rsidR="00FC6D49" w:rsidRDefault="00FC6D49">
      <w:pPr>
        <w:spacing w:line="276" w:lineRule="auto"/>
        <w:ind w:right="4"/>
        <w:jc w:val="both"/>
        <w:rPr>
          <w:rFonts w:ascii="Open Sans" w:eastAsia="Open Sans" w:hAnsi="Open Sans" w:cs="Open Sans"/>
        </w:rPr>
      </w:pPr>
    </w:p>
    <w:p w14:paraId="54E180C6" w14:textId="77777777" w:rsidR="00FC6D49" w:rsidRDefault="00FC6D49">
      <w:pPr>
        <w:spacing w:line="276" w:lineRule="auto"/>
        <w:ind w:right="4"/>
        <w:jc w:val="both"/>
        <w:rPr>
          <w:rFonts w:ascii="Open Sans" w:eastAsia="Open Sans" w:hAnsi="Open Sans" w:cs="Open Sans"/>
        </w:rPr>
      </w:pPr>
    </w:p>
    <w:p w14:paraId="6B77B642" w14:textId="77777777" w:rsidR="00FC6D49" w:rsidRDefault="00FC6D49">
      <w:pPr>
        <w:spacing w:line="276" w:lineRule="auto"/>
        <w:ind w:right="4"/>
        <w:jc w:val="both"/>
        <w:rPr>
          <w:rFonts w:ascii="Open Sans" w:eastAsia="Open Sans" w:hAnsi="Open Sans" w:cs="Open Sans"/>
        </w:rPr>
      </w:pPr>
    </w:p>
    <w:p w14:paraId="64EBCCA1" w14:textId="77777777" w:rsidR="00FC6D49" w:rsidRDefault="00FC6D49">
      <w:pPr>
        <w:spacing w:line="276" w:lineRule="auto"/>
        <w:ind w:right="4"/>
        <w:jc w:val="both"/>
        <w:rPr>
          <w:rFonts w:ascii="Open Sans" w:eastAsia="Open Sans" w:hAnsi="Open Sans" w:cs="Open Sans"/>
        </w:rPr>
      </w:pPr>
    </w:p>
    <w:p w14:paraId="00000013" w14:textId="77777777" w:rsidR="00B66FE9" w:rsidRDefault="00000000">
      <w:pPr>
        <w:spacing w:line="276" w:lineRule="auto"/>
        <w:ind w:right="-567"/>
        <w:jc w:val="both"/>
        <w:rPr>
          <w:rFonts w:ascii="Open Sans" w:eastAsia="Open Sans" w:hAnsi="Open Sans" w:cs="Open Sans"/>
          <w:b/>
          <w:color w:val="303AB2"/>
          <w:sz w:val="28"/>
          <w:szCs w:val="28"/>
        </w:rPr>
      </w:pPr>
      <w:r>
        <w:rPr>
          <w:rFonts w:ascii="Open Sans" w:eastAsia="Open Sans" w:hAnsi="Open Sans" w:cs="Open Sans"/>
          <w:b/>
          <w:color w:val="303AB2"/>
          <w:sz w:val="28"/>
          <w:szCs w:val="28"/>
        </w:rPr>
        <w:lastRenderedPageBreak/>
        <w:t>El precio de la compra en Madrid capital</w:t>
      </w:r>
    </w:p>
    <w:p w14:paraId="0A8955E2" w14:textId="77777777" w:rsidR="00FC6D49" w:rsidRDefault="00FC6D49">
      <w:pPr>
        <w:spacing w:line="276" w:lineRule="auto"/>
        <w:ind w:right="-567"/>
        <w:jc w:val="both"/>
        <w:rPr>
          <w:rFonts w:ascii="Open Sans" w:eastAsia="Open Sans" w:hAnsi="Open Sans" w:cs="Open Sans"/>
        </w:rPr>
      </w:pPr>
    </w:p>
    <w:p w14:paraId="00000014" w14:textId="77777777" w:rsidR="00B66FE9" w:rsidRDefault="00000000">
      <w:pPr>
        <w:spacing w:line="276" w:lineRule="auto"/>
        <w:ind w:right="4"/>
        <w:jc w:val="both"/>
        <w:rPr>
          <w:rFonts w:ascii="Open Sans" w:eastAsia="Open Sans" w:hAnsi="Open Sans" w:cs="Open Sans"/>
        </w:rPr>
      </w:pPr>
      <w:r>
        <w:rPr>
          <w:rFonts w:ascii="Open Sans" w:eastAsia="Open Sans" w:hAnsi="Open Sans" w:cs="Open Sans"/>
        </w:rPr>
        <w:t xml:space="preserve">En el mercado de la compraventa el incremento interanual es de doble dígito, al presentar una subida del 20,8%. Este aumento tan significativo ha ocasionado que Madrid se convierta en la cuarta ciudad de España, tras Palma de Mallorca, Málaga y Las Palmas de Gran Canaria en alcanzar precios máximos en la compra de vivienda. En estos momentos, </w:t>
      </w:r>
      <w:r>
        <w:rPr>
          <w:rFonts w:ascii="Open Sans" w:eastAsia="Open Sans" w:hAnsi="Open Sans" w:cs="Open Sans"/>
          <w:b/>
        </w:rPr>
        <w:t xml:space="preserve">el precio de la vivienda madrileña de segunda mano </w:t>
      </w:r>
      <w:r>
        <w:rPr>
          <w:rFonts w:ascii="Open Sans" w:eastAsia="Open Sans" w:hAnsi="Open Sans" w:cs="Open Sans"/>
        </w:rPr>
        <w:t xml:space="preserve">(5.188€/m²) </w:t>
      </w:r>
      <w:r>
        <w:rPr>
          <w:rFonts w:ascii="Open Sans" w:eastAsia="Open Sans" w:hAnsi="Open Sans" w:cs="Open Sans"/>
          <w:b/>
        </w:rPr>
        <w:t>se encuentra un 15% por encima del precio registrado durante la burbuja inmobiliaria de 2007</w:t>
      </w:r>
      <w:r>
        <w:rPr>
          <w:rFonts w:ascii="Open Sans" w:eastAsia="Open Sans" w:hAnsi="Open Sans" w:cs="Open Sans"/>
        </w:rPr>
        <w:t xml:space="preserve">, cuando era de 4.523€/m². Esta cifra de abril de 2024 sitúa el precio de una vivienda tipo de 80m² en la capital en 415.040 euros.  </w:t>
      </w:r>
    </w:p>
    <w:p w14:paraId="00000015" w14:textId="63ACF82B" w:rsidR="00B66FE9" w:rsidRDefault="0020457A" w:rsidP="0020457A">
      <w:pPr>
        <w:pBdr>
          <w:top w:val="nil"/>
          <w:left w:val="nil"/>
          <w:bottom w:val="nil"/>
          <w:right w:val="nil"/>
          <w:between w:val="nil"/>
        </w:pBdr>
        <w:shd w:val="clear" w:color="auto" w:fill="FFFFFF"/>
        <w:tabs>
          <w:tab w:val="left" w:pos="5529"/>
        </w:tabs>
        <w:spacing w:before="280" w:after="280" w:line="276" w:lineRule="auto"/>
        <w:jc w:val="center"/>
        <w:rPr>
          <w:rFonts w:ascii="Open Sans" w:eastAsia="Open Sans" w:hAnsi="Open Sans" w:cs="Open Sans"/>
          <w:b/>
          <w:color w:val="303AB2"/>
          <w:sz w:val="26"/>
          <w:szCs w:val="26"/>
        </w:rPr>
      </w:pPr>
      <w:r>
        <w:rPr>
          <w:noProof/>
        </w:rPr>
        <w:drawing>
          <wp:anchor distT="0" distB="0" distL="114300" distR="114300" simplePos="0" relativeHeight="251659264" behindDoc="1" locked="0" layoutInCell="1" allowOverlap="1" wp14:anchorId="214D5744" wp14:editId="358AFAF4">
            <wp:simplePos x="0" y="0"/>
            <wp:positionH relativeFrom="margin">
              <wp:posOffset>-310515</wp:posOffset>
            </wp:positionH>
            <wp:positionV relativeFrom="paragraph">
              <wp:posOffset>534670</wp:posOffset>
            </wp:positionV>
            <wp:extent cx="6287770" cy="3081020"/>
            <wp:effectExtent l="0" t="0" r="0" b="5080"/>
            <wp:wrapTight wrapText="bothSides">
              <wp:wrapPolygon edited="0">
                <wp:start x="0" y="0"/>
                <wp:lineTo x="0" y="21502"/>
                <wp:lineTo x="21530" y="21502"/>
                <wp:lineTo x="21530" y="0"/>
                <wp:lineTo x="0" y="0"/>
              </wp:wrapPolygon>
            </wp:wrapTight>
            <wp:docPr id="2005292043" name="Imagen 1" descr="Gráfico, Gráfico de barras,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292043" name="Imagen 1" descr="Gráfico, Gráfico de barras, Histograma&#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6287770" cy="3081020"/>
                    </a:xfrm>
                    <a:prstGeom prst="rect">
                      <a:avLst/>
                    </a:prstGeom>
                  </pic:spPr>
                </pic:pic>
              </a:graphicData>
            </a:graphic>
            <wp14:sizeRelH relativeFrom="margin">
              <wp14:pctWidth>0</wp14:pctWidth>
            </wp14:sizeRelH>
            <wp14:sizeRelV relativeFrom="margin">
              <wp14:pctHeight>0</wp14:pctHeight>
            </wp14:sizeRelV>
          </wp:anchor>
        </w:drawing>
      </w:r>
      <w:r w:rsidR="00000000">
        <w:rPr>
          <w:rFonts w:ascii="Open Sans" w:eastAsia="Open Sans" w:hAnsi="Open Sans" w:cs="Open Sans"/>
          <w:b/>
          <w:color w:val="303AB2"/>
          <w:sz w:val="26"/>
          <w:szCs w:val="26"/>
        </w:rPr>
        <w:t>Variación interanual de los últimos 24 meses</w:t>
      </w:r>
    </w:p>
    <w:p w14:paraId="00000017" w14:textId="77777777" w:rsidR="00B66FE9" w:rsidRDefault="00B66FE9">
      <w:pPr>
        <w:spacing w:line="276" w:lineRule="auto"/>
        <w:ind w:right="4"/>
        <w:jc w:val="both"/>
        <w:rPr>
          <w:rFonts w:ascii="Open Sans" w:eastAsia="Open Sans" w:hAnsi="Open Sans" w:cs="Open Sans"/>
        </w:rPr>
      </w:pPr>
    </w:p>
    <w:p w14:paraId="00000018" w14:textId="77777777" w:rsidR="00B66FE9" w:rsidRDefault="00000000">
      <w:pPr>
        <w:spacing w:line="276" w:lineRule="auto"/>
        <w:ind w:right="4"/>
        <w:jc w:val="both"/>
        <w:rPr>
          <w:rFonts w:ascii="Open Sans" w:eastAsia="Open Sans" w:hAnsi="Open Sans" w:cs="Open Sans"/>
        </w:rPr>
      </w:pPr>
      <w:r>
        <w:rPr>
          <w:rFonts w:ascii="Open Sans" w:eastAsia="Open Sans" w:hAnsi="Open Sans" w:cs="Open Sans"/>
        </w:rPr>
        <w:t>El mercado de la vivienda de segunda mano en Madrid inició su encarecimiento coincidiendo con la primera subida de los tipos de interés en julio de 2022 y el consecuente ascenso del Euríbor. Esta tendencia de aceleración del crecimiento cumple veinticuatro meses de subidas abultadas y supone el mayor ritmo de crecimiento de la vivienda en la ciudad de los últimos 18 años.</w:t>
      </w:r>
    </w:p>
    <w:p w14:paraId="00000019" w14:textId="77777777" w:rsidR="00B66FE9" w:rsidRDefault="00B66FE9">
      <w:pPr>
        <w:spacing w:line="276" w:lineRule="auto"/>
        <w:ind w:right="4"/>
        <w:jc w:val="both"/>
        <w:rPr>
          <w:rFonts w:ascii="Open Sans" w:eastAsia="Open Sans" w:hAnsi="Open Sans" w:cs="Open Sans"/>
        </w:rPr>
      </w:pPr>
    </w:p>
    <w:p w14:paraId="40466D26" w14:textId="77777777" w:rsidR="0020457A" w:rsidRDefault="0020457A">
      <w:pPr>
        <w:spacing w:line="276" w:lineRule="auto"/>
        <w:ind w:right="4"/>
        <w:jc w:val="both"/>
        <w:rPr>
          <w:rFonts w:ascii="Open Sans" w:eastAsia="Open Sans" w:hAnsi="Open Sans" w:cs="Open Sans"/>
        </w:rPr>
      </w:pPr>
    </w:p>
    <w:p w14:paraId="7A541F18" w14:textId="77777777" w:rsidR="0020457A" w:rsidRDefault="0020457A">
      <w:pPr>
        <w:spacing w:line="276" w:lineRule="auto"/>
        <w:ind w:right="4"/>
        <w:jc w:val="both"/>
        <w:rPr>
          <w:rFonts w:ascii="Open Sans" w:eastAsia="Open Sans" w:hAnsi="Open Sans" w:cs="Open Sans"/>
        </w:rPr>
      </w:pPr>
    </w:p>
    <w:p w14:paraId="0000001A" w14:textId="77777777" w:rsidR="00B66FE9" w:rsidRDefault="00B66FE9">
      <w:pPr>
        <w:spacing w:line="276" w:lineRule="auto"/>
        <w:ind w:right="4"/>
        <w:jc w:val="both"/>
        <w:rPr>
          <w:rFonts w:ascii="Open Sans" w:eastAsia="Open Sans" w:hAnsi="Open Sans" w:cs="Open Sans"/>
        </w:rPr>
      </w:pPr>
    </w:p>
    <w:p w14:paraId="0000001B" w14:textId="77777777" w:rsidR="00B66FE9" w:rsidRPr="007A16F2" w:rsidRDefault="00000000">
      <w:pPr>
        <w:spacing w:line="276" w:lineRule="auto"/>
        <w:ind w:right="4"/>
        <w:jc w:val="center"/>
        <w:rPr>
          <w:rFonts w:ascii="Open Sans" w:eastAsia="Open Sans" w:hAnsi="Open Sans" w:cs="Open Sans"/>
          <w:b/>
          <w:color w:val="303AB2"/>
          <w:sz w:val="28"/>
          <w:szCs w:val="28"/>
        </w:rPr>
      </w:pPr>
      <w:r w:rsidRPr="007A16F2">
        <w:rPr>
          <w:rFonts w:ascii="Open Sans Light" w:eastAsia="Open Sans Light" w:hAnsi="Open Sans Light" w:cs="Open Sans Light"/>
          <w:b/>
          <w:color w:val="303AB2"/>
        </w:rPr>
        <w:lastRenderedPageBreak/>
        <w:t>Comparativa evolución precio VENTA entre Madrid y la media española</w:t>
      </w:r>
    </w:p>
    <w:p w14:paraId="0000001C" w14:textId="7613797B" w:rsidR="00B66FE9" w:rsidRDefault="007A16F2">
      <w:pPr>
        <w:spacing w:line="276" w:lineRule="auto"/>
        <w:ind w:right="4"/>
        <w:jc w:val="both"/>
        <w:rPr>
          <w:rFonts w:ascii="Open Sans" w:eastAsia="Open Sans" w:hAnsi="Open Sans" w:cs="Open Sans"/>
        </w:rPr>
      </w:pPr>
      <w:r>
        <w:rPr>
          <w:noProof/>
        </w:rPr>
        <w:drawing>
          <wp:inline distT="0" distB="0" distL="0" distR="0" wp14:anchorId="64286C63" wp14:editId="21DE3F6D">
            <wp:extent cx="5692140" cy="3741420"/>
            <wp:effectExtent l="0" t="0" r="3810" b="0"/>
            <wp:docPr id="1009487070" name="Gráfico 1">
              <a:extLst xmlns:a="http://schemas.openxmlformats.org/drawingml/2006/main">
                <a:ext uri="{FF2B5EF4-FFF2-40B4-BE49-F238E27FC236}">
                  <a16:creationId xmlns:a16="http://schemas.microsoft.com/office/drawing/2014/main" id="{961450BD-8C55-0C63-843C-5DF4DCE9DB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000001D" w14:textId="77777777" w:rsidR="00B66FE9" w:rsidRDefault="00000000">
      <w:pPr>
        <w:shd w:val="clear" w:color="auto" w:fill="FFFFFF"/>
        <w:spacing w:before="280" w:after="280" w:line="276" w:lineRule="auto"/>
        <w:jc w:val="both"/>
        <w:rPr>
          <w:rFonts w:ascii="Open Sans" w:eastAsia="Open Sans" w:hAnsi="Open Sans" w:cs="Open Sans"/>
        </w:rPr>
      </w:pPr>
      <w:r>
        <w:rPr>
          <w:rFonts w:ascii="Open Sans" w:eastAsia="Open Sans" w:hAnsi="Open Sans" w:cs="Open Sans"/>
        </w:rPr>
        <w:t xml:space="preserve">“Nunca habíamos detectado un incremento del precio tan abultado durante un periodo tan largo. Esta subida nos devuelve a niveles de 2006, previos a la burbuja inmobiliaria cuando el coste de la vivienda sufrió un gran calentamiento. Estos incrementos tan significativos, coinciden con el cambio de política monetaria de la subida de tipos de interés por parte del BCE. Esto ha provocado el auge de la demanda extranjera y que la local se haya especializado y se focalice en muchos casos en la compra para inversión. Madrid acoge cada año a más de 40.000 vecinos y sin embargo tan solo se construyen alrededor de 15.000 viviendas, por lo que la falta de oferta es la responsable de este tensionamiento que no da signos de templanza”, comenta María Matos, directora de Estudios y Portavoz de </w:t>
      </w:r>
      <w:hyperlink r:id="rId12">
        <w:r>
          <w:rPr>
            <w:rFonts w:ascii="Open Sans" w:eastAsia="Open Sans" w:hAnsi="Open Sans" w:cs="Open Sans"/>
            <w:color w:val="1155CC"/>
            <w:u w:val="single"/>
          </w:rPr>
          <w:t>Fotocasa</w:t>
        </w:r>
      </w:hyperlink>
      <w:r>
        <w:rPr>
          <w:rFonts w:ascii="Open Sans" w:eastAsia="Open Sans" w:hAnsi="Open Sans" w:cs="Open Sans"/>
        </w:rPr>
        <w:t>.</w:t>
      </w:r>
    </w:p>
    <w:p w14:paraId="0000001E" w14:textId="77777777" w:rsidR="00B66FE9" w:rsidRDefault="00000000">
      <w:pPr>
        <w:spacing w:line="276" w:lineRule="auto"/>
        <w:ind w:right="-567"/>
        <w:jc w:val="both"/>
        <w:rPr>
          <w:rFonts w:ascii="Open Sans" w:eastAsia="Open Sans" w:hAnsi="Open Sans" w:cs="Open Sans"/>
        </w:rPr>
      </w:pPr>
      <w:r>
        <w:rPr>
          <w:rFonts w:ascii="Open Sans" w:eastAsia="Open Sans" w:hAnsi="Open Sans" w:cs="Open Sans"/>
          <w:b/>
          <w:color w:val="303AB2"/>
          <w:sz w:val="28"/>
          <w:szCs w:val="28"/>
        </w:rPr>
        <w:t>El precio del alquiler en Madrid capital</w:t>
      </w:r>
    </w:p>
    <w:p w14:paraId="0000001F" w14:textId="77777777" w:rsidR="00B66FE9" w:rsidRDefault="00B66FE9">
      <w:pPr>
        <w:spacing w:line="276" w:lineRule="auto"/>
        <w:ind w:right="-567"/>
        <w:jc w:val="both"/>
        <w:rPr>
          <w:rFonts w:ascii="Open Sans" w:eastAsia="Open Sans" w:hAnsi="Open Sans" w:cs="Open Sans"/>
        </w:rPr>
      </w:pPr>
    </w:p>
    <w:p w14:paraId="00000020" w14:textId="77777777" w:rsidR="00B66FE9" w:rsidRDefault="00000000">
      <w:pPr>
        <w:spacing w:line="276" w:lineRule="auto"/>
        <w:ind w:right="4"/>
        <w:jc w:val="both"/>
        <w:rPr>
          <w:rFonts w:ascii="Open Sans" w:eastAsia="Open Sans" w:hAnsi="Open Sans" w:cs="Open Sans"/>
        </w:rPr>
      </w:pPr>
      <w:r>
        <w:rPr>
          <w:rFonts w:ascii="Open Sans" w:eastAsia="Open Sans" w:hAnsi="Open Sans" w:cs="Open Sans"/>
        </w:rPr>
        <w:t xml:space="preserve">Más preocupante es quizás, la situación del mercado del alquiler que lleva marcando precios récord desde julio de 2022, también coincidiendo con el cambio en la política monetaria con la primera subida de los tipos. El coste del alquiler mensual ha pasado de los 16 euros el metro cuadrado a rozar los 20 €/m² </w:t>
      </w:r>
      <w:r>
        <w:rPr>
          <w:rFonts w:ascii="Open Sans" w:eastAsia="Open Sans" w:hAnsi="Open Sans" w:cs="Open Sans"/>
        </w:rPr>
        <w:lastRenderedPageBreak/>
        <w:t xml:space="preserve">(19,91€/m²), lo que lo sitúa en el precio máximo desde que el </w:t>
      </w:r>
      <w:hyperlink r:id="rId13">
        <w:r>
          <w:rPr>
            <w:rFonts w:ascii="Open Sans" w:eastAsia="Open Sans" w:hAnsi="Open Sans" w:cs="Open Sans"/>
            <w:color w:val="1155CC"/>
            <w:u w:val="single"/>
          </w:rPr>
          <w:t>Índice Inmobiliario Fotocasa</w:t>
        </w:r>
      </w:hyperlink>
      <w:r>
        <w:rPr>
          <w:rFonts w:ascii="Open Sans" w:eastAsia="Open Sans" w:hAnsi="Open Sans" w:cs="Open Sans"/>
        </w:rPr>
        <w:t xml:space="preserve"> tiene registros. </w:t>
      </w:r>
    </w:p>
    <w:p w14:paraId="00000021" w14:textId="77777777" w:rsidR="00B66FE9" w:rsidRDefault="00B66FE9">
      <w:pPr>
        <w:spacing w:line="276" w:lineRule="auto"/>
        <w:ind w:right="4"/>
        <w:jc w:val="both"/>
        <w:rPr>
          <w:rFonts w:ascii="Open Sans" w:eastAsia="Open Sans" w:hAnsi="Open Sans" w:cs="Open Sans"/>
        </w:rPr>
      </w:pPr>
    </w:p>
    <w:p w14:paraId="00000022" w14:textId="77777777" w:rsidR="00B66FE9" w:rsidRDefault="00000000">
      <w:pPr>
        <w:spacing w:line="276" w:lineRule="auto"/>
        <w:ind w:right="4"/>
        <w:jc w:val="both"/>
        <w:rPr>
          <w:rFonts w:ascii="Open Sans" w:eastAsia="Open Sans" w:hAnsi="Open Sans" w:cs="Open Sans"/>
        </w:rPr>
      </w:pPr>
      <w:r>
        <w:rPr>
          <w:rFonts w:ascii="Open Sans" w:eastAsia="Open Sans" w:hAnsi="Open Sans" w:cs="Open Sans"/>
        </w:rPr>
        <w:t>La variación del precio también es muy significativa. Presenta un incremento de doble dígito, del 12,8%, y lleva veintitrés meses consecutivos con subidas acusadas, de dos cifras. A partir de entonces, la transformación del arrendamiento ha sido muy acelerada, ya que esta situación supone el mayor encarecimiento del precio en un periodo tan corto.</w:t>
      </w:r>
    </w:p>
    <w:p w14:paraId="00000023" w14:textId="77777777" w:rsidR="00B66FE9" w:rsidRDefault="00B66FE9">
      <w:pPr>
        <w:spacing w:line="276" w:lineRule="auto"/>
        <w:ind w:right="4"/>
        <w:jc w:val="both"/>
        <w:rPr>
          <w:rFonts w:ascii="Open Sans" w:eastAsia="Open Sans" w:hAnsi="Open Sans" w:cs="Open Sans"/>
        </w:rPr>
      </w:pPr>
    </w:p>
    <w:p w14:paraId="00000024" w14:textId="1945B558" w:rsidR="00B66FE9" w:rsidRDefault="00BF7318">
      <w:pPr>
        <w:shd w:val="clear" w:color="auto" w:fill="FFFFFF"/>
        <w:spacing w:before="280" w:after="280" w:line="276" w:lineRule="auto"/>
        <w:jc w:val="center"/>
        <w:rPr>
          <w:rFonts w:ascii="Open Sans" w:eastAsia="Open Sans" w:hAnsi="Open Sans" w:cs="Open Sans"/>
          <w:b/>
          <w:color w:val="303AB2"/>
          <w:sz w:val="26"/>
          <w:szCs w:val="26"/>
        </w:rPr>
      </w:pPr>
      <w:r>
        <w:rPr>
          <w:noProof/>
        </w:rPr>
        <w:drawing>
          <wp:anchor distT="0" distB="0" distL="114300" distR="114300" simplePos="0" relativeHeight="251660288" behindDoc="1" locked="0" layoutInCell="1" allowOverlap="1" wp14:anchorId="0260FF74" wp14:editId="58D520A4">
            <wp:simplePos x="0" y="0"/>
            <wp:positionH relativeFrom="column">
              <wp:posOffset>-676275</wp:posOffset>
            </wp:positionH>
            <wp:positionV relativeFrom="paragraph">
              <wp:posOffset>617220</wp:posOffset>
            </wp:positionV>
            <wp:extent cx="6690360" cy="3550920"/>
            <wp:effectExtent l="0" t="0" r="0" b="0"/>
            <wp:wrapTight wrapText="bothSides">
              <wp:wrapPolygon edited="0">
                <wp:start x="62" y="0"/>
                <wp:lineTo x="0" y="348"/>
                <wp:lineTo x="0" y="21206"/>
                <wp:lineTo x="62" y="21438"/>
                <wp:lineTo x="21465" y="21438"/>
                <wp:lineTo x="21526" y="21206"/>
                <wp:lineTo x="21526" y="348"/>
                <wp:lineTo x="21465" y="0"/>
                <wp:lineTo x="62" y="0"/>
              </wp:wrapPolygon>
            </wp:wrapTight>
            <wp:docPr id="1904834755" name="Gráfico 1" title="Gráfico">
              <a:extLst xmlns:a="http://schemas.openxmlformats.org/drawingml/2006/main">
                <a:ext uri="{FF2B5EF4-FFF2-40B4-BE49-F238E27FC236}">
                  <a16:creationId xmlns:a16="http://schemas.microsoft.com/office/drawing/2014/main" id="{00000000-0008-0000-0200-00003E9070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000000">
        <w:rPr>
          <w:rFonts w:ascii="Open Sans" w:eastAsia="Open Sans" w:hAnsi="Open Sans" w:cs="Open Sans"/>
          <w:b/>
          <w:color w:val="303AB2"/>
          <w:sz w:val="26"/>
          <w:szCs w:val="26"/>
        </w:rPr>
        <w:t>Variación interanual de los últimos 26 meses</w:t>
      </w:r>
    </w:p>
    <w:p w14:paraId="7FC51D6D" w14:textId="77777777" w:rsidR="00BF7318" w:rsidRDefault="00BF7318">
      <w:pPr>
        <w:spacing w:line="276" w:lineRule="auto"/>
        <w:ind w:right="4"/>
        <w:jc w:val="both"/>
        <w:rPr>
          <w:rFonts w:ascii="Open Sans" w:eastAsia="Open Sans" w:hAnsi="Open Sans" w:cs="Open Sans"/>
          <w:b/>
        </w:rPr>
      </w:pPr>
    </w:p>
    <w:p w14:paraId="00000027" w14:textId="03521A3C" w:rsidR="00B66FE9" w:rsidRDefault="00000000">
      <w:pPr>
        <w:spacing w:line="276" w:lineRule="auto"/>
        <w:ind w:right="4"/>
        <w:jc w:val="both"/>
        <w:rPr>
          <w:rFonts w:ascii="Open Sans" w:eastAsia="Open Sans" w:hAnsi="Open Sans" w:cs="Open Sans"/>
        </w:rPr>
      </w:pPr>
      <w:r>
        <w:rPr>
          <w:rFonts w:ascii="Open Sans" w:eastAsia="Open Sans" w:hAnsi="Open Sans" w:cs="Open Sans"/>
          <w:b/>
        </w:rPr>
        <w:t xml:space="preserve">El coste del arrendamiento se halla un 49,2% por encima del precio de hace 18 años, </w:t>
      </w:r>
      <w:r>
        <w:rPr>
          <w:rFonts w:ascii="Open Sans" w:eastAsia="Open Sans" w:hAnsi="Open Sans" w:cs="Open Sans"/>
        </w:rPr>
        <w:t>ya que se situaba en los 13,34€/m² cuando en plena burbuja inmobiliaria de 2007 el alquiler atravesaba el mayor calentamiento de la serie histórica.</w:t>
      </w:r>
    </w:p>
    <w:p w14:paraId="00000028" w14:textId="77777777" w:rsidR="00B66FE9" w:rsidRDefault="00B66FE9">
      <w:pPr>
        <w:spacing w:line="276" w:lineRule="auto"/>
        <w:ind w:right="4"/>
        <w:jc w:val="both"/>
        <w:rPr>
          <w:rFonts w:ascii="Open Sans" w:eastAsia="Open Sans" w:hAnsi="Open Sans" w:cs="Open Sans"/>
        </w:rPr>
      </w:pPr>
    </w:p>
    <w:p w14:paraId="00000029" w14:textId="77777777" w:rsidR="00B66FE9" w:rsidRDefault="00000000">
      <w:pPr>
        <w:spacing w:line="276" w:lineRule="auto"/>
        <w:ind w:right="4"/>
        <w:jc w:val="both"/>
        <w:rPr>
          <w:rFonts w:ascii="Open Sans" w:eastAsia="Open Sans" w:hAnsi="Open Sans" w:cs="Open Sans"/>
        </w:rPr>
      </w:pPr>
      <w:r>
        <w:rPr>
          <w:rFonts w:ascii="Open Sans" w:eastAsia="Open Sans" w:hAnsi="Open Sans" w:cs="Open Sans"/>
        </w:rPr>
        <w:t xml:space="preserve">“El precio del alquiler en la ciudad de Madrid, al igual que en la comunidad y en prácticamente toda España, alcanza su nivel máximo histórico una vez más, con una tendencia alcista. Desde la recuperación de la crisis financiera, en 2015, Madrid sigue la misma tendencia de la media española, pero de una forma más acentuada e intensa y presentando incrementos mucho más acusados. Aunque 2024 marca un hito en la evolución de este mercado con escasa oferta de vivienda </w:t>
      </w:r>
      <w:r>
        <w:rPr>
          <w:rFonts w:ascii="Open Sans" w:eastAsia="Open Sans" w:hAnsi="Open Sans" w:cs="Open Sans"/>
        </w:rPr>
        <w:lastRenderedPageBreak/>
        <w:t xml:space="preserve">en renta disponible, por lo que cada vez la brecha entre oferta y demanda es más considerable. La facilidad en la venta, los índices de inflación y la intervención en el mercado han causado la fuga de las viviendas de alquiler de larga duración a los regímenes temporales, turísticos o de habitaciones que han ocasionado que el stock esté en mínimos históricos”, explica María Matos, directora de Estudios y Portavoz de </w:t>
      </w:r>
      <w:hyperlink r:id="rId15">
        <w:r>
          <w:rPr>
            <w:rFonts w:ascii="Open Sans" w:eastAsia="Open Sans" w:hAnsi="Open Sans" w:cs="Open Sans"/>
            <w:color w:val="1155CC"/>
            <w:u w:val="single"/>
          </w:rPr>
          <w:t>Fotocasa</w:t>
        </w:r>
      </w:hyperlink>
      <w:r>
        <w:rPr>
          <w:rFonts w:ascii="Open Sans" w:eastAsia="Open Sans" w:hAnsi="Open Sans" w:cs="Open Sans"/>
        </w:rPr>
        <w:t>.</w:t>
      </w:r>
    </w:p>
    <w:p w14:paraId="0000002A" w14:textId="48769DA4" w:rsidR="00B66FE9" w:rsidRDefault="00B66FE9">
      <w:pPr>
        <w:spacing w:line="276" w:lineRule="auto"/>
        <w:ind w:right="4"/>
        <w:jc w:val="both"/>
        <w:rPr>
          <w:rFonts w:ascii="Open Sans" w:eastAsia="Open Sans" w:hAnsi="Open Sans" w:cs="Open Sans"/>
        </w:rPr>
      </w:pPr>
    </w:p>
    <w:p w14:paraId="0000002B" w14:textId="77777777" w:rsidR="00B66FE9" w:rsidRPr="007A16F2" w:rsidRDefault="00000000">
      <w:pPr>
        <w:spacing w:line="276" w:lineRule="auto"/>
        <w:ind w:right="4"/>
        <w:jc w:val="center"/>
        <w:rPr>
          <w:rFonts w:ascii="Open Sans Light" w:eastAsia="Open Sans Light" w:hAnsi="Open Sans Light" w:cs="Open Sans Light"/>
          <w:b/>
          <w:color w:val="303AB2"/>
        </w:rPr>
      </w:pPr>
      <w:r w:rsidRPr="007A16F2">
        <w:rPr>
          <w:rFonts w:ascii="Open Sans Light" w:eastAsia="Open Sans Light" w:hAnsi="Open Sans Light" w:cs="Open Sans Light"/>
          <w:b/>
          <w:color w:val="303AB2"/>
        </w:rPr>
        <w:t>Comparativa evolución precio ALQUILER entre Madrid y la media española</w:t>
      </w:r>
    </w:p>
    <w:p w14:paraId="217D4692" w14:textId="7EC3B280" w:rsidR="00FC6D49" w:rsidRDefault="00A62C10">
      <w:pPr>
        <w:spacing w:line="276" w:lineRule="auto"/>
        <w:ind w:right="4"/>
        <w:jc w:val="center"/>
        <w:rPr>
          <w:rFonts w:ascii="Open Sans Light" w:eastAsia="Open Sans Light" w:hAnsi="Open Sans Light" w:cs="Open Sans Light"/>
          <w:b/>
          <w:color w:val="303AB2"/>
          <w:sz w:val="22"/>
          <w:szCs w:val="22"/>
        </w:rPr>
      </w:pPr>
      <w:r>
        <w:rPr>
          <w:noProof/>
        </w:rPr>
        <w:drawing>
          <wp:anchor distT="0" distB="0" distL="114300" distR="114300" simplePos="0" relativeHeight="251661312" behindDoc="1" locked="0" layoutInCell="1" allowOverlap="1" wp14:anchorId="1BF2E15F" wp14:editId="67FA2A6F">
            <wp:simplePos x="0" y="0"/>
            <wp:positionH relativeFrom="column">
              <wp:posOffset>-211455</wp:posOffset>
            </wp:positionH>
            <wp:positionV relativeFrom="paragraph">
              <wp:posOffset>215900</wp:posOffset>
            </wp:positionV>
            <wp:extent cx="6096000" cy="3482340"/>
            <wp:effectExtent l="0" t="0" r="0" b="3810"/>
            <wp:wrapTight wrapText="bothSides">
              <wp:wrapPolygon edited="0">
                <wp:start x="0" y="0"/>
                <wp:lineTo x="0" y="21505"/>
                <wp:lineTo x="21533" y="21505"/>
                <wp:lineTo x="21533" y="0"/>
                <wp:lineTo x="0" y="0"/>
              </wp:wrapPolygon>
            </wp:wrapTight>
            <wp:docPr id="1613126271" name="Gráfico 1">
              <a:extLst xmlns:a="http://schemas.openxmlformats.org/drawingml/2006/main">
                <a:ext uri="{FF2B5EF4-FFF2-40B4-BE49-F238E27FC236}">
                  <a16:creationId xmlns:a16="http://schemas.microsoft.com/office/drawing/2014/main" id="{CD958B70-411A-E571-DA4C-3BC1117606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anchor>
        </w:drawing>
      </w:r>
    </w:p>
    <w:p w14:paraId="1B05AFE1" w14:textId="7880C2F2" w:rsidR="00FC6D49" w:rsidRDefault="00FC6D49">
      <w:pPr>
        <w:spacing w:line="276" w:lineRule="auto"/>
        <w:ind w:right="4"/>
        <w:jc w:val="center"/>
        <w:rPr>
          <w:rFonts w:ascii="Open Sans Light" w:eastAsia="Open Sans Light" w:hAnsi="Open Sans Light" w:cs="Open Sans Light"/>
          <w:b/>
          <w:color w:val="303AB2"/>
          <w:sz w:val="22"/>
          <w:szCs w:val="22"/>
        </w:rPr>
      </w:pPr>
    </w:p>
    <w:p w14:paraId="58C27E0F" w14:textId="77777777" w:rsidR="00FC6D49" w:rsidRDefault="00FC6D49">
      <w:pPr>
        <w:spacing w:line="276" w:lineRule="auto"/>
        <w:ind w:right="4"/>
        <w:jc w:val="center"/>
        <w:rPr>
          <w:rFonts w:ascii="Open Sans Light" w:eastAsia="Open Sans Light" w:hAnsi="Open Sans Light" w:cs="Open Sans Light"/>
          <w:b/>
          <w:color w:val="303AB2"/>
          <w:sz w:val="22"/>
          <w:szCs w:val="22"/>
        </w:rPr>
      </w:pPr>
    </w:p>
    <w:p w14:paraId="0000002C" w14:textId="77777777" w:rsidR="00B66FE9" w:rsidRDefault="00B66FE9">
      <w:pPr>
        <w:spacing w:line="276" w:lineRule="auto"/>
        <w:ind w:right="4"/>
        <w:jc w:val="both"/>
        <w:rPr>
          <w:rFonts w:ascii="Open Sans Light" w:eastAsia="Open Sans Light" w:hAnsi="Open Sans Light" w:cs="Open Sans Light"/>
          <w:b/>
          <w:color w:val="303AB2"/>
          <w:sz w:val="22"/>
          <w:szCs w:val="22"/>
        </w:rPr>
      </w:pPr>
    </w:p>
    <w:p w14:paraId="00000030" w14:textId="77777777" w:rsidR="00B66FE9" w:rsidRDefault="00000000">
      <w:pPr>
        <w:spacing w:line="276" w:lineRule="auto"/>
        <w:jc w:val="right"/>
        <w:rPr>
          <w:rFonts w:ascii="Open Sans Light" w:eastAsia="Open Sans Light" w:hAnsi="Open Sans Light" w:cs="Open Sans Light"/>
          <w:b/>
          <w:color w:val="303AB2"/>
        </w:rPr>
      </w:pPr>
      <w:bookmarkStart w:id="0" w:name="_heading=h.m8bdt08trbuq" w:colFirst="0" w:colLast="0"/>
      <w:bookmarkStart w:id="1" w:name="_heading=h.gjdgxs" w:colFirst="0" w:colLast="0"/>
      <w:bookmarkEnd w:id="0"/>
      <w:bookmarkEnd w:id="1"/>
      <w:r>
        <w:rPr>
          <w:rFonts w:ascii="Open Sans Light" w:eastAsia="Open Sans Light" w:hAnsi="Open Sans Light" w:cs="Open Sans Light"/>
          <w:b/>
          <w:color w:val="303AB2"/>
        </w:rPr>
        <w:t>Sobre Fotocasa</w:t>
      </w:r>
    </w:p>
    <w:p w14:paraId="00000031" w14:textId="77777777" w:rsidR="00B66FE9" w:rsidRDefault="00000000">
      <w:pPr>
        <w:shd w:val="clear" w:color="auto" w:fill="FFFFFF"/>
        <w:spacing w:before="280" w:after="280" w:line="276"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7">
        <w:r>
          <w:rPr>
            <w:rFonts w:ascii="Open Sans" w:eastAsia="Open Sans" w:hAnsi="Open Sans" w:cs="Open Sans"/>
            <w:color w:val="0000FF"/>
            <w:sz w:val="22"/>
            <w:szCs w:val="22"/>
            <w:u w:val="single"/>
          </w:rPr>
          <w:t>índice inmobiliario Fotocasa</w:t>
        </w:r>
      </w:hyperlink>
      <w:r>
        <w:rPr>
          <w:rFonts w:ascii="Open Sans" w:eastAsia="Open Sans" w:hAnsi="Open Sans" w:cs="Open Sans"/>
          <w:color w:val="000000"/>
          <w:sz w:val="22"/>
          <w:szCs w:val="22"/>
        </w:rPr>
        <w:t xml:space="preserve">, un informe de referencia sobre la evolución del precio medio de la vivienda en España, tanto en venta como en alquiler. Toda nuestra información la puedes encontrar en nuestra </w:t>
      </w:r>
      <w:hyperlink r:id="rId18">
        <w:r>
          <w:rPr>
            <w:rFonts w:ascii="Open Sans" w:eastAsia="Open Sans" w:hAnsi="Open Sans" w:cs="Open Sans"/>
            <w:color w:val="0000FF"/>
            <w:sz w:val="22"/>
            <w:szCs w:val="22"/>
            <w:u w:val="single"/>
          </w:rPr>
          <w:t>Sala de Prensa</w:t>
        </w:r>
      </w:hyperlink>
      <w:r>
        <w:rPr>
          <w:rFonts w:ascii="Open Sans" w:eastAsia="Open Sans" w:hAnsi="Open Sans" w:cs="Open Sans"/>
          <w:color w:val="000000"/>
          <w:sz w:val="22"/>
          <w:szCs w:val="22"/>
        </w:rPr>
        <w:t xml:space="preserve">. </w:t>
      </w:r>
    </w:p>
    <w:bookmarkStart w:id="2" w:name="_heading=h.1fob9te" w:colFirst="0" w:colLast="0"/>
    <w:bookmarkEnd w:id="2"/>
    <w:p w14:paraId="00000032" w14:textId="77777777" w:rsidR="00B66FE9" w:rsidRDefault="00000000">
      <w:pPr>
        <w:shd w:val="clear" w:color="auto" w:fill="FFFFFF"/>
        <w:spacing w:before="280" w:after="280" w:line="276" w:lineRule="auto"/>
        <w:jc w:val="both"/>
        <w:rPr>
          <w:rFonts w:ascii="Open Sans" w:eastAsia="Open Sans" w:hAnsi="Open Sans" w:cs="Open Sans"/>
          <w:color w:val="000000"/>
          <w:sz w:val="22"/>
          <w:szCs w:val="22"/>
        </w:rPr>
      </w:pPr>
      <w:r>
        <w:lastRenderedPageBreak/>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color w:val="000000"/>
          <w:sz w:val="22"/>
          <w:szCs w:val="22"/>
        </w:rPr>
        <w:t> pertenece a </w:t>
      </w:r>
      <w:proofErr w:type="spellStart"/>
      <w:r>
        <w:fldChar w:fldCharType="begin"/>
      </w:r>
      <w:r>
        <w:instrText>HYPERLINK "https://www.adevinta.com/" \h</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xml:space="preserve">, una empresa 100% especializada en </w:t>
      </w:r>
      <w:proofErr w:type="spellStart"/>
      <w:r>
        <w:rPr>
          <w:rFonts w:ascii="Open Sans" w:eastAsia="Open Sans" w:hAnsi="Open Sans" w:cs="Open Sans"/>
          <w:color w:val="000000"/>
          <w:sz w:val="22"/>
          <w:szCs w:val="22"/>
        </w:rPr>
        <w:t>Marketplaces</w:t>
      </w:r>
      <w:proofErr w:type="spellEnd"/>
      <w:r>
        <w:rPr>
          <w:rFonts w:ascii="Open Sans" w:eastAsia="Open Sans" w:hAnsi="Open Sans" w:cs="Open Sans"/>
          <w:color w:val="000000"/>
          <w:sz w:val="22"/>
          <w:szCs w:val="22"/>
        </w:rPr>
        <w:t xml:space="preserve"> digitales y el único “pure </w:t>
      </w:r>
      <w:proofErr w:type="spellStart"/>
      <w:r>
        <w:rPr>
          <w:rFonts w:ascii="Open Sans" w:eastAsia="Open Sans" w:hAnsi="Open Sans" w:cs="Open Sans"/>
          <w:color w:val="000000"/>
          <w:sz w:val="22"/>
          <w:szCs w:val="22"/>
        </w:rPr>
        <w:t>player</w:t>
      </w:r>
      <w:proofErr w:type="spellEnd"/>
      <w:r>
        <w:rPr>
          <w:rFonts w:ascii="Open Sans" w:eastAsia="Open Sans" w:hAnsi="Open Sans" w:cs="Open Sans"/>
          <w:color w:val="000000"/>
          <w:sz w:val="22"/>
          <w:szCs w:val="22"/>
        </w:rPr>
        <w:t xml:space="preserve">” del sector a nivel mundial. </w:t>
      </w:r>
      <w:hyperlink r:id="rId19">
        <w:r>
          <w:rPr>
            <w:rFonts w:ascii="Open Sans" w:eastAsia="Open Sans" w:hAnsi="Open Sans" w:cs="Open Sans"/>
            <w:color w:val="0000FF"/>
            <w:sz w:val="22"/>
            <w:szCs w:val="22"/>
            <w:u w:val="single"/>
          </w:rPr>
          <w:t>Más información sobre Fotocasa</w:t>
        </w:r>
      </w:hyperlink>
      <w:r>
        <w:rPr>
          <w:rFonts w:ascii="Open Sans" w:eastAsia="Open Sans" w:hAnsi="Open Sans" w:cs="Open Sans"/>
          <w:color w:val="000000"/>
          <w:sz w:val="22"/>
          <w:szCs w:val="22"/>
        </w:rPr>
        <w:t xml:space="preserve">. </w:t>
      </w:r>
    </w:p>
    <w:p w14:paraId="00000034" w14:textId="77777777" w:rsidR="00B66FE9"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r>
        <w:rPr>
          <w:rFonts w:ascii="Open Sans Light" w:eastAsia="Open Sans Light" w:hAnsi="Open Sans Light" w:cs="Open Sans Light"/>
          <w:b/>
          <w:color w:val="303AB2"/>
        </w:rPr>
        <w:t xml:space="preserve"> </w:t>
      </w:r>
      <w:proofErr w:type="spellStart"/>
      <w:r>
        <w:rPr>
          <w:rFonts w:ascii="Open Sans Light" w:eastAsia="Open Sans Light" w:hAnsi="Open Sans Light" w:cs="Open Sans Light"/>
          <w:b/>
          <w:color w:val="303AB2"/>
        </w:rPr>
        <w:t>Spain</w:t>
      </w:r>
      <w:proofErr w:type="spellEnd"/>
    </w:p>
    <w:p w14:paraId="00000035" w14:textId="77777777" w:rsidR="00B66FE9" w:rsidRDefault="00000000">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w:t>
      </w:r>
      <w:proofErr w:type="spellStart"/>
      <w:r>
        <w:rPr>
          <w:rFonts w:ascii="Open Sans" w:eastAsia="Open Sans" w:hAnsi="Open Sans" w:cs="Open Sans"/>
          <w:sz w:val="22"/>
          <w:szCs w:val="22"/>
        </w:rPr>
        <w:t>Spain</w:t>
      </w:r>
      <w:proofErr w:type="spellEnd"/>
      <w:r>
        <w:rPr>
          <w:rFonts w:ascii="Open Sans" w:eastAsia="Open Sans" w:hAnsi="Open Sans" w:cs="Open Sans"/>
          <w:sz w:val="22"/>
          <w:szCs w:val="22"/>
        </w:rPr>
        <w:t xml:space="preserve"> es una compañía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al mes en sus plataformas de los sectores inmobiliario (</w:t>
      </w:r>
      <w:hyperlink r:id="rId20">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1">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22">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3">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4">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rPr>
          <w:rFonts w:ascii="Open Sans" w:eastAsia="Open Sans" w:hAnsi="Open Sans" w:cs="Open Sans"/>
          <w:color w:val="1155CC"/>
          <w:sz w:val="22"/>
          <w:szCs w:val="22"/>
          <w:u w:val="single"/>
        </w:rPr>
        <w:fldChar w:fldCharType="end"/>
      </w:r>
      <w:r>
        <w:rPr>
          <w:rFonts w:ascii="Open Sans" w:eastAsia="Open Sans" w:hAnsi="Open Sans" w:cs="Open Sans"/>
          <w:sz w:val="22"/>
          <w:szCs w:val="22"/>
        </w:rPr>
        <w:t>).</w:t>
      </w:r>
    </w:p>
    <w:p w14:paraId="00000036" w14:textId="77777777" w:rsidR="00B66FE9" w:rsidRDefault="00B66FE9">
      <w:pPr>
        <w:spacing w:before="143" w:after="200"/>
        <w:jc w:val="both"/>
        <w:rPr>
          <w:rFonts w:ascii="Open Sans" w:eastAsia="Open Sans" w:hAnsi="Open Sans" w:cs="Open Sans"/>
        </w:rPr>
      </w:pPr>
    </w:p>
    <w:p w14:paraId="00000037" w14:textId="77777777" w:rsidR="00B66FE9" w:rsidRDefault="00000000">
      <w:pPr>
        <w:spacing w:before="143" w:after="200"/>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Los negocios de </w:t>
      </w: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00000038" w14:textId="77777777" w:rsidR="00B66FE9" w:rsidRDefault="00000000">
      <w:pPr>
        <w:spacing w:before="143" w:after="200"/>
        <w:jc w:val="both"/>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tiene presencia mundial en 10 países. El conjunto de sus plataformas locales recibe un promedio de 3.000 millones de visitas cada mes. </w:t>
      </w:r>
    </w:p>
    <w:p w14:paraId="00000039" w14:textId="77777777" w:rsidR="00B66FE9" w:rsidRDefault="00000000">
      <w:pPr>
        <w:spacing w:after="160"/>
        <w:jc w:val="both"/>
        <w:rPr>
          <w:rFonts w:ascii="Open Sans" w:eastAsia="Open Sans" w:hAnsi="Open Sans" w:cs="Open Sans"/>
          <w:color w:val="1155CC"/>
          <w:sz w:val="22"/>
          <w:szCs w:val="22"/>
          <w:u w:val="single"/>
        </w:rPr>
      </w:pPr>
      <w:r>
        <w:rPr>
          <w:rFonts w:ascii="Open Sans" w:eastAsia="Open Sans" w:hAnsi="Open Sans" w:cs="Open Sans"/>
          <w:sz w:val="22"/>
          <w:szCs w:val="22"/>
        </w:rPr>
        <w:t xml:space="preserve">Más información en </w:t>
      </w:r>
      <w:hyperlink r:id="rId25">
        <w:r>
          <w:rPr>
            <w:rFonts w:ascii="Open Sans" w:eastAsia="Open Sans" w:hAnsi="Open Sans" w:cs="Open Sans"/>
            <w:color w:val="1155CC"/>
            <w:sz w:val="22"/>
            <w:szCs w:val="22"/>
            <w:u w:val="single"/>
          </w:rPr>
          <w:t>adevinta.es</w:t>
        </w:r>
      </w:hyperlink>
    </w:p>
    <w:p w14:paraId="0000003A" w14:textId="77777777" w:rsidR="00B66FE9" w:rsidRDefault="00B66FE9">
      <w:pPr>
        <w:spacing w:after="160"/>
        <w:jc w:val="both"/>
        <w:rPr>
          <w:rFonts w:ascii="Open Sans" w:eastAsia="Open Sans" w:hAnsi="Open Sans" w:cs="Open Sans"/>
        </w:rPr>
      </w:pPr>
    </w:p>
    <w:p w14:paraId="0000003B" w14:textId="77777777" w:rsidR="00B66FE9"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0000003C" w14:textId="77777777" w:rsidR="00B66FE9"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0000003D" w14:textId="77777777" w:rsidR="00B66FE9" w:rsidRDefault="00000000">
      <w:pPr>
        <w:shd w:val="clear" w:color="auto" w:fill="FFFFFF"/>
        <w:spacing w:line="276" w:lineRule="auto"/>
        <w:rPr>
          <w:rFonts w:ascii="Open Sans" w:eastAsia="Open Sans" w:hAnsi="Open Sans" w:cs="Open Sans"/>
          <w:color w:val="0000FF"/>
          <w:sz w:val="22"/>
          <w:szCs w:val="22"/>
          <w:u w:val="single"/>
        </w:rPr>
      </w:pPr>
      <w:hyperlink r:id="rId26">
        <w:r>
          <w:rPr>
            <w:rFonts w:ascii="Open Sans" w:eastAsia="Open Sans" w:hAnsi="Open Sans" w:cs="Open Sans"/>
            <w:color w:val="0000FF"/>
            <w:sz w:val="22"/>
            <w:szCs w:val="22"/>
            <w:u w:val="single"/>
          </w:rPr>
          <w:t>comunicacion@fotocasa.es</w:t>
        </w:r>
      </w:hyperlink>
    </w:p>
    <w:p w14:paraId="0000003E" w14:textId="77777777" w:rsidR="00B66FE9"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0000003F" w14:textId="77777777" w:rsidR="00B66FE9" w:rsidRDefault="00B66FE9">
      <w:pPr>
        <w:spacing w:line="276" w:lineRule="auto"/>
        <w:rPr>
          <w:rFonts w:ascii="Open Sans Light" w:eastAsia="Open Sans Light" w:hAnsi="Open Sans Light" w:cs="Open Sans Light"/>
          <w:b/>
          <w:color w:val="303AB2"/>
          <w:sz w:val="22"/>
          <w:szCs w:val="22"/>
        </w:rPr>
      </w:pPr>
    </w:p>
    <w:p w14:paraId="00000040" w14:textId="77777777" w:rsidR="00B66FE9" w:rsidRDefault="00B66FE9">
      <w:pPr>
        <w:spacing w:line="276" w:lineRule="auto"/>
        <w:rPr>
          <w:rFonts w:ascii="Open Sans Light" w:eastAsia="Open Sans Light" w:hAnsi="Open Sans Light" w:cs="Open Sans Light"/>
          <w:b/>
          <w:color w:val="303AB2"/>
          <w:sz w:val="22"/>
          <w:szCs w:val="22"/>
        </w:rPr>
      </w:pPr>
    </w:p>
    <w:p w14:paraId="00000041" w14:textId="77777777" w:rsidR="00B66FE9"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00000042" w14:textId="77777777" w:rsidR="00B66FE9"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Ramon Torné</w:t>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t xml:space="preserve">                 </w:t>
      </w:r>
    </w:p>
    <w:p w14:paraId="00000043" w14:textId="77777777" w:rsidR="00B66FE9" w:rsidRPr="00FC6D49" w:rsidRDefault="00000000">
      <w:pPr>
        <w:shd w:val="clear" w:color="auto" w:fill="FFFFFF"/>
        <w:spacing w:line="276" w:lineRule="auto"/>
        <w:rPr>
          <w:rFonts w:ascii="Open Sans" w:eastAsia="Open Sans" w:hAnsi="Open Sans" w:cs="Open Sans"/>
          <w:color w:val="0000FF"/>
          <w:sz w:val="22"/>
          <w:szCs w:val="22"/>
          <w:u w:val="single"/>
          <w:lang w:val="en-US"/>
        </w:rPr>
      </w:pPr>
      <w:hyperlink r:id="rId27">
        <w:r w:rsidRPr="00FC6D49">
          <w:rPr>
            <w:rFonts w:ascii="Open Sans" w:eastAsia="Open Sans" w:hAnsi="Open Sans" w:cs="Open Sans"/>
            <w:color w:val="0000FF"/>
            <w:sz w:val="22"/>
            <w:szCs w:val="22"/>
            <w:u w:val="single"/>
            <w:lang w:val="en-US"/>
          </w:rPr>
          <w:t>rtorne@llorenteycuenca.com</w:t>
        </w:r>
      </w:hyperlink>
      <w:r w:rsidRPr="00FC6D49">
        <w:rPr>
          <w:rFonts w:ascii="Open Sans" w:eastAsia="Open Sans" w:hAnsi="Open Sans" w:cs="Open Sans"/>
          <w:color w:val="0000FF"/>
          <w:sz w:val="22"/>
          <w:szCs w:val="22"/>
          <w:lang w:val="en-US"/>
        </w:rPr>
        <w:tab/>
      </w:r>
      <w:r w:rsidRPr="00FC6D49">
        <w:rPr>
          <w:rFonts w:ascii="Open Sans" w:eastAsia="Open Sans" w:hAnsi="Open Sans" w:cs="Open Sans"/>
          <w:color w:val="0000FF"/>
          <w:sz w:val="22"/>
          <w:szCs w:val="22"/>
          <w:lang w:val="en-US"/>
        </w:rPr>
        <w:tab/>
      </w:r>
      <w:r w:rsidRPr="00FC6D49">
        <w:rPr>
          <w:rFonts w:ascii="Open Sans" w:eastAsia="Open Sans" w:hAnsi="Open Sans" w:cs="Open Sans"/>
          <w:color w:val="0000FF"/>
          <w:sz w:val="22"/>
          <w:szCs w:val="22"/>
          <w:lang w:val="en-US"/>
        </w:rPr>
        <w:tab/>
      </w:r>
    </w:p>
    <w:p w14:paraId="00000044" w14:textId="77777777" w:rsidR="00B66FE9" w:rsidRPr="00FC6D49" w:rsidRDefault="00000000">
      <w:pPr>
        <w:shd w:val="clear" w:color="auto" w:fill="FFFFFF"/>
        <w:spacing w:line="276" w:lineRule="auto"/>
        <w:rPr>
          <w:rFonts w:ascii="Open Sans" w:eastAsia="Open Sans" w:hAnsi="Open Sans" w:cs="Open Sans"/>
          <w:color w:val="000000"/>
          <w:sz w:val="22"/>
          <w:szCs w:val="22"/>
          <w:lang w:val="en-US"/>
        </w:rPr>
      </w:pPr>
      <w:r w:rsidRPr="00FC6D49">
        <w:rPr>
          <w:rFonts w:ascii="Open Sans" w:eastAsia="Open Sans" w:hAnsi="Open Sans" w:cs="Open Sans"/>
          <w:color w:val="000000"/>
          <w:sz w:val="22"/>
          <w:szCs w:val="22"/>
          <w:lang w:val="en-US"/>
        </w:rPr>
        <w:t xml:space="preserve">638 68 19 85      </w:t>
      </w:r>
      <w:r w:rsidRPr="00FC6D49">
        <w:rPr>
          <w:rFonts w:ascii="Open Sans" w:eastAsia="Open Sans" w:hAnsi="Open Sans" w:cs="Open Sans"/>
          <w:color w:val="000000"/>
          <w:sz w:val="22"/>
          <w:szCs w:val="22"/>
          <w:lang w:val="en-US"/>
        </w:rPr>
        <w:tab/>
      </w:r>
      <w:r w:rsidRPr="00FC6D49">
        <w:rPr>
          <w:rFonts w:ascii="Open Sans" w:eastAsia="Open Sans" w:hAnsi="Open Sans" w:cs="Open Sans"/>
          <w:color w:val="000000"/>
          <w:sz w:val="22"/>
          <w:szCs w:val="22"/>
          <w:lang w:val="en-US"/>
        </w:rPr>
        <w:tab/>
      </w:r>
      <w:r w:rsidRPr="00FC6D49">
        <w:rPr>
          <w:rFonts w:ascii="Open Sans" w:eastAsia="Open Sans" w:hAnsi="Open Sans" w:cs="Open Sans"/>
          <w:color w:val="000000"/>
          <w:sz w:val="22"/>
          <w:szCs w:val="22"/>
          <w:lang w:val="en-US"/>
        </w:rPr>
        <w:tab/>
      </w:r>
      <w:r w:rsidRPr="00FC6D49">
        <w:rPr>
          <w:rFonts w:ascii="Open Sans" w:eastAsia="Open Sans" w:hAnsi="Open Sans" w:cs="Open Sans"/>
          <w:color w:val="000000"/>
          <w:sz w:val="22"/>
          <w:szCs w:val="22"/>
          <w:lang w:val="en-US"/>
        </w:rPr>
        <w:tab/>
      </w:r>
      <w:r w:rsidRPr="00FC6D49">
        <w:rPr>
          <w:rFonts w:ascii="Open Sans" w:eastAsia="Open Sans" w:hAnsi="Open Sans" w:cs="Open Sans"/>
          <w:color w:val="000000"/>
          <w:sz w:val="22"/>
          <w:szCs w:val="22"/>
          <w:lang w:val="en-US"/>
        </w:rPr>
        <w:tab/>
      </w:r>
      <w:r w:rsidRPr="00FC6D49">
        <w:rPr>
          <w:rFonts w:ascii="Open Sans" w:eastAsia="Open Sans" w:hAnsi="Open Sans" w:cs="Open Sans"/>
          <w:color w:val="000000"/>
          <w:sz w:val="22"/>
          <w:szCs w:val="22"/>
          <w:lang w:val="en-US"/>
        </w:rPr>
        <w:tab/>
      </w:r>
      <w:r w:rsidRPr="00FC6D49">
        <w:rPr>
          <w:rFonts w:ascii="Open Sans" w:eastAsia="Open Sans" w:hAnsi="Open Sans" w:cs="Open Sans"/>
          <w:color w:val="000000"/>
          <w:sz w:val="22"/>
          <w:szCs w:val="22"/>
          <w:lang w:val="en-US"/>
        </w:rPr>
        <w:tab/>
      </w:r>
    </w:p>
    <w:p w14:paraId="00000045" w14:textId="77777777" w:rsidR="00B66FE9" w:rsidRPr="00FC6D49" w:rsidRDefault="00000000">
      <w:pPr>
        <w:shd w:val="clear" w:color="auto" w:fill="FFFFFF"/>
        <w:rPr>
          <w:rFonts w:ascii="Arial" w:eastAsia="Arial" w:hAnsi="Arial" w:cs="Arial"/>
          <w:color w:val="222222"/>
          <w:sz w:val="22"/>
          <w:szCs w:val="22"/>
          <w:lang w:val="en-US"/>
        </w:rPr>
      </w:pPr>
      <w:r w:rsidRPr="00FC6D49">
        <w:rPr>
          <w:rFonts w:ascii="Arial" w:eastAsia="Arial" w:hAnsi="Arial" w:cs="Arial"/>
          <w:color w:val="222222"/>
          <w:sz w:val="22"/>
          <w:szCs w:val="22"/>
          <w:lang w:val="en-US"/>
        </w:rPr>
        <w:tab/>
      </w:r>
      <w:r w:rsidRPr="00FC6D49">
        <w:rPr>
          <w:rFonts w:ascii="Arial" w:eastAsia="Arial" w:hAnsi="Arial" w:cs="Arial"/>
          <w:color w:val="222222"/>
          <w:sz w:val="22"/>
          <w:szCs w:val="22"/>
          <w:lang w:val="en-US"/>
        </w:rPr>
        <w:tab/>
      </w:r>
      <w:r w:rsidRPr="00FC6D49">
        <w:rPr>
          <w:rFonts w:ascii="Arial" w:eastAsia="Arial" w:hAnsi="Arial" w:cs="Arial"/>
          <w:color w:val="222222"/>
          <w:sz w:val="22"/>
          <w:szCs w:val="22"/>
          <w:lang w:val="en-US"/>
        </w:rPr>
        <w:tab/>
      </w:r>
      <w:r w:rsidRPr="00FC6D49">
        <w:rPr>
          <w:rFonts w:ascii="Arial" w:eastAsia="Arial" w:hAnsi="Arial" w:cs="Arial"/>
          <w:color w:val="222222"/>
          <w:sz w:val="22"/>
          <w:szCs w:val="22"/>
          <w:lang w:val="en-US"/>
        </w:rPr>
        <w:tab/>
      </w:r>
      <w:r w:rsidRPr="00FC6D49">
        <w:rPr>
          <w:rFonts w:ascii="Arial" w:eastAsia="Arial" w:hAnsi="Arial" w:cs="Arial"/>
          <w:color w:val="222222"/>
          <w:sz w:val="22"/>
          <w:szCs w:val="22"/>
          <w:lang w:val="en-US"/>
        </w:rPr>
        <w:tab/>
      </w:r>
      <w:r w:rsidRPr="00FC6D49">
        <w:rPr>
          <w:rFonts w:ascii="Arial" w:eastAsia="Arial" w:hAnsi="Arial" w:cs="Arial"/>
          <w:color w:val="222222"/>
          <w:sz w:val="22"/>
          <w:szCs w:val="22"/>
          <w:lang w:val="en-US"/>
        </w:rPr>
        <w:tab/>
      </w:r>
      <w:r w:rsidRPr="00FC6D49">
        <w:rPr>
          <w:rFonts w:ascii="Arial" w:eastAsia="Arial" w:hAnsi="Arial" w:cs="Arial"/>
          <w:color w:val="222222"/>
          <w:sz w:val="22"/>
          <w:szCs w:val="22"/>
          <w:lang w:val="en-US"/>
        </w:rPr>
        <w:tab/>
        <w:t xml:space="preserve">     </w:t>
      </w:r>
    </w:p>
    <w:p w14:paraId="00000046" w14:textId="77777777" w:rsidR="00B66FE9" w:rsidRPr="00FC6D49" w:rsidRDefault="00000000">
      <w:pPr>
        <w:shd w:val="clear" w:color="auto" w:fill="FFFFFF"/>
        <w:rPr>
          <w:rFonts w:ascii="Open Sans" w:eastAsia="Open Sans" w:hAnsi="Open Sans" w:cs="Open Sans"/>
          <w:b/>
          <w:color w:val="000000"/>
          <w:sz w:val="22"/>
          <w:szCs w:val="22"/>
          <w:lang w:val="en-US"/>
        </w:rPr>
      </w:pPr>
      <w:r w:rsidRPr="00FC6D49">
        <w:rPr>
          <w:rFonts w:ascii="Open Sans" w:eastAsia="Open Sans" w:hAnsi="Open Sans" w:cs="Open Sans"/>
          <w:b/>
          <w:color w:val="000000"/>
          <w:sz w:val="22"/>
          <w:szCs w:val="22"/>
          <w:lang w:val="en-US"/>
        </w:rPr>
        <w:t>Fanny Merino</w:t>
      </w:r>
    </w:p>
    <w:p w14:paraId="00000047" w14:textId="77777777" w:rsidR="00B66FE9" w:rsidRPr="00FC6D49" w:rsidRDefault="00000000">
      <w:pPr>
        <w:shd w:val="clear" w:color="auto" w:fill="FFFFFF"/>
        <w:rPr>
          <w:rFonts w:ascii="Open Sans" w:eastAsia="Open Sans" w:hAnsi="Open Sans" w:cs="Open Sans"/>
          <w:b/>
          <w:color w:val="000000"/>
          <w:sz w:val="22"/>
          <w:szCs w:val="22"/>
          <w:lang w:val="en-US"/>
        </w:rPr>
      </w:pPr>
      <w:hyperlink r:id="rId28">
        <w:r w:rsidRPr="00FC6D49">
          <w:rPr>
            <w:rFonts w:ascii="Open Sans" w:eastAsia="Open Sans" w:hAnsi="Open Sans" w:cs="Open Sans"/>
            <w:color w:val="0000FF"/>
            <w:sz w:val="22"/>
            <w:szCs w:val="22"/>
            <w:u w:val="single"/>
            <w:lang w:val="en-US"/>
          </w:rPr>
          <w:t>emerino@llorenteycuenca.com</w:t>
        </w:r>
      </w:hyperlink>
      <w:r w:rsidRPr="00FC6D49">
        <w:rPr>
          <w:rFonts w:ascii="Open Sans" w:eastAsia="Open Sans" w:hAnsi="Open Sans" w:cs="Open Sans"/>
          <w:color w:val="0000FF"/>
          <w:sz w:val="22"/>
          <w:szCs w:val="22"/>
          <w:lang w:val="en-US"/>
        </w:rPr>
        <w:tab/>
      </w:r>
      <w:r w:rsidRPr="00FC6D49">
        <w:rPr>
          <w:rFonts w:ascii="Open Sans" w:eastAsia="Open Sans" w:hAnsi="Open Sans" w:cs="Open Sans"/>
          <w:color w:val="0000FF"/>
          <w:sz w:val="22"/>
          <w:szCs w:val="22"/>
          <w:lang w:val="en-US"/>
        </w:rPr>
        <w:tab/>
      </w:r>
    </w:p>
    <w:p w14:paraId="00000048" w14:textId="77777777" w:rsidR="00B66FE9" w:rsidRDefault="00000000">
      <w:pPr>
        <w:shd w:val="clear" w:color="auto" w:fill="FFFFFF"/>
        <w:rPr>
          <w:rFonts w:ascii="Open Sans" w:eastAsia="Open Sans" w:hAnsi="Open Sans" w:cs="Open Sans"/>
          <w:color w:val="000000"/>
          <w:sz w:val="22"/>
          <w:szCs w:val="22"/>
        </w:rPr>
      </w:pPr>
      <w:r>
        <w:rPr>
          <w:rFonts w:ascii="Open Sans" w:eastAsia="Open Sans" w:hAnsi="Open Sans" w:cs="Open Sans"/>
          <w:color w:val="000000"/>
          <w:sz w:val="22"/>
          <w:szCs w:val="22"/>
        </w:rPr>
        <w:t>663 35 69 75 </w:t>
      </w:r>
    </w:p>
    <w:p w14:paraId="00000049" w14:textId="77777777" w:rsidR="00B66FE9" w:rsidRDefault="00B66FE9">
      <w:pPr>
        <w:shd w:val="clear" w:color="auto" w:fill="FFFFFF"/>
        <w:rPr>
          <w:rFonts w:ascii="Open Sans" w:eastAsia="Open Sans" w:hAnsi="Open Sans" w:cs="Open Sans"/>
          <w:color w:val="000000"/>
          <w:sz w:val="22"/>
          <w:szCs w:val="22"/>
        </w:rPr>
      </w:pPr>
    </w:p>
    <w:p w14:paraId="0000004A" w14:textId="77777777" w:rsidR="00B66FE9" w:rsidRDefault="00B66FE9">
      <w:pPr>
        <w:spacing w:line="276" w:lineRule="auto"/>
        <w:jc w:val="right"/>
        <w:rPr>
          <w:rFonts w:ascii="Open Sans" w:eastAsia="Open Sans" w:hAnsi="Open Sans" w:cs="Open Sans"/>
          <w:color w:val="000000"/>
          <w:sz w:val="21"/>
          <w:szCs w:val="21"/>
        </w:rPr>
      </w:pPr>
    </w:p>
    <w:sectPr w:rsidR="00B66FE9">
      <w:footerReference w:type="default" r:id="rId29"/>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06D211" w14:textId="77777777" w:rsidR="00ED5BE4" w:rsidRDefault="00ED5BE4">
      <w:r>
        <w:separator/>
      </w:r>
    </w:p>
  </w:endnote>
  <w:endnote w:type="continuationSeparator" w:id="0">
    <w:p w14:paraId="4879F150" w14:textId="77777777" w:rsidR="00ED5BE4" w:rsidRDefault="00ED5B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6D3F23A2-2023-4838-8AF1-6B8E01F7642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E7FA18C-F80A-4985-863C-E8619D7766FC}"/>
    <w:embedBold r:id="rId3" w:fontKey="{5BEDEE1D-1C9A-42C9-BA5A-25190C07723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9CB6CDFB-2E71-4EB2-9F1E-A940966CF38A}"/>
    <w:embedItalic r:id="rId5" w:fontKey="{906BA8B0-209D-41CC-91E3-2BBE8BDF9D69}"/>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6" w:fontKey="{D35BB292-640C-4BD5-82B2-4E179A6E5366}"/>
    <w:embedBold r:id="rId7" w:fontKey="{B3917336-371C-4FDE-AC99-4FA7FE72644E}"/>
  </w:font>
  <w:font w:name="Open Sans Light">
    <w:charset w:val="00"/>
    <w:family w:val="swiss"/>
    <w:pitch w:val="variable"/>
    <w:sig w:usb0="E00002EF" w:usb1="4000205B" w:usb2="00000028" w:usb3="00000000" w:csb0="0000019F" w:csb1="00000000"/>
    <w:embedRegular r:id="rId8" w:fontKey="{57781493-7332-4036-8AC9-9ACAA912A7B1}"/>
    <w:embedBold r:id="rId9" w:fontKey="{855F766E-31D8-484A-A455-D005EF3AC12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0" w:fontKey="{A9329692-61B4-489C-B2AD-5DE00E8AD3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B" w14:textId="77777777" w:rsidR="00B66FE9"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simplePos x="0" y="0"/>
          <wp:positionH relativeFrom="column">
            <wp:posOffset>-1068060</wp:posOffset>
          </wp:positionH>
          <wp:positionV relativeFrom="paragraph">
            <wp:posOffset>174608</wp:posOffset>
          </wp:positionV>
          <wp:extent cx="7670550" cy="451315"/>
          <wp:effectExtent l="0" t="0" r="0" b="0"/>
          <wp:wrapNone/>
          <wp:docPr id="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356DF3" w14:textId="77777777" w:rsidR="00ED5BE4" w:rsidRDefault="00ED5BE4">
      <w:r>
        <w:separator/>
      </w:r>
    </w:p>
  </w:footnote>
  <w:footnote w:type="continuationSeparator" w:id="0">
    <w:p w14:paraId="18DBFE3B" w14:textId="77777777" w:rsidR="00ED5BE4" w:rsidRDefault="00ED5B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A67205"/>
    <w:multiLevelType w:val="multilevel"/>
    <w:tmpl w:val="023AD1C0"/>
    <w:lvl w:ilvl="0">
      <w:start w:val="1"/>
      <w:numFmt w:val="bullet"/>
      <w:lvlText w:val="●"/>
      <w:lvlJc w:val="left"/>
      <w:pPr>
        <w:ind w:left="720" w:hanging="360"/>
      </w:pPr>
      <w:rPr>
        <w:rFonts w:ascii="Noto Sans Symbols" w:eastAsia="Noto Sans Symbols" w:hAnsi="Noto Sans Symbols" w:cs="Noto Sans Symbols"/>
        <w:color w:val="303AB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16501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FE9"/>
    <w:rsid w:val="0011246A"/>
    <w:rsid w:val="0020457A"/>
    <w:rsid w:val="007A16F2"/>
    <w:rsid w:val="00A62C10"/>
    <w:rsid w:val="00AC445B"/>
    <w:rsid w:val="00B66FE9"/>
    <w:rsid w:val="00BF7318"/>
    <w:rsid w:val="00ED5BE4"/>
    <w:rsid w:val="00FC6D4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15ECE"/>
  <w15:docId w15:val="{38AAE53A-21D8-4828-AFB7-F0D6E501E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4494"/>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m6445620330082090912gmail-msohyperlink">
    <w:name w:val="m_6445620330082090912gmail-msohyperlink"/>
    <w:basedOn w:val="Fuentedeprrafopredeter"/>
    <w:rsid w:val="0059074E"/>
  </w:style>
  <w:style w:type="character" w:styleId="Mencinsinresolver">
    <w:name w:val="Unresolved Mention"/>
    <w:basedOn w:val="Fuentedeprrafopredeter"/>
    <w:uiPriority w:val="99"/>
    <w:semiHidden/>
    <w:unhideWhenUsed/>
    <w:rsid w:val="00990ADB"/>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indice-precio-vivienda" TargetMode="External"/><Relationship Id="rId18" Type="http://schemas.openxmlformats.org/officeDocument/2006/relationships/hyperlink" Target="http://prensa.fotocasa.es" TargetMode="External"/><Relationship Id="rId26" Type="http://schemas.openxmlformats.org/officeDocument/2006/relationships/hyperlink" Target="mailto:comunicacion@fotocasa.es" TargetMode="External"/><Relationship Id="rId3" Type="http://schemas.openxmlformats.org/officeDocument/2006/relationships/styles" Target="styles.xml"/><Relationship Id="rId21" Type="http://schemas.openxmlformats.org/officeDocument/2006/relationships/hyperlink" Target="https://www.habitaclia.com/" TargetMode="External"/><Relationship Id="rId7" Type="http://schemas.openxmlformats.org/officeDocument/2006/relationships/endnotes" Target="endnotes.xml"/><Relationship Id="rId12" Type="http://schemas.openxmlformats.org/officeDocument/2006/relationships/hyperlink" Target="https://www.fotocasa.es/es/" TargetMode="External"/><Relationship Id="rId17" Type="http://schemas.openxmlformats.org/officeDocument/2006/relationships/hyperlink" Target="https://www.fotocasa.es/indice/" TargetMode="External"/><Relationship Id="rId25" Type="http://schemas.openxmlformats.org/officeDocument/2006/relationships/hyperlink" Target="http://adevinta.es" TargetMode="Externa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yperlink" Target="https://www.fotocasa.es/e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motos.coches.net/" TargetMode="External"/><Relationship Id="rId5" Type="http://schemas.openxmlformats.org/officeDocument/2006/relationships/webSettings" Target="webSettings.xml"/><Relationship Id="rId15" Type="http://schemas.openxmlformats.org/officeDocument/2006/relationships/hyperlink" Target="https://www.fotocasa.es/es/" TargetMode="External"/><Relationship Id="rId23" Type="http://schemas.openxmlformats.org/officeDocument/2006/relationships/hyperlink" Target="https://www.coches.net/" TargetMode="External"/><Relationship Id="rId28" Type="http://schemas.openxmlformats.org/officeDocument/2006/relationships/hyperlink" Target="mailto:emerino@llorenteycuenca.com" TargetMode="External"/><Relationship Id="rId10" Type="http://schemas.openxmlformats.org/officeDocument/2006/relationships/image" Target="media/image2.png"/><Relationship Id="rId19" Type="http://schemas.openxmlformats.org/officeDocument/2006/relationships/hyperlink" Target="https://www.fotocasa.es/es/quienes-somo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fotocasa.es/indice-precio-vivienda" TargetMode="External"/><Relationship Id="rId14" Type="http://schemas.openxmlformats.org/officeDocument/2006/relationships/chart" Target="charts/chart2.xml"/><Relationship Id="rId22" Type="http://schemas.openxmlformats.org/officeDocument/2006/relationships/hyperlink" Target="https://www.infojobs.net/" TargetMode="External"/><Relationship Id="rId27" Type="http://schemas.openxmlformats.org/officeDocument/2006/relationships/hyperlink" Target="mailto:rtorne@llorenteycuenca.com"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G:\Unidades%20compartidas\Prensa\Prensa%20Inmobiliaria\Fotocasa\NOTAS%20DE%20PRENSA\2024_NOTAS%20DE%20PRENSA\66.%20NdP%20Precio%20Vivienda%20Madrid%20(SIMA)\fotocasa-Madrid%20capital%20venta%20y%20alquiler.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G:\Unidades%20compartidas\Prensa\Prensa%20Inmobiliaria\Fotocasa\NOTAS%20DE%20PRENSA\2024_NOTAS%20DE%20PRENSA\66.%20NdP%20Precio%20Vivienda%20Madrid%20(SIMA)\fotocasa-Madrid%20capital%20venta%20y%20alquiler.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G:\Unidades%20compartidas\Prensa\Prensa%20Inmobiliaria\Fotocasa\NOTAS%20DE%20PRENSA\2024_NOTAS%20DE%20PRENSA\66.%20NdP%20Precio%20Vivienda%20Madrid%20(SIMA)\fotocasa-Madrid%20capital%20venta%20y%20alquiler.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 3'!$B$1</c:f>
              <c:strCache>
                <c:ptCount val="1"/>
                <c:pt idx="0">
                  <c:v> Madrid</c:v>
                </c:pt>
              </c:strCache>
            </c:strRef>
          </c:tx>
          <c:spPr>
            <a:ln w="28575" cap="rnd">
              <a:solidFill>
                <a:schemeClr val="accent1"/>
              </a:solidFill>
              <a:round/>
            </a:ln>
            <a:effectLst/>
          </c:spPr>
          <c:marker>
            <c:symbol val="none"/>
          </c:marker>
          <c:dLbls>
            <c:dLbl>
              <c:idx val="208"/>
              <c:layout>
                <c:manualLayout>
                  <c:x val="-1.7849174475680501E-2"/>
                  <c:y val="-6.109979633401221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BBD-4210-9CD0-631A7CDFFC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 3'!$A$2:$A$210</c:f>
              <c:numCache>
                <c:formatCode>General</c:formatCode>
                <c:ptCount val="209"/>
                <c:pt idx="1">
                  <c:v>2007</c:v>
                </c:pt>
                <c:pt idx="13">
                  <c:v>2008</c:v>
                </c:pt>
                <c:pt idx="25">
                  <c:v>2009</c:v>
                </c:pt>
                <c:pt idx="37">
                  <c:v>2010</c:v>
                </c:pt>
                <c:pt idx="49">
                  <c:v>2011</c:v>
                </c:pt>
                <c:pt idx="61">
                  <c:v>2012</c:v>
                </c:pt>
                <c:pt idx="73">
                  <c:v>2013</c:v>
                </c:pt>
                <c:pt idx="85">
                  <c:v>2014</c:v>
                </c:pt>
                <c:pt idx="97">
                  <c:v>2015</c:v>
                </c:pt>
                <c:pt idx="109">
                  <c:v>2016</c:v>
                </c:pt>
                <c:pt idx="121">
                  <c:v>2017</c:v>
                </c:pt>
                <c:pt idx="133">
                  <c:v>2018</c:v>
                </c:pt>
                <c:pt idx="145">
                  <c:v>2019</c:v>
                </c:pt>
                <c:pt idx="157">
                  <c:v>2020</c:v>
                </c:pt>
                <c:pt idx="169">
                  <c:v>2021</c:v>
                </c:pt>
                <c:pt idx="181">
                  <c:v>2022</c:v>
                </c:pt>
                <c:pt idx="193">
                  <c:v>2023</c:v>
                </c:pt>
                <c:pt idx="205">
                  <c:v>2024</c:v>
                </c:pt>
              </c:numCache>
            </c:numRef>
          </c:cat>
          <c:val>
            <c:numRef>
              <c:f>'Hoja 3'!$B$2:$B$210</c:f>
              <c:numCache>
                <c:formatCode>_-* #,##0\ [$€-C0A]_-;\-* #,##0\ [$€-C0A]_-;_-* "-"??\ [$€-C0A]_-;_-@</c:formatCode>
                <c:ptCount val="209"/>
                <c:pt idx="0">
                  <c:v>4367.3144412364245</c:v>
                </c:pt>
                <c:pt idx="1">
                  <c:v>4400.0785449860887</c:v>
                </c:pt>
                <c:pt idx="2">
                  <c:v>4428.3213463044649</c:v>
                </c:pt>
                <c:pt idx="3">
                  <c:v>4434.3782289681139</c:v>
                </c:pt>
                <c:pt idx="4">
                  <c:v>4454.9851649705724</c:v>
                </c:pt>
                <c:pt idx="5">
                  <c:v>4445.3143884230249</c:v>
                </c:pt>
                <c:pt idx="6">
                  <c:v>4467.5636215012701</c:v>
                </c:pt>
                <c:pt idx="7">
                  <c:v>4477.9690516413102</c:v>
                </c:pt>
                <c:pt idx="8">
                  <c:v>4523.4125464826966</c:v>
                </c:pt>
                <c:pt idx="9">
                  <c:v>4448.0493201237805</c:v>
                </c:pt>
                <c:pt idx="10">
                  <c:v>4413.5859045139796</c:v>
                </c:pt>
                <c:pt idx="11">
                  <c:v>4260.9958540332163</c:v>
                </c:pt>
                <c:pt idx="12">
                  <c:v>4262.5975148827401</c:v>
                </c:pt>
                <c:pt idx="13">
                  <c:v>4255.5474087128996</c:v>
                </c:pt>
                <c:pt idx="14">
                  <c:v>4228.1191634758998</c:v>
                </c:pt>
                <c:pt idx="15">
                  <c:v>4203.5013834578203</c:v>
                </c:pt>
                <c:pt idx="16">
                  <c:v>4178.09471004649</c:v>
                </c:pt>
                <c:pt idx="17">
                  <c:v>4144.02214599731</c:v>
                </c:pt>
                <c:pt idx="18">
                  <c:v>4116.3248108811704</c:v>
                </c:pt>
                <c:pt idx="19">
                  <c:v>4076.64457005138</c:v>
                </c:pt>
                <c:pt idx="20">
                  <c:v>4067.15622276672</c:v>
                </c:pt>
                <c:pt idx="21">
                  <c:v>4051.3222292058299</c:v>
                </c:pt>
                <c:pt idx="22">
                  <c:v>4010.9163757503102</c:v>
                </c:pt>
                <c:pt idx="23">
                  <c:v>3989.8648583907402</c:v>
                </c:pt>
                <c:pt idx="24">
                  <c:v>3983.3213359254901</c:v>
                </c:pt>
                <c:pt idx="25">
                  <c:v>3975.4080627578701</c:v>
                </c:pt>
                <c:pt idx="26">
                  <c:v>3930.4629385337798</c:v>
                </c:pt>
                <c:pt idx="27">
                  <c:v>3908.59832991758</c:v>
                </c:pt>
                <c:pt idx="28">
                  <c:v>3873.2038429295499</c:v>
                </c:pt>
                <c:pt idx="29">
                  <c:v>3795.86742196051</c:v>
                </c:pt>
                <c:pt idx="30">
                  <c:v>3776.9606152740998</c:v>
                </c:pt>
                <c:pt idx="31">
                  <c:v>3736.4358908665399</c:v>
                </c:pt>
                <c:pt idx="32">
                  <c:v>3736.8109454696901</c:v>
                </c:pt>
                <c:pt idx="33">
                  <c:v>3711.1835174039002</c:v>
                </c:pt>
                <c:pt idx="34">
                  <c:v>3686.7019099658301</c:v>
                </c:pt>
                <c:pt idx="35">
                  <c:v>3671.8731879420202</c:v>
                </c:pt>
                <c:pt idx="36">
                  <c:v>3662.84256973732</c:v>
                </c:pt>
                <c:pt idx="37">
                  <c:v>3728.0717396003101</c:v>
                </c:pt>
                <c:pt idx="38">
                  <c:v>3696.6581375044202</c:v>
                </c:pt>
                <c:pt idx="39">
                  <c:v>3656.1925919043902</c:v>
                </c:pt>
                <c:pt idx="40">
                  <c:v>3631.5241724830398</c:v>
                </c:pt>
                <c:pt idx="41">
                  <c:v>3606.36439939505</c:v>
                </c:pt>
                <c:pt idx="42">
                  <c:v>3572.76394927705</c:v>
                </c:pt>
                <c:pt idx="43">
                  <c:v>3579.6871536397002</c:v>
                </c:pt>
                <c:pt idx="44">
                  <c:v>3563.04749318319</c:v>
                </c:pt>
                <c:pt idx="45">
                  <c:v>3561.17160756257</c:v>
                </c:pt>
                <c:pt idx="46">
                  <c:v>3546.5305151977</c:v>
                </c:pt>
                <c:pt idx="47">
                  <c:v>3517.5220960489301</c:v>
                </c:pt>
                <c:pt idx="48">
                  <c:v>3503.02420502931</c:v>
                </c:pt>
                <c:pt idx="49">
                  <c:v>3498.70319519637</c:v>
                </c:pt>
                <c:pt idx="50">
                  <c:v>3464.5448560006798</c:v>
                </c:pt>
                <c:pt idx="51">
                  <c:v>3436.6074268165098</c:v>
                </c:pt>
                <c:pt idx="52">
                  <c:v>3398.6472650687201</c:v>
                </c:pt>
                <c:pt idx="53">
                  <c:v>3370.57102957712</c:v>
                </c:pt>
                <c:pt idx="54">
                  <c:v>3363.9603394158498</c:v>
                </c:pt>
                <c:pt idx="55">
                  <c:v>3378.607</c:v>
                </c:pt>
                <c:pt idx="56">
                  <c:v>3398.2629999999999</c:v>
                </c:pt>
                <c:pt idx="57">
                  <c:v>3379.66</c:v>
                </c:pt>
                <c:pt idx="58">
                  <c:v>3341.8150000000001</c:v>
                </c:pt>
                <c:pt idx="59">
                  <c:v>3329.502</c:v>
                </c:pt>
                <c:pt idx="60">
                  <c:v>3323.143</c:v>
                </c:pt>
                <c:pt idx="61">
                  <c:v>3272.2849999999999</c:v>
                </c:pt>
                <c:pt idx="62">
                  <c:v>3244.4789999999998</c:v>
                </c:pt>
                <c:pt idx="63">
                  <c:v>3211.3760000000002</c:v>
                </c:pt>
                <c:pt idx="64">
                  <c:v>3183.799</c:v>
                </c:pt>
                <c:pt idx="65">
                  <c:v>3168.1239999999998</c:v>
                </c:pt>
                <c:pt idx="66">
                  <c:v>3140.08</c:v>
                </c:pt>
                <c:pt idx="67">
                  <c:v>3064.7089999999998</c:v>
                </c:pt>
                <c:pt idx="68">
                  <c:v>3054.7089999999998</c:v>
                </c:pt>
                <c:pt idx="69">
                  <c:v>3040.8009999999999</c:v>
                </c:pt>
                <c:pt idx="70">
                  <c:v>3019.8679999999999</c:v>
                </c:pt>
                <c:pt idx="71">
                  <c:v>2988.2159999999999</c:v>
                </c:pt>
                <c:pt idx="72">
                  <c:v>2956.2979999999998</c:v>
                </c:pt>
                <c:pt idx="73">
                  <c:v>2965.2159999999999</c:v>
                </c:pt>
                <c:pt idx="74">
                  <c:v>2935.9319999999998</c:v>
                </c:pt>
                <c:pt idx="75">
                  <c:v>2871.99</c:v>
                </c:pt>
                <c:pt idx="76">
                  <c:v>2878.6120000000001</c:v>
                </c:pt>
                <c:pt idx="77">
                  <c:v>2818.0149999999999</c:v>
                </c:pt>
                <c:pt idx="78">
                  <c:v>2752.2510000000002</c:v>
                </c:pt>
                <c:pt idx="79">
                  <c:v>2780.28</c:v>
                </c:pt>
                <c:pt idx="80">
                  <c:v>2770.8009999999999</c:v>
                </c:pt>
                <c:pt idx="81">
                  <c:v>2782.047</c:v>
                </c:pt>
                <c:pt idx="82">
                  <c:v>2777.4670000000001</c:v>
                </c:pt>
                <c:pt idx="83">
                  <c:v>2771.9340000000002</c:v>
                </c:pt>
                <c:pt idx="84">
                  <c:v>2772.6080000000002</c:v>
                </c:pt>
                <c:pt idx="85">
                  <c:v>2769.6078288266399</c:v>
                </c:pt>
                <c:pt idx="86">
                  <c:v>2749.3756052753602</c:v>
                </c:pt>
                <c:pt idx="87">
                  <c:v>2697.4877183195499</c:v>
                </c:pt>
                <c:pt idx="88">
                  <c:v>2690.2084779151601</c:v>
                </c:pt>
                <c:pt idx="89">
                  <c:v>2704.5393594453299</c:v>
                </c:pt>
                <c:pt idx="90">
                  <c:v>2603.1916836762198</c:v>
                </c:pt>
                <c:pt idx="91">
                  <c:v>2587.8274540830498</c:v>
                </c:pt>
                <c:pt idx="92">
                  <c:v>2616.77005737128</c:v>
                </c:pt>
                <c:pt idx="93">
                  <c:v>2619.5764536994102</c:v>
                </c:pt>
                <c:pt idx="94">
                  <c:v>2609.8486503138902</c:v>
                </c:pt>
                <c:pt idx="95">
                  <c:v>2619.5873000000001</c:v>
                </c:pt>
                <c:pt idx="96">
                  <c:v>2637.2694000000001</c:v>
                </c:pt>
                <c:pt idx="97">
                  <c:v>2633.5421999999999</c:v>
                </c:pt>
                <c:pt idx="98">
                  <c:v>2665.6916000000001</c:v>
                </c:pt>
                <c:pt idx="99">
                  <c:v>2675.95</c:v>
                </c:pt>
                <c:pt idx="100">
                  <c:v>2693.5459999999998</c:v>
                </c:pt>
                <c:pt idx="101">
                  <c:v>2703.5333000000001</c:v>
                </c:pt>
                <c:pt idx="102">
                  <c:v>2697.6363000000001</c:v>
                </c:pt>
                <c:pt idx="103">
                  <c:v>2719.9306000000001</c:v>
                </c:pt>
                <c:pt idx="104">
                  <c:v>2713.7579999999998</c:v>
                </c:pt>
                <c:pt idx="105">
                  <c:v>2737.1374000000001</c:v>
                </c:pt>
                <c:pt idx="106">
                  <c:v>2741.2145999999998</c:v>
                </c:pt>
                <c:pt idx="107">
                  <c:v>2750.3467000000001</c:v>
                </c:pt>
                <c:pt idx="108">
                  <c:v>2695.2982000000002</c:v>
                </c:pt>
                <c:pt idx="109">
                  <c:v>2679.8000999999999</c:v>
                </c:pt>
                <c:pt idx="110">
                  <c:v>2690.8676</c:v>
                </c:pt>
                <c:pt idx="111">
                  <c:v>2714.3285000000001</c:v>
                </c:pt>
                <c:pt idx="112">
                  <c:v>2730.5075999999999</c:v>
                </c:pt>
                <c:pt idx="113">
                  <c:v>2750.7098999999998</c:v>
                </c:pt>
                <c:pt idx="114">
                  <c:v>2774.4124000000002</c:v>
                </c:pt>
                <c:pt idx="115">
                  <c:v>2783.7730000000001</c:v>
                </c:pt>
                <c:pt idx="116">
                  <c:v>2791.0677999999998</c:v>
                </c:pt>
                <c:pt idx="117">
                  <c:v>2805.7294999999999</c:v>
                </c:pt>
                <c:pt idx="118">
                  <c:v>2818.2130000000002</c:v>
                </c:pt>
                <c:pt idx="119">
                  <c:v>2813.18525</c:v>
                </c:pt>
                <c:pt idx="120">
                  <c:v>2808.1574999999998</c:v>
                </c:pt>
                <c:pt idx="121">
                  <c:v>2805.4315000000001</c:v>
                </c:pt>
                <c:pt idx="122">
                  <c:v>2820.4515999999999</c:v>
                </c:pt>
                <c:pt idx="123">
                  <c:v>2855.0895</c:v>
                </c:pt>
                <c:pt idx="124">
                  <c:v>2850.7516000000001</c:v>
                </c:pt>
                <c:pt idx="125">
                  <c:v>2889.2413999999999</c:v>
                </c:pt>
                <c:pt idx="126">
                  <c:v>2933.4135000000001</c:v>
                </c:pt>
                <c:pt idx="127">
                  <c:v>2936.4632000000001</c:v>
                </c:pt>
                <c:pt idx="128">
                  <c:v>2989.9648999999999</c:v>
                </c:pt>
                <c:pt idx="129">
                  <c:v>3053.5286000000001</c:v>
                </c:pt>
                <c:pt idx="130">
                  <c:v>3116.4569000000001</c:v>
                </c:pt>
                <c:pt idx="131">
                  <c:v>3127.1702</c:v>
                </c:pt>
                <c:pt idx="132">
                  <c:v>3133.8656999999998</c:v>
                </c:pt>
                <c:pt idx="133">
                  <c:v>3204.9713000000002</c:v>
                </c:pt>
                <c:pt idx="134">
                  <c:v>3230.7606000000001</c:v>
                </c:pt>
                <c:pt idx="135">
                  <c:v>3276.9097000000002</c:v>
                </c:pt>
                <c:pt idx="136">
                  <c:v>3345.0084000000002</c:v>
                </c:pt>
                <c:pt idx="137">
                  <c:v>3450.1478000000002</c:v>
                </c:pt>
                <c:pt idx="138">
                  <c:v>3531.3362999999999</c:v>
                </c:pt>
                <c:pt idx="139">
                  <c:v>3572.8395</c:v>
                </c:pt>
                <c:pt idx="140">
                  <c:v>3643.0796</c:v>
                </c:pt>
                <c:pt idx="141">
                  <c:v>3701.2019</c:v>
                </c:pt>
                <c:pt idx="142">
                  <c:v>3684.6288</c:v>
                </c:pt>
                <c:pt idx="143">
                  <c:v>3684.9110000000001</c:v>
                </c:pt>
                <c:pt idx="144">
                  <c:v>3720.9587000000001</c:v>
                </c:pt>
                <c:pt idx="145">
                  <c:v>3756.4209000000001</c:v>
                </c:pt>
                <c:pt idx="146">
                  <c:v>3766.0592999999999</c:v>
                </c:pt>
                <c:pt idx="147">
                  <c:v>3809.7076999999999</c:v>
                </c:pt>
                <c:pt idx="148">
                  <c:v>3831.4803999999999</c:v>
                </c:pt>
                <c:pt idx="149">
                  <c:v>3857.2604999999999</c:v>
                </c:pt>
                <c:pt idx="150">
                  <c:v>3849.5093000000002</c:v>
                </c:pt>
                <c:pt idx="151">
                  <c:v>3844.0951</c:v>
                </c:pt>
                <c:pt idx="152">
                  <c:v>3827.0034000000001</c:v>
                </c:pt>
                <c:pt idx="153">
                  <c:v>3822.4694</c:v>
                </c:pt>
                <c:pt idx="154">
                  <c:v>3825.6979999999999</c:v>
                </c:pt>
                <c:pt idx="155">
                  <c:v>3684.28</c:v>
                </c:pt>
                <c:pt idx="156">
                  <c:v>3684.73</c:v>
                </c:pt>
                <c:pt idx="157">
                  <c:v>3915.61</c:v>
                </c:pt>
                <c:pt idx="158">
                  <c:v>3684.81</c:v>
                </c:pt>
                <c:pt idx="159">
                  <c:v>3964.1952545175</c:v>
                </c:pt>
                <c:pt idx="160">
                  <c:v>3959.15</c:v>
                </c:pt>
                <c:pt idx="161">
                  <c:v>3902.06</c:v>
                </c:pt>
                <c:pt idx="162">
                  <c:v>3849.37</c:v>
                </c:pt>
                <c:pt idx="163">
                  <c:v>3854.85</c:v>
                </c:pt>
                <c:pt idx="164">
                  <c:v>3855.91</c:v>
                </c:pt>
                <c:pt idx="165">
                  <c:v>3865.31</c:v>
                </c:pt>
                <c:pt idx="166">
                  <c:v>3869.18</c:v>
                </c:pt>
                <c:pt idx="167">
                  <c:v>3842.47</c:v>
                </c:pt>
                <c:pt idx="168">
                  <c:v>3836.34</c:v>
                </c:pt>
                <c:pt idx="169">
                  <c:v>3858.9255489338761</c:v>
                </c:pt>
                <c:pt idx="170">
                  <c:v>3851.47</c:v>
                </c:pt>
                <c:pt idx="171">
                  <c:v>3886.57</c:v>
                </c:pt>
                <c:pt idx="172">
                  <c:v>3902.13</c:v>
                </c:pt>
                <c:pt idx="173">
                  <c:v>3895.58</c:v>
                </c:pt>
                <c:pt idx="174">
                  <c:v>3903.26</c:v>
                </c:pt>
                <c:pt idx="175">
                  <c:v>3900.24</c:v>
                </c:pt>
                <c:pt idx="176">
                  <c:v>3899.43</c:v>
                </c:pt>
                <c:pt idx="177">
                  <c:v>3894.49</c:v>
                </c:pt>
                <c:pt idx="178">
                  <c:v>3856.99</c:v>
                </c:pt>
                <c:pt idx="179">
                  <c:v>3912.56</c:v>
                </c:pt>
                <c:pt idx="180">
                  <c:v>3903.05</c:v>
                </c:pt>
                <c:pt idx="181">
                  <c:v>3923.25</c:v>
                </c:pt>
                <c:pt idx="182">
                  <c:v>3977.17</c:v>
                </c:pt>
                <c:pt idx="183">
                  <c:v>4026.28</c:v>
                </c:pt>
                <c:pt idx="184">
                  <c:v>4062.9</c:v>
                </c:pt>
                <c:pt idx="185">
                  <c:v>4127.8999999999996</c:v>
                </c:pt>
                <c:pt idx="186">
                  <c:v>4140.9399999999996</c:v>
                </c:pt>
                <c:pt idx="187">
                  <c:v>4168.58</c:v>
                </c:pt>
                <c:pt idx="188">
                  <c:v>4203.17</c:v>
                </c:pt>
                <c:pt idx="189">
                  <c:v>4238.97</c:v>
                </c:pt>
                <c:pt idx="190">
                  <c:v>4231.03</c:v>
                </c:pt>
                <c:pt idx="191">
                  <c:v>4203.32</c:v>
                </c:pt>
                <c:pt idx="192">
                  <c:v>4197.66</c:v>
                </c:pt>
                <c:pt idx="193">
                  <c:v>4248.97</c:v>
                </c:pt>
                <c:pt idx="194">
                  <c:v>4276.95</c:v>
                </c:pt>
                <c:pt idx="195">
                  <c:v>4298.62</c:v>
                </c:pt>
                <c:pt idx="196">
                  <c:v>4295</c:v>
                </c:pt>
                <c:pt idx="197">
                  <c:v>4304.51</c:v>
                </c:pt>
                <c:pt idx="198">
                  <c:v>4347.59</c:v>
                </c:pt>
                <c:pt idx="199">
                  <c:v>4386.92</c:v>
                </c:pt>
                <c:pt idx="200">
                  <c:v>4444.6099999999997</c:v>
                </c:pt>
                <c:pt idx="201">
                  <c:v>4468.83</c:v>
                </c:pt>
                <c:pt idx="202">
                  <c:v>4566.6099999999997</c:v>
                </c:pt>
                <c:pt idx="203">
                  <c:v>4668.2</c:v>
                </c:pt>
                <c:pt idx="204">
                  <c:v>4828.34</c:v>
                </c:pt>
                <c:pt idx="205">
                  <c:v>4955.43</c:v>
                </c:pt>
                <c:pt idx="206">
                  <c:v>4993.29</c:v>
                </c:pt>
                <c:pt idx="207">
                  <c:v>5146</c:v>
                </c:pt>
                <c:pt idx="208">
                  <c:v>5187.59</c:v>
                </c:pt>
              </c:numCache>
            </c:numRef>
          </c:val>
          <c:smooth val="0"/>
          <c:extLst>
            <c:ext xmlns:c16="http://schemas.microsoft.com/office/drawing/2014/chart" uri="{C3380CC4-5D6E-409C-BE32-E72D297353CC}">
              <c16:uniqueId val="{00000000-EBBD-4210-9CD0-631A7CDFFCEB}"/>
            </c:ext>
          </c:extLst>
        </c:ser>
        <c:ser>
          <c:idx val="1"/>
          <c:order val="1"/>
          <c:tx>
            <c:strRef>
              <c:f>'Hoja 3'!$C$1</c:f>
              <c:strCache>
                <c:ptCount val="1"/>
                <c:pt idx="0">
                  <c:v>Media España</c:v>
                </c:pt>
              </c:strCache>
            </c:strRef>
          </c:tx>
          <c:spPr>
            <a:ln w="28575" cap="rnd">
              <a:solidFill>
                <a:schemeClr val="accent2"/>
              </a:solidFill>
              <a:round/>
            </a:ln>
            <a:effectLst/>
          </c:spPr>
          <c:marker>
            <c:symbol val="none"/>
          </c:marker>
          <c:dLbls>
            <c:dLbl>
              <c:idx val="208"/>
              <c:layout>
                <c:manualLayout>
                  <c:x val="-6.6934404283801874E-3"/>
                  <c:y val="-6.788866259334691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BBD-4210-9CD0-631A7CDFFC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 3'!$A$2:$A$210</c:f>
              <c:numCache>
                <c:formatCode>General</c:formatCode>
                <c:ptCount val="209"/>
                <c:pt idx="1">
                  <c:v>2007</c:v>
                </c:pt>
                <c:pt idx="13">
                  <c:v>2008</c:v>
                </c:pt>
                <c:pt idx="25">
                  <c:v>2009</c:v>
                </c:pt>
                <c:pt idx="37">
                  <c:v>2010</c:v>
                </c:pt>
                <c:pt idx="49">
                  <c:v>2011</c:v>
                </c:pt>
                <c:pt idx="61">
                  <c:v>2012</c:v>
                </c:pt>
                <c:pt idx="73">
                  <c:v>2013</c:v>
                </c:pt>
                <c:pt idx="85">
                  <c:v>2014</c:v>
                </c:pt>
                <c:pt idx="97">
                  <c:v>2015</c:v>
                </c:pt>
                <c:pt idx="109">
                  <c:v>2016</c:v>
                </c:pt>
                <c:pt idx="121">
                  <c:v>2017</c:v>
                </c:pt>
                <c:pt idx="133">
                  <c:v>2018</c:v>
                </c:pt>
                <c:pt idx="145">
                  <c:v>2019</c:v>
                </c:pt>
                <c:pt idx="157">
                  <c:v>2020</c:v>
                </c:pt>
                <c:pt idx="169">
                  <c:v>2021</c:v>
                </c:pt>
                <c:pt idx="181">
                  <c:v>2022</c:v>
                </c:pt>
                <c:pt idx="193">
                  <c:v>2023</c:v>
                </c:pt>
                <c:pt idx="205">
                  <c:v>2024</c:v>
                </c:pt>
              </c:numCache>
            </c:numRef>
          </c:cat>
          <c:val>
            <c:numRef>
              <c:f>'Hoja 3'!$C$2:$C$210</c:f>
              <c:numCache>
                <c:formatCode>_-* #,##0\ _€_-;\-* #,##0\ _€_-;_-* "-"??\ _€_-;_-@</c:formatCode>
                <c:ptCount val="209"/>
                <c:pt idx="0">
                  <c:v>2892.4465956383283</c:v>
                </c:pt>
                <c:pt idx="1">
                  <c:v>2900.5281936451006</c:v>
                </c:pt>
                <c:pt idx="2">
                  <c:v>2923.4639955193393</c:v>
                </c:pt>
                <c:pt idx="3">
                  <c:v>2938.2766734467368</c:v>
                </c:pt>
                <c:pt idx="4">
                  <c:v>2952.1784370620799</c:v>
                </c:pt>
                <c:pt idx="5">
                  <c:v>2940.4759083222493</c:v>
                </c:pt>
                <c:pt idx="6">
                  <c:v>2943.2497372000262</c:v>
                </c:pt>
                <c:pt idx="7">
                  <c:v>2925.0334869896401</c:v>
                </c:pt>
                <c:pt idx="8">
                  <c:v>2922</c:v>
                </c:pt>
                <c:pt idx="9">
                  <c:v>2896.9378271063524</c:v>
                </c:pt>
                <c:pt idx="10">
                  <c:v>2887</c:v>
                </c:pt>
                <c:pt idx="11">
                  <c:v>2853</c:v>
                </c:pt>
                <c:pt idx="12">
                  <c:v>2861.6940283491999</c:v>
                </c:pt>
                <c:pt idx="13">
                  <c:v>2823.4681784242753</c:v>
                </c:pt>
                <c:pt idx="14">
                  <c:v>2799.0259766419163</c:v>
                </c:pt>
                <c:pt idx="15">
                  <c:v>2774.2306065744033</c:v>
                </c:pt>
                <c:pt idx="16">
                  <c:v>2753.306967711274</c:v>
                </c:pt>
                <c:pt idx="17">
                  <c:v>2732.3700740397417</c:v>
                </c:pt>
                <c:pt idx="18">
                  <c:v>2707.772905189544</c:v>
                </c:pt>
                <c:pt idx="19">
                  <c:v>2688.8908595169946</c:v>
                </c:pt>
                <c:pt idx="20">
                  <c:v>2677.3319073628563</c:v>
                </c:pt>
                <c:pt idx="21">
                  <c:v>2665.0613075688211</c:v>
                </c:pt>
                <c:pt idx="22">
                  <c:v>2646.074380656838</c:v>
                </c:pt>
                <c:pt idx="23">
                  <c:v>2628.0748931352355</c:v>
                </c:pt>
                <c:pt idx="24">
                  <c:v>2613.1871215925598</c:v>
                </c:pt>
                <c:pt idx="25">
                  <c:v>2540.7417875843898</c:v>
                </c:pt>
                <c:pt idx="26">
                  <c:v>2524.4264354770762</c:v>
                </c:pt>
                <c:pt idx="27">
                  <c:v>2486.9979533685514</c:v>
                </c:pt>
                <c:pt idx="28">
                  <c:v>2464.8174061544951</c:v>
                </c:pt>
                <c:pt idx="29">
                  <c:v>2428.6924765246599</c:v>
                </c:pt>
                <c:pt idx="30">
                  <c:v>2413.4253773330902</c:v>
                </c:pt>
                <c:pt idx="31">
                  <c:v>2393.9490059546042</c:v>
                </c:pt>
                <c:pt idx="32">
                  <c:v>2385.905694801254</c:v>
                </c:pt>
                <c:pt idx="33">
                  <c:v>2373.9048495518982</c:v>
                </c:pt>
                <c:pt idx="34">
                  <c:v>2365.3714498017339</c:v>
                </c:pt>
                <c:pt idx="35">
                  <c:v>2355.8556804402833</c:v>
                </c:pt>
                <c:pt idx="36">
                  <c:v>2351.5492001701482</c:v>
                </c:pt>
                <c:pt idx="37">
                  <c:v>2365.7130321750719</c:v>
                </c:pt>
                <c:pt idx="38">
                  <c:v>2362.0743259238502</c:v>
                </c:pt>
                <c:pt idx="39">
                  <c:v>2349.0885712757326</c:v>
                </c:pt>
                <c:pt idx="40">
                  <c:v>2341.879816549731</c:v>
                </c:pt>
                <c:pt idx="41">
                  <c:v>2330.645220525324</c:v>
                </c:pt>
                <c:pt idx="42">
                  <c:v>2320.2270772057632</c:v>
                </c:pt>
                <c:pt idx="43">
                  <c:v>2309.2741598177649</c:v>
                </c:pt>
                <c:pt idx="44">
                  <c:v>2298.9379553845056</c:v>
                </c:pt>
                <c:pt idx="45">
                  <c:v>2288.9399440637299</c:v>
                </c:pt>
                <c:pt idx="46">
                  <c:v>2283.4921189039378</c:v>
                </c:pt>
                <c:pt idx="47">
                  <c:v>2275.5245989298855</c:v>
                </c:pt>
                <c:pt idx="48">
                  <c:v>2261.648085822967</c:v>
                </c:pt>
                <c:pt idx="49">
                  <c:v>2254.5047324845177</c:v>
                </c:pt>
                <c:pt idx="50">
                  <c:v>2240.3225014079198</c:v>
                </c:pt>
                <c:pt idx="51">
                  <c:v>2229.72455162812</c:v>
                </c:pt>
                <c:pt idx="52">
                  <c:v>2214.8763417768319</c:v>
                </c:pt>
                <c:pt idx="53">
                  <c:v>2202.777609361146</c:v>
                </c:pt>
                <c:pt idx="54">
                  <c:v>2180.0180346103766</c:v>
                </c:pt>
                <c:pt idx="55">
                  <c:v>2178.2340953928001</c:v>
                </c:pt>
                <c:pt idx="56">
                  <c:v>2165.0641122653637</c:v>
                </c:pt>
                <c:pt idx="57">
                  <c:v>2152.8134183007178</c:v>
                </c:pt>
                <c:pt idx="58">
                  <c:v>2137.2696631694098</c:v>
                </c:pt>
                <c:pt idx="59">
                  <c:v>2122.1622735645897</c:v>
                </c:pt>
                <c:pt idx="60">
                  <c:v>2112.1100671837808</c:v>
                </c:pt>
                <c:pt idx="61">
                  <c:v>2098.1038838217833</c:v>
                </c:pt>
                <c:pt idx="62">
                  <c:v>2078.5683511908574</c:v>
                </c:pt>
                <c:pt idx="63">
                  <c:v>2059.4457504892098</c:v>
                </c:pt>
                <c:pt idx="64">
                  <c:v>2043.7397612075633</c:v>
                </c:pt>
                <c:pt idx="65">
                  <c:v>2017.2956224737709</c:v>
                </c:pt>
                <c:pt idx="66">
                  <c:v>1997.7956280030166</c:v>
                </c:pt>
                <c:pt idx="67">
                  <c:v>1970.1485403383579</c:v>
                </c:pt>
                <c:pt idx="68">
                  <c:v>1956.2679141242158</c:v>
                </c:pt>
                <c:pt idx="69">
                  <c:v>1943.4392884225881</c:v>
                </c:pt>
                <c:pt idx="70">
                  <c:v>1926.2974495493324</c:v>
                </c:pt>
                <c:pt idx="71">
                  <c:v>1906.14163266986</c:v>
                </c:pt>
                <c:pt idx="72">
                  <c:v>1890.6099242858099</c:v>
                </c:pt>
                <c:pt idx="73">
                  <c:v>1889.8984492191501</c:v>
                </c:pt>
                <c:pt idx="74">
                  <c:v>1877.5100531339783</c:v>
                </c:pt>
                <c:pt idx="75">
                  <c:v>1830.1726262732789</c:v>
                </c:pt>
                <c:pt idx="76">
                  <c:v>1809.3251053809099</c:v>
                </c:pt>
                <c:pt idx="77">
                  <c:v>1794.4413708044017</c:v>
                </c:pt>
                <c:pt idx="78">
                  <c:v>1761.2986110801744</c:v>
                </c:pt>
                <c:pt idx="79">
                  <c:v>1773.3749900601711</c:v>
                </c:pt>
                <c:pt idx="80">
                  <c:v>1766.7689937463347</c:v>
                </c:pt>
                <c:pt idx="81">
                  <c:v>1761.6238212457069</c:v>
                </c:pt>
                <c:pt idx="82">
                  <c:v>1746.1809657994986</c:v>
                </c:pt>
                <c:pt idx="83">
                  <c:v>1732.0351105898353</c:v>
                </c:pt>
                <c:pt idx="84">
                  <c:v>1730.4925763080209</c:v>
                </c:pt>
                <c:pt idx="85">
                  <c:v>1733.760658104002</c:v>
                </c:pt>
                <c:pt idx="86">
                  <c:v>1726.1889690407438</c:v>
                </c:pt>
                <c:pt idx="87">
                  <c:v>1711.9948779133106</c:v>
                </c:pt>
                <c:pt idx="88">
                  <c:v>1710.0560829560616</c:v>
                </c:pt>
                <c:pt idx="89">
                  <c:v>1698.6869815030602</c:v>
                </c:pt>
                <c:pt idx="90">
                  <c:v>1656.019582316138</c:v>
                </c:pt>
                <c:pt idx="91">
                  <c:v>1640.6673900000001</c:v>
                </c:pt>
                <c:pt idx="92">
                  <c:v>1656.3004741668699</c:v>
                </c:pt>
                <c:pt idx="93">
                  <c:v>1647.4017839431799</c:v>
                </c:pt>
                <c:pt idx="94">
                  <c:v>1637.3474855423001</c:v>
                </c:pt>
                <c:pt idx="95">
                  <c:v>1633.1161999999999</c:v>
                </c:pt>
                <c:pt idx="96">
                  <c:v>1631.5878</c:v>
                </c:pt>
                <c:pt idx="97">
                  <c:v>1628.5137999999999</c:v>
                </c:pt>
                <c:pt idx="98">
                  <c:v>1627.0962</c:v>
                </c:pt>
                <c:pt idx="99">
                  <c:v>1617.7546</c:v>
                </c:pt>
                <c:pt idx="100">
                  <c:v>1635.8353999999999</c:v>
                </c:pt>
                <c:pt idx="101">
                  <c:v>1634.6023</c:v>
                </c:pt>
                <c:pt idx="102">
                  <c:v>1635.0246</c:v>
                </c:pt>
                <c:pt idx="103">
                  <c:v>1643.0782999999999</c:v>
                </c:pt>
                <c:pt idx="104">
                  <c:v>1646.3317999999999</c:v>
                </c:pt>
                <c:pt idx="105">
                  <c:v>1645.9064000000001</c:v>
                </c:pt>
                <c:pt idx="106">
                  <c:v>1639.6386</c:v>
                </c:pt>
                <c:pt idx="107">
                  <c:v>1638.4383</c:v>
                </c:pt>
                <c:pt idx="108">
                  <c:v>1619.3175000000001</c:v>
                </c:pt>
                <c:pt idx="109">
                  <c:v>1623.5082</c:v>
                </c:pt>
                <c:pt idx="110">
                  <c:v>1609.6070999999999</c:v>
                </c:pt>
                <c:pt idx="111">
                  <c:v>1627.9155000000001</c:v>
                </c:pt>
                <c:pt idx="112">
                  <c:v>1624.3412000000001</c:v>
                </c:pt>
                <c:pt idx="113">
                  <c:v>1620.2140999999999</c:v>
                </c:pt>
                <c:pt idx="114">
                  <c:v>1621</c:v>
                </c:pt>
                <c:pt idx="115">
                  <c:v>1627</c:v>
                </c:pt>
                <c:pt idx="116">
                  <c:v>1627.6766</c:v>
                </c:pt>
                <c:pt idx="117">
                  <c:v>1636.3088</c:v>
                </c:pt>
                <c:pt idx="118">
                  <c:v>1659.7981</c:v>
                </c:pt>
                <c:pt idx="119">
                  <c:v>1654.5835999999999</c:v>
                </c:pt>
                <c:pt idx="120">
                  <c:v>1649.3690999999999</c:v>
                </c:pt>
                <c:pt idx="121">
                  <c:v>1649.3783000000001</c:v>
                </c:pt>
                <c:pt idx="122">
                  <c:v>1661.5595000000001</c:v>
                </c:pt>
                <c:pt idx="123">
                  <c:v>1664.1528000000001</c:v>
                </c:pt>
                <c:pt idx="124">
                  <c:v>1675.4295999999999</c:v>
                </c:pt>
                <c:pt idx="125">
                  <c:v>1679.6577</c:v>
                </c:pt>
                <c:pt idx="126">
                  <c:v>1693.9223</c:v>
                </c:pt>
                <c:pt idx="127">
                  <c:v>1699.8806</c:v>
                </c:pt>
                <c:pt idx="128">
                  <c:v>1707.9667999999999</c:v>
                </c:pt>
                <c:pt idx="129">
                  <c:v>1715.5250000000001</c:v>
                </c:pt>
                <c:pt idx="130">
                  <c:v>1727.06</c:v>
                </c:pt>
                <c:pt idx="131">
                  <c:v>1733.4513999999999</c:v>
                </c:pt>
                <c:pt idx="132">
                  <c:v>1733.35</c:v>
                </c:pt>
                <c:pt idx="133">
                  <c:v>1741.9528</c:v>
                </c:pt>
                <c:pt idx="134">
                  <c:v>1747.1279999999999</c:v>
                </c:pt>
                <c:pt idx="135">
                  <c:v>1752.2109</c:v>
                </c:pt>
                <c:pt idx="136">
                  <c:v>1765</c:v>
                </c:pt>
                <c:pt idx="137">
                  <c:v>1787.6329000000001</c:v>
                </c:pt>
                <c:pt idx="138">
                  <c:v>1805.3630000000001</c:v>
                </c:pt>
                <c:pt idx="139">
                  <c:v>1818.1504</c:v>
                </c:pt>
                <c:pt idx="140">
                  <c:v>1835.3874000000001</c:v>
                </c:pt>
                <c:pt idx="141">
                  <c:v>1848.5956000000001</c:v>
                </c:pt>
                <c:pt idx="142">
                  <c:v>1848.5986</c:v>
                </c:pt>
                <c:pt idx="143">
                  <c:v>1861.229</c:v>
                </c:pt>
                <c:pt idx="144">
                  <c:v>1869.2398000000001</c:v>
                </c:pt>
                <c:pt idx="145">
                  <c:v>1875.8303000000001</c:v>
                </c:pt>
                <c:pt idx="146">
                  <c:v>1886.5646999999999</c:v>
                </c:pt>
                <c:pt idx="147">
                  <c:v>1900.23</c:v>
                </c:pt>
                <c:pt idx="148">
                  <c:v>1891.2176999999999</c:v>
                </c:pt>
                <c:pt idx="149">
                  <c:v>1898.1405999999999</c:v>
                </c:pt>
                <c:pt idx="150">
                  <c:v>1909.7924</c:v>
                </c:pt>
                <c:pt idx="151">
                  <c:v>1901.0503000000001</c:v>
                </c:pt>
                <c:pt idx="152">
                  <c:v>1891.328</c:v>
                </c:pt>
                <c:pt idx="153">
                  <c:v>1890.6105</c:v>
                </c:pt>
                <c:pt idx="154">
                  <c:v>1892.1448</c:v>
                </c:pt>
                <c:pt idx="155">
                  <c:v>1863.91</c:v>
                </c:pt>
                <c:pt idx="156">
                  <c:v>1845.66</c:v>
                </c:pt>
                <c:pt idx="157">
                  <c:v>1840.93</c:v>
                </c:pt>
                <c:pt idx="158">
                  <c:v>1842.92</c:v>
                </c:pt>
                <c:pt idx="159">
                  <c:v>1844.2474952984401</c:v>
                </c:pt>
                <c:pt idx="160">
                  <c:v>1853.62</c:v>
                </c:pt>
                <c:pt idx="161">
                  <c:v>1878.01</c:v>
                </c:pt>
                <c:pt idx="162">
                  <c:v>1873.67</c:v>
                </c:pt>
                <c:pt idx="163">
                  <c:v>1887.71</c:v>
                </c:pt>
                <c:pt idx="164">
                  <c:v>1877.12</c:v>
                </c:pt>
                <c:pt idx="165">
                  <c:v>1845.47</c:v>
                </c:pt>
                <c:pt idx="166">
                  <c:v>1859.42</c:v>
                </c:pt>
                <c:pt idx="167">
                  <c:v>1877.3</c:v>
                </c:pt>
                <c:pt idx="168">
                  <c:v>1875.91</c:v>
                </c:pt>
                <c:pt idx="169">
                  <c:v>1873.6405549867225</c:v>
                </c:pt>
                <c:pt idx="170">
                  <c:v>1882.72</c:v>
                </c:pt>
                <c:pt idx="171">
                  <c:v>1897.11</c:v>
                </c:pt>
                <c:pt idx="172">
                  <c:v>1888.27</c:v>
                </c:pt>
                <c:pt idx="173">
                  <c:v>1892.64</c:v>
                </c:pt>
                <c:pt idx="174">
                  <c:v>1883.33</c:v>
                </c:pt>
                <c:pt idx="175">
                  <c:v>1893.77</c:v>
                </c:pt>
                <c:pt idx="176">
                  <c:v>1890.26</c:v>
                </c:pt>
                <c:pt idx="177">
                  <c:v>1891.76</c:v>
                </c:pt>
                <c:pt idx="178">
                  <c:v>1892.78</c:v>
                </c:pt>
                <c:pt idx="179">
                  <c:v>1910.87</c:v>
                </c:pt>
                <c:pt idx="180">
                  <c:v>1907.24</c:v>
                </c:pt>
                <c:pt idx="181">
                  <c:v>1891.54</c:v>
                </c:pt>
                <c:pt idx="182">
                  <c:v>1898.05</c:v>
                </c:pt>
                <c:pt idx="183">
                  <c:v>1913.23</c:v>
                </c:pt>
                <c:pt idx="184">
                  <c:v>1920.36</c:v>
                </c:pt>
                <c:pt idx="185">
                  <c:v>1933.71</c:v>
                </c:pt>
                <c:pt idx="186">
                  <c:v>1936.1</c:v>
                </c:pt>
                <c:pt idx="187">
                  <c:v>1959.86</c:v>
                </c:pt>
                <c:pt idx="188">
                  <c:v>1988.11</c:v>
                </c:pt>
                <c:pt idx="189">
                  <c:v>2010.57</c:v>
                </c:pt>
                <c:pt idx="190">
                  <c:v>2024.7</c:v>
                </c:pt>
                <c:pt idx="191">
                  <c:v>2046.13</c:v>
                </c:pt>
                <c:pt idx="192">
                  <c:v>2050.8200000000002</c:v>
                </c:pt>
                <c:pt idx="193">
                  <c:v>2061.73</c:v>
                </c:pt>
                <c:pt idx="194">
                  <c:v>2085.7199999999998</c:v>
                </c:pt>
                <c:pt idx="195">
                  <c:v>2102.4299999999998</c:v>
                </c:pt>
                <c:pt idx="196">
                  <c:v>2113.25</c:v>
                </c:pt>
                <c:pt idx="197">
                  <c:v>2130.83</c:v>
                </c:pt>
                <c:pt idx="198">
                  <c:v>2146.12</c:v>
                </c:pt>
                <c:pt idx="199">
                  <c:v>2149.86</c:v>
                </c:pt>
                <c:pt idx="200">
                  <c:v>2144.7399999999998</c:v>
                </c:pt>
                <c:pt idx="201">
                  <c:v>2151.25</c:v>
                </c:pt>
                <c:pt idx="202">
                  <c:v>2159.2199999999998</c:v>
                </c:pt>
                <c:pt idx="203">
                  <c:v>2172.17</c:v>
                </c:pt>
                <c:pt idx="204">
                  <c:v>2203.1</c:v>
                </c:pt>
                <c:pt idx="205">
                  <c:v>2215.37</c:v>
                </c:pt>
                <c:pt idx="206">
                  <c:v>2234.19</c:v>
                </c:pt>
                <c:pt idx="207">
                  <c:v>2258.9699999999998</c:v>
                </c:pt>
                <c:pt idx="208">
                  <c:v>2269</c:v>
                </c:pt>
              </c:numCache>
            </c:numRef>
          </c:val>
          <c:smooth val="0"/>
          <c:extLst>
            <c:ext xmlns:c16="http://schemas.microsoft.com/office/drawing/2014/chart" uri="{C3380CC4-5D6E-409C-BE32-E72D297353CC}">
              <c16:uniqueId val="{00000001-EBBD-4210-9CD0-631A7CDFFCEB}"/>
            </c:ext>
          </c:extLst>
        </c:ser>
        <c:dLbls>
          <c:showLegendKey val="0"/>
          <c:showVal val="0"/>
          <c:showCatName val="0"/>
          <c:showSerName val="0"/>
          <c:showPercent val="0"/>
          <c:showBubbleSize val="0"/>
        </c:dLbls>
        <c:smooth val="0"/>
        <c:axId val="1619219839"/>
        <c:axId val="1619220799"/>
      </c:lineChart>
      <c:catAx>
        <c:axId val="16192198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619220799"/>
        <c:crosses val="autoZero"/>
        <c:auto val="1"/>
        <c:lblAlgn val="ctr"/>
        <c:lblOffset val="100"/>
        <c:noMultiLvlLbl val="0"/>
      </c:catAx>
      <c:valAx>
        <c:axId val="1619220799"/>
        <c:scaling>
          <c:orientation val="minMax"/>
        </c:scaling>
        <c:delete val="0"/>
        <c:axPos val="l"/>
        <c:majorGridlines>
          <c:spPr>
            <a:ln w="9525" cap="flat" cmpd="sng" algn="ctr">
              <a:solidFill>
                <a:schemeClr val="tx1">
                  <a:lumMod val="15000"/>
                  <a:lumOff val="85000"/>
                </a:schemeClr>
              </a:solidFill>
              <a:round/>
            </a:ln>
            <a:effectLst/>
          </c:spPr>
        </c:majorGridlines>
        <c:numFmt formatCode="_-* #,##0\ [$€-C0A]_-;\-* #,##0\ [$€-C0A]_-;_-* &quot;-&quot;??\ [$€-C0A]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6192198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spPr>
            <a:solidFill>
              <a:srgbClr val="0FD5C9"/>
            </a:solidFill>
            <a:ln cmpd="sng">
              <a:solidFill>
                <a:srgbClr val="000000"/>
              </a:solidFill>
            </a:ln>
          </c:spPr>
          <c:invertIfNegative val="1"/>
          <c:dLbls>
            <c:dLbl>
              <c:idx val="5"/>
              <c:layout>
                <c:manualLayout>
                  <c:x val="-2.2779043280182234E-2"/>
                  <c:y val="-3.57653791130189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28-4CA9-B9BB-4A6B527FF3C9}"/>
                </c:ext>
              </c:extLst>
            </c:dLbl>
            <c:dLbl>
              <c:idx val="11"/>
              <c:layout>
                <c:manualLayout>
                  <c:x val="1.3448994687646604E-3"/>
                  <c:y val="-1.08621860149355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D28-4CA9-B9BB-4A6B527FF3C9}"/>
                </c:ext>
              </c:extLst>
            </c:dLbl>
            <c:dLbl>
              <c:idx val="12"/>
              <c:layout>
                <c:manualLayout>
                  <c:x val="-6.960182819874256E-17"/>
                  <c:y val="1.07296137339055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28-4CA9-B9BB-4A6B527FF3C9}"/>
                </c:ext>
              </c:extLst>
            </c:dLbl>
            <c:dLbl>
              <c:idx val="14"/>
              <c:layout>
                <c:manualLayout>
                  <c:x val="-1.8982536066818527E-3"/>
                  <c:y val="-2.1459227467811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D28-4CA9-B9BB-4A6B527FF3C9}"/>
                </c:ext>
              </c:extLst>
            </c:dLbl>
            <c:dLbl>
              <c:idx val="16"/>
              <c:layout>
                <c:manualLayout>
                  <c:x val="1.898253606681852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D28-4CA9-B9BB-4A6B527FF3C9}"/>
                </c:ext>
              </c:extLst>
            </c:dLbl>
            <c:dLbl>
              <c:idx val="18"/>
              <c:layout>
                <c:manualLayout>
                  <c:x val="1.8982536066818389E-2"/>
                  <c:y val="-3.278455212365663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D28-4CA9-B9BB-4A6B527FF3C9}"/>
                </c:ext>
              </c:extLst>
            </c:dLbl>
            <c:dLbl>
              <c:idx val="20"/>
              <c:layout>
                <c:manualLayout>
                  <c:x val="1.8982536066818527E-3"/>
                  <c:y val="1.43061516452074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D28-4CA9-B9BB-4A6B527FF3C9}"/>
                </c:ext>
              </c:extLst>
            </c:dLbl>
            <c:dLbl>
              <c:idx val="21"/>
              <c:layout>
                <c:manualLayout>
                  <c:x val="0"/>
                  <c:y val="-7.15307582260368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D28-4CA9-B9BB-4A6B527FF3C9}"/>
                </c:ext>
              </c:extLst>
            </c:dLbl>
            <c:spPr>
              <a:noFill/>
              <a:ln>
                <a:noFill/>
              </a:ln>
              <a:effectLst/>
            </c:spPr>
            <c:txPr>
              <a:bodyPr/>
              <a:lstStyle/>
              <a:p>
                <a:pPr lvl="0">
                  <a:defRPr sz="800" b="1">
                    <a:solidFill>
                      <a:srgbClr val="000000"/>
                    </a:solidFill>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 4'!$A$2:$A$29</c:f>
              <c:numCache>
                <c:formatCode>mmm\-yy</c:formatCode>
                <c:ptCount val="28"/>
                <c:pt idx="0">
                  <c:v>44562</c:v>
                </c:pt>
                <c:pt idx="1">
                  <c:v>44593</c:v>
                </c:pt>
                <c:pt idx="2">
                  <c:v>44621</c:v>
                </c:pt>
                <c:pt idx="3">
                  <c:v>44652</c:v>
                </c:pt>
                <c:pt idx="4">
                  <c:v>44682</c:v>
                </c:pt>
                <c:pt idx="5">
                  <c:v>44713</c:v>
                </c:pt>
                <c:pt idx="6">
                  <c:v>44743</c:v>
                </c:pt>
                <c:pt idx="7">
                  <c:v>44774</c:v>
                </c:pt>
                <c:pt idx="8">
                  <c:v>44805</c:v>
                </c:pt>
                <c:pt idx="9">
                  <c:v>44835</c:v>
                </c:pt>
                <c:pt idx="10">
                  <c:v>44866</c:v>
                </c:pt>
                <c:pt idx="11">
                  <c:v>44896</c:v>
                </c:pt>
                <c:pt idx="12">
                  <c:v>44927</c:v>
                </c:pt>
                <c:pt idx="13">
                  <c:v>44958</c:v>
                </c:pt>
                <c:pt idx="14">
                  <c:v>44986</c:v>
                </c:pt>
                <c:pt idx="15">
                  <c:v>45017</c:v>
                </c:pt>
                <c:pt idx="16">
                  <c:v>45047</c:v>
                </c:pt>
                <c:pt idx="17">
                  <c:v>45078</c:v>
                </c:pt>
                <c:pt idx="18">
                  <c:v>45108</c:v>
                </c:pt>
                <c:pt idx="19">
                  <c:v>45139</c:v>
                </c:pt>
                <c:pt idx="20">
                  <c:v>45170</c:v>
                </c:pt>
                <c:pt idx="21">
                  <c:v>45200</c:v>
                </c:pt>
                <c:pt idx="22">
                  <c:v>45231</c:v>
                </c:pt>
                <c:pt idx="23">
                  <c:v>45261</c:v>
                </c:pt>
                <c:pt idx="24">
                  <c:v>45292</c:v>
                </c:pt>
                <c:pt idx="25">
                  <c:v>45323</c:v>
                </c:pt>
                <c:pt idx="26">
                  <c:v>45352</c:v>
                </c:pt>
                <c:pt idx="27">
                  <c:v>45383</c:v>
                </c:pt>
              </c:numCache>
            </c:numRef>
          </c:cat>
          <c:val>
            <c:numRef>
              <c:f>'Hoja 4'!$B$2:$B$29</c:f>
              <c:numCache>
                <c:formatCode>0.0%</c:formatCode>
                <c:ptCount val="28"/>
                <c:pt idx="0">
                  <c:v>5.3226879574185017E-3</c:v>
                </c:pt>
                <c:pt idx="1">
                  <c:v>3.2258064516128941E-2</c:v>
                </c:pt>
                <c:pt idx="2">
                  <c:v>4.7811447811447867E-2</c:v>
                </c:pt>
                <c:pt idx="3">
                  <c:v>6.3685636856368535E-2</c:v>
                </c:pt>
                <c:pt idx="4">
                  <c:v>8.2824168363883149E-2</c:v>
                </c:pt>
                <c:pt idx="5">
                  <c:v>0.11162240821565293</c:v>
                </c:pt>
                <c:pt idx="6">
                  <c:v>0.11432414256893081</c:v>
                </c:pt>
                <c:pt idx="7">
                  <c:v>0.12407780013413826</c:v>
                </c:pt>
                <c:pt idx="8">
                  <c:v>0.14383561643835616</c:v>
                </c:pt>
                <c:pt idx="9">
                  <c:v>0.15437629221226742</c:v>
                </c:pt>
                <c:pt idx="10">
                  <c:v>0.13828337874659408</c:v>
                </c:pt>
                <c:pt idx="11">
                  <c:v>0.12542144302090366</c:v>
                </c:pt>
                <c:pt idx="12">
                  <c:v>0.12375909993381873</c:v>
                </c:pt>
                <c:pt idx="13">
                  <c:v>0.12825520833333326</c:v>
                </c:pt>
                <c:pt idx="14">
                  <c:v>0.13496143958868892</c:v>
                </c:pt>
                <c:pt idx="15">
                  <c:v>0.12993630573248402</c:v>
                </c:pt>
                <c:pt idx="16">
                  <c:v>0.12539184952978058</c:v>
                </c:pt>
                <c:pt idx="17">
                  <c:v>0.1183877934279092</c:v>
                </c:pt>
                <c:pt idx="18">
                  <c:v>0.11949305974652989</c:v>
                </c:pt>
                <c:pt idx="19">
                  <c:v>0.10620525059665856</c:v>
                </c:pt>
                <c:pt idx="20">
                  <c:v>0.1041916167664672</c:v>
                </c:pt>
                <c:pt idx="21">
                  <c:v>0.1044776119402985</c:v>
                </c:pt>
                <c:pt idx="22">
                  <c:v>0.12387791741472173</c:v>
                </c:pt>
                <c:pt idx="23">
                  <c:v>0.13780707010185722</c:v>
                </c:pt>
                <c:pt idx="24">
                  <c:v>0.12544169611307415</c:v>
                </c:pt>
                <c:pt idx="25">
                  <c:v>0.13618003462204289</c:v>
                </c:pt>
                <c:pt idx="26">
                  <c:v>0.11325028312570781</c:v>
                </c:pt>
                <c:pt idx="27">
                  <c:v>0.12232243517474645</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4D28-4CA9-B9BB-4A6B527FF3C9}"/>
            </c:ext>
          </c:extLst>
        </c:ser>
        <c:dLbls>
          <c:showLegendKey val="0"/>
          <c:showVal val="0"/>
          <c:showCatName val="0"/>
          <c:showSerName val="0"/>
          <c:showPercent val="0"/>
          <c:showBubbleSize val="0"/>
        </c:dLbls>
        <c:gapWidth val="150"/>
        <c:axId val="1250961908"/>
        <c:axId val="110334315"/>
      </c:barChart>
      <c:dateAx>
        <c:axId val="1250961908"/>
        <c:scaling>
          <c:orientation val="minMax"/>
        </c:scaling>
        <c:delete val="0"/>
        <c:axPos val="b"/>
        <c:title>
          <c:tx>
            <c:rich>
              <a:bodyPr/>
              <a:lstStyle/>
              <a:p>
                <a:pPr lvl="0">
                  <a:defRPr b="0">
                    <a:solidFill>
                      <a:srgbClr val="000000"/>
                    </a:solidFill>
                    <a:latin typeface="+mn-lt"/>
                  </a:defRPr>
                </a:pPr>
                <a:endParaRPr lang="es-ES"/>
              </a:p>
            </c:rich>
          </c:tx>
          <c:overlay val="0"/>
        </c:title>
        <c:numFmt formatCode="mmm\-yy" sourceLinked="1"/>
        <c:majorTickMark val="none"/>
        <c:minorTickMark val="none"/>
        <c:tickLblPos val="nextTo"/>
        <c:txPr>
          <a:bodyPr rot="-5400000" vert="horz"/>
          <a:lstStyle/>
          <a:p>
            <a:pPr lvl="0">
              <a:defRPr b="0">
                <a:solidFill>
                  <a:srgbClr val="000000"/>
                </a:solidFill>
                <a:latin typeface="+mn-lt"/>
              </a:defRPr>
            </a:pPr>
            <a:endParaRPr lang="es-ES"/>
          </a:p>
        </c:txPr>
        <c:crossAx val="110334315"/>
        <c:crosses val="autoZero"/>
        <c:auto val="1"/>
        <c:lblOffset val="100"/>
        <c:baseTimeUnit val="months"/>
      </c:dateAx>
      <c:valAx>
        <c:axId val="110334315"/>
        <c:scaling>
          <c:orientation val="minMax"/>
        </c:scaling>
        <c:delete val="0"/>
        <c:axPos val="l"/>
        <c:minorGridlines>
          <c:spPr>
            <a:ln>
              <a:solidFill>
                <a:srgbClr val="CCCCCC">
                  <a:alpha val="0"/>
                </a:srgbClr>
              </a:solidFill>
            </a:ln>
          </c:spPr>
        </c:minorGridlines>
        <c:title>
          <c:tx>
            <c:rich>
              <a:bodyPr/>
              <a:lstStyle/>
              <a:p>
                <a:pPr lvl="0">
                  <a:defRPr b="0">
                    <a:solidFill>
                      <a:srgbClr val="000000"/>
                    </a:solidFill>
                    <a:latin typeface="+mn-lt"/>
                  </a:defRPr>
                </a:pPr>
                <a:endParaRPr lang="es-ES"/>
              </a:p>
            </c:rich>
          </c:tx>
          <c:overlay val="0"/>
        </c:title>
        <c:numFmt formatCode="0.0%" sourceLinked="1"/>
        <c:majorTickMark val="none"/>
        <c:minorTickMark val="none"/>
        <c:tickLblPos val="nextTo"/>
        <c:spPr>
          <a:ln/>
        </c:spPr>
        <c:txPr>
          <a:bodyPr/>
          <a:lstStyle/>
          <a:p>
            <a:pPr lvl="0">
              <a:defRPr b="0">
                <a:solidFill>
                  <a:srgbClr val="000000"/>
                </a:solidFill>
                <a:latin typeface="+mn-lt"/>
              </a:defRPr>
            </a:pPr>
            <a:endParaRPr lang="es-ES"/>
          </a:p>
        </c:txPr>
        <c:crossAx val="1250961908"/>
        <c:crosses val="autoZero"/>
        <c:crossBetween val="between"/>
      </c:valAx>
    </c:plotArea>
    <c:plotVisOnly val="1"/>
    <c:dispBlanksAs val="zero"/>
    <c:showDLblsOverMax val="1"/>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 5'!$B$1</c:f>
              <c:strCache>
                <c:ptCount val="1"/>
                <c:pt idx="0">
                  <c:v>Madrid</c:v>
                </c:pt>
              </c:strCache>
            </c:strRef>
          </c:tx>
          <c:spPr>
            <a:ln w="28575" cap="rnd">
              <a:solidFill>
                <a:schemeClr val="accent1"/>
              </a:solidFill>
              <a:round/>
            </a:ln>
            <a:effectLst/>
          </c:spPr>
          <c:marker>
            <c:symbol val="none"/>
          </c:marker>
          <c:dLbls>
            <c:dLbl>
              <c:idx val="207"/>
              <c:layout>
                <c:manualLayout>
                  <c:x val="-6.4766839378238338E-3"/>
                  <c:y val="-5.10576221735959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F26-4B54-AFA9-5DF88334C5B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 5'!$A$2:$A$210</c:f>
              <c:numCache>
                <c:formatCode>General</c:formatCode>
                <c:ptCount val="209"/>
                <c:pt idx="1">
                  <c:v>2007</c:v>
                </c:pt>
                <c:pt idx="13">
                  <c:v>2008</c:v>
                </c:pt>
                <c:pt idx="25">
                  <c:v>2009</c:v>
                </c:pt>
                <c:pt idx="37">
                  <c:v>2010</c:v>
                </c:pt>
                <c:pt idx="49">
                  <c:v>2011</c:v>
                </c:pt>
                <c:pt idx="61">
                  <c:v>2012</c:v>
                </c:pt>
                <c:pt idx="73">
                  <c:v>2013</c:v>
                </c:pt>
                <c:pt idx="85">
                  <c:v>2014</c:v>
                </c:pt>
                <c:pt idx="97">
                  <c:v>2015</c:v>
                </c:pt>
                <c:pt idx="109">
                  <c:v>2016</c:v>
                </c:pt>
                <c:pt idx="121">
                  <c:v>2017</c:v>
                </c:pt>
                <c:pt idx="133">
                  <c:v>2018</c:v>
                </c:pt>
                <c:pt idx="145">
                  <c:v>2019</c:v>
                </c:pt>
                <c:pt idx="157">
                  <c:v>2020</c:v>
                </c:pt>
                <c:pt idx="169">
                  <c:v>2021</c:v>
                </c:pt>
                <c:pt idx="181">
                  <c:v>2022</c:v>
                </c:pt>
                <c:pt idx="193">
                  <c:v>2023</c:v>
                </c:pt>
                <c:pt idx="205">
                  <c:v>2024</c:v>
                </c:pt>
              </c:numCache>
            </c:numRef>
          </c:cat>
          <c:val>
            <c:numRef>
              <c:f>'Hoja 5'!$B$2:$B$210</c:f>
              <c:numCache>
                <c:formatCode>_-* #,##0.00\ "€"_-;\-* #,##0.00\ "€"_-;_-* "-"??\ "€"_-;_-@</c:formatCode>
                <c:ptCount val="209"/>
                <c:pt idx="0">
                  <c:v>12.429128839195069</c:v>
                </c:pt>
                <c:pt idx="1">
                  <c:v>12.676669555498069</c:v>
                </c:pt>
                <c:pt idx="2">
                  <c:v>12.988943977763325</c:v>
                </c:pt>
                <c:pt idx="3">
                  <c:v>13.157812167299436</c:v>
                </c:pt>
                <c:pt idx="4">
                  <c:v>13.253874150857644</c:v>
                </c:pt>
                <c:pt idx="5">
                  <c:v>13.170830011458273</c:v>
                </c:pt>
                <c:pt idx="6">
                  <c:v>12.974602489824049</c:v>
                </c:pt>
                <c:pt idx="7">
                  <c:v>12.8786681693923</c:v>
                </c:pt>
                <c:pt idx="8">
                  <c:v>12.935750729933924</c:v>
                </c:pt>
                <c:pt idx="9">
                  <c:v>13.206202051881638</c:v>
                </c:pt>
                <c:pt idx="10">
                  <c:v>13.12709696264564</c:v>
                </c:pt>
                <c:pt idx="11">
                  <c:v>13.16673814262349</c:v>
                </c:pt>
                <c:pt idx="12">
                  <c:v>13.339193152764</c:v>
                </c:pt>
                <c:pt idx="13">
                  <c:v>13.269681478533906</c:v>
                </c:pt>
                <c:pt idx="14">
                  <c:v>13.254311026200188</c:v>
                </c:pt>
                <c:pt idx="15">
                  <c:v>13.287559353923102</c:v>
                </c:pt>
                <c:pt idx="16">
                  <c:v>13.26938663662512</c:v>
                </c:pt>
                <c:pt idx="17">
                  <c:v>13.030374304269262</c:v>
                </c:pt>
                <c:pt idx="18">
                  <c:v>13.003693642721506</c:v>
                </c:pt>
                <c:pt idx="19">
                  <c:v>12.801328960241634</c:v>
                </c:pt>
                <c:pt idx="20">
                  <c:v>12.790009507694561</c:v>
                </c:pt>
                <c:pt idx="21">
                  <c:v>12.793680759240008</c:v>
                </c:pt>
                <c:pt idx="22">
                  <c:v>12.813674856934782</c:v>
                </c:pt>
                <c:pt idx="23">
                  <c:v>12.742488680191199</c:v>
                </c:pt>
                <c:pt idx="24">
                  <c:v>12.669065257108945</c:v>
                </c:pt>
                <c:pt idx="25">
                  <c:v>12.678328229973047</c:v>
                </c:pt>
                <c:pt idx="26">
                  <c:v>12.648120985854415</c:v>
                </c:pt>
                <c:pt idx="27">
                  <c:v>12.760372559662072</c:v>
                </c:pt>
                <c:pt idx="28">
                  <c:v>12.645696284974663</c:v>
                </c:pt>
                <c:pt idx="29">
                  <c:v>12.616735522272791</c:v>
                </c:pt>
                <c:pt idx="30">
                  <c:v>12.649745720837457</c:v>
                </c:pt>
                <c:pt idx="31">
                  <c:v>12.617579000084822</c:v>
                </c:pt>
                <c:pt idx="32">
                  <c:v>12.735445566180505</c:v>
                </c:pt>
                <c:pt idx="33">
                  <c:v>12.676134741379137</c:v>
                </c:pt>
                <c:pt idx="34">
                  <c:v>12.025797675648985</c:v>
                </c:pt>
                <c:pt idx="35">
                  <c:v>12.290378387481001</c:v>
                </c:pt>
                <c:pt idx="36">
                  <c:v>12.478108587060779</c:v>
                </c:pt>
                <c:pt idx="37">
                  <c:v>12.416912571380099</c:v>
                </c:pt>
                <c:pt idx="38">
                  <c:v>12.349230771940329</c:v>
                </c:pt>
                <c:pt idx="39">
                  <c:v>12.240041552753357</c:v>
                </c:pt>
                <c:pt idx="40">
                  <c:v>12.09925</c:v>
                </c:pt>
                <c:pt idx="41">
                  <c:v>12.092689999999999</c:v>
                </c:pt>
                <c:pt idx="42">
                  <c:v>12.0009</c:v>
                </c:pt>
                <c:pt idx="43">
                  <c:v>12.038080000000001</c:v>
                </c:pt>
                <c:pt idx="44">
                  <c:v>11.97129</c:v>
                </c:pt>
                <c:pt idx="45">
                  <c:v>12.02291</c:v>
                </c:pt>
                <c:pt idx="46">
                  <c:v>11.98715</c:v>
                </c:pt>
                <c:pt idx="47">
                  <c:v>11.868550000000001</c:v>
                </c:pt>
                <c:pt idx="48">
                  <c:v>11.787800000000001</c:v>
                </c:pt>
                <c:pt idx="49">
                  <c:v>11.82518</c:v>
                </c:pt>
                <c:pt idx="50">
                  <c:v>11.81114</c:v>
                </c:pt>
                <c:pt idx="51">
                  <c:v>11.76965</c:v>
                </c:pt>
                <c:pt idx="52">
                  <c:v>11.76925</c:v>
                </c:pt>
                <c:pt idx="53">
                  <c:v>11.757479999999999</c:v>
                </c:pt>
                <c:pt idx="54">
                  <c:v>11.55331</c:v>
                </c:pt>
                <c:pt idx="55">
                  <c:v>11.74314</c:v>
                </c:pt>
                <c:pt idx="56">
                  <c:v>11.82992</c:v>
                </c:pt>
                <c:pt idx="57">
                  <c:v>11.861689999999999</c:v>
                </c:pt>
                <c:pt idx="58">
                  <c:v>11.7788</c:v>
                </c:pt>
                <c:pt idx="59">
                  <c:v>11.79876</c:v>
                </c:pt>
                <c:pt idx="60">
                  <c:v>11.72419</c:v>
                </c:pt>
                <c:pt idx="61">
                  <c:v>11.58797</c:v>
                </c:pt>
                <c:pt idx="62">
                  <c:v>11.55733</c:v>
                </c:pt>
                <c:pt idx="63">
                  <c:v>11.50948</c:v>
                </c:pt>
                <c:pt idx="64">
                  <c:v>11.431609999999999</c:v>
                </c:pt>
                <c:pt idx="65">
                  <c:v>11.28359</c:v>
                </c:pt>
                <c:pt idx="66">
                  <c:v>11.202019999999999</c:v>
                </c:pt>
                <c:pt idx="67">
                  <c:v>11.133559999999999</c:v>
                </c:pt>
                <c:pt idx="68">
                  <c:v>11.161770000000001</c:v>
                </c:pt>
                <c:pt idx="69">
                  <c:v>11.142609999999999</c:v>
                </c:pt>
                <c:pt idx="70">
                  <c:v>11.100949999999999</c:v>
                </c:pt>
                <c:pt idx="71">
                  <c:v>10.96794</c:v>
                </c:pt>
                <c:pt idx="72">
                  <c:v>10.880660000000001</c:v>
                </c:pt>
                <c:pt idx="73">
                  <c:v>10.77483</c:v>
                </c:pt>
                <c:pt idx="74">
                  <c:v>10.6972</c:v>
                </c:pt>
                <c:pt idx="75">
                  <c:v>10.61321</c:v>
                </c:pt>
                <c:pt idx="76">
                  <c:v>10.567970000000001</c:v>
                </c:pt>
                <c:pt idx="77">
                  <c:v>10.44608</c:v>
                </c:pt>
                <c:pt idx="78">
                  <c:v>10.421469999999999</c:v>
                </c:pt>
                <c:pt idx="79">
                  <c:v>10.386979999999999</c:v>
                </c:pt>
                <c:pt idx="80">
                  <c:v>10.364800000000001</c:v>
                </c:pt>
                <c:pt idx="81">
                  <c:v>10.456530000000001</c:v>
                </c:pt>
                <c:pt idx="82">
                  <c:v>10.4054720724164</c:v>
                </c:pt>
                <c:pt idx="83">
                  <c:v>10.347271800887</c:v>
                </c:pt>
                <c:pt idx="84">
                  <c:v>10.3038362766878</c:v>
                </c:pt>
                <c:pt idx="85">
                  <c:v>10.2567796112605</c:v>
                </c:pt>
                <c:pt idx="86">
                  <c:v>10.251398314330901</c:v>
                </c:pt>
                <c:pt idx="87">
                  <c:v>10.262051496092299</c:v>
                </c:pt>
                <c:pt idx="88">
                  <c:v>10.258992209675201</c:v>
                </c:pt>
                <c:pt idx="89">
                  <c:v>10.268242599219301</c:v>
                </c:pt>
                <c:pt idx="90">
                  <c:v>10.3605972590302</c:v>
                </c:pt>
                <c:pt idx="91">
                  <c:v>10.438302581049999</c:v>
                </c:pt>
                <c:pt idx="92">
                  <c:v>10.57575634582</c:v>
                </c:pt>
                <c:pt idx="93">
                  <c:v>10.60639427684</c:v>
                </c:pt>
                <c:pt idx="94">
                  <c:v>10.56283002162</c:v>
                </c:pt>
                <c:pt idx="95">
                  <c:v>10.500399999999999</c:v>
                </c:pt>
                <c:pt idx="96">
                  <c:v>10.446300000000001</c:v>
                </c:pt>
                <c:pt idx="97">
                  <c:v>10.3941</c:v>
                </c:pt>
                <c:pt idx="98">
                  <c:v>11.14</c:v>
                </c:pt>
                <c:pt idx="99">
                  <c:v>11.24</c:v>
                </c:pt>
                <c:pt idx="100">
                  <c:v>11.2</c:v>
                </c:pt>
                <c:pt idx="101">
                  <c:v>11.3</c:v>
                </c:pt>
                <c:pt idx="102">
                  <c:v>11.3</c:v>
                </c:pt>
                <c:pt idx="103">
                  <c:v>11.6</c:v>
                </c:pt>
                <c:pt idx="104">
                  <c:v>11.69</c:v>
                </c:pt>
                <c:pt idx="105">
                  <c:v>11.63</c:v>
                </c:pt>
                <c:pt idx="106">
                  <c:v>11.58</c:v>
                </c:pt>
                <c:pt idx="107">
                  <c:v>11.7</c:v>
                </c:pt>
                <c:pt idx="108">
                  <c:v>11.88</c:v>
                </c:pt>
                <c:pt idx="109">
                  <c:v>11.9</c:v>
                </c:pt>
                <c:pt idx="110">
                  <c:v>11.98</c:v>
                </c:pt>
                <c:pt idx="111">
                  <c:v>12.28</c:v>
                </c:pt>
                <c:pt idx="112">
                  <c:v>12.28</c:v>
                </c:pt>
                <c:pt idx="113">
                  <c:v>12.51</c:v>
                </c:pt>
                <c:pt idx="114">
                  <c:v>12.46</c:v>
                </c:pt>
                <c:pt idx="115">
                  <c:v>12.51</c:v>
                </c:pt>
                <c:pt idx="116">
                  <c:v>12.76</c:v>
                </c:pt>
                <c:pt idx="117">
                  <c:v>12.81</c:v>
                </c:pt>
                <c:pt idx="118">
                  <c:v>12.71</c:v>
                </c:pt>
                <c:pt idx="119">
                  <c:v>13.04</c:v>
                </c:pt>
                <c:pt idx="120">
                  <c:v>13.22</c:v>
                </c:pt>
                <c:pt idx="121">
                  <c:v>13.28</c:v>
                </c:pt>
                <c:pt idx="122">
                  <c:v>13.38</c:v>
                </c:pt>
                <c:pt idx="123">
                  <c:v>13.65</c:v>
                </c:pt>
                <c:pt idx="124">
                  <c:v>13.73</c:v>
                </c:pt>
                <c:pt idx="125">
                  <c:v>13.67</c:v>
                </c:pt>
                <c:pt idx="126">
                  <c:v>13.75</c:v>
                </c:pt>
                <c:pt idx="127">
                  <c:v>13.95</c:v>
                </c:pt>
                <c:pt idx="128">
                  <c:v>14.32</c:v>
                </c:pt>
                <c:pt idx="129">
                  <c:v>14.59</c:v>
                </c:pt>
                <c:pt idx="130">
                  <c:v>14.71</c:v>
                </c:pt>
                <c:pt idx="131">
                  <c:v>14.8</c:v>
                </c:pt>
                <c:pt idx="132">
                  <c:v>14.87</c:v>
                </c:pt>
                <c:pt idx="133">
                  <c:v>15</c:v>
                </c:pt>
                <c:pt idx="134">
                  <c:v>15.16</c:v>
                </c:pt>
                <c:pt idx="135">
                  <c:v>15.54</c:v>
                </c:pt>
                <c:pt idx="136">
                  <c:v>15.53</c:v>
                </c:pt>
                <c:pt idx="137">
                  <c:v>15.59</c:v>
                </c:pt>
                <c:pt idx="138">
                  <c:v>15.67</c:v>
                </c:pt>
                <c:pt idx="139">
                  <c:v>15.66</c:v>
                </c:pt>
                <c:pt idx="140">
                  <c:v>16.13</c:v>
                </c:pt>
                <c:pt idx="141">
                  <c:v>16.14</c:v>
                </c:pt>
                <c:pt idx="142">
                  <c:v>16.03</c:v>
                </c:pt>
                <c:pt idx="143">
                  <c:v>16.12</c:v>
                </c:pt>
                <c:pt idx="144">
                  <c:v>16.09</c:v>
                </c:pt>
                <c:pt idx="145">
                  <c:v>16.13</c:v>
                </c:pt>
                <c:pt idx="146">
                  <c:v>16.02</c:v>
                </c:pt>
                <c:pt idx="147">
                  <c:v>16.11</c:v>
                </c:pt>
                <c:pt idx="148">
                  <c:v>16.190000000000001</c:v>
                </c:pt>
                <c:pt idx="149">
                  <c:v>16.059999999999999</c:v>
                </c:pt>
                <c:pt idx="150">
                  <c:v>16.16</c:v>
                </c:pt>
                <c:pt idx="151">
                  <c:v>16.350000000000001</c:v>
                </c:pt>
                <c:pt idx="152">
                  <c:v>16.78</c:v>
                </c:pt>
                <c:pt idx="153">
                  <c:v>16.309999999999999</c:v>
                </c:pt>
                <c:pt idx="154">
                  <c:v>16.23</c:v>
                </c:pt>
                <c:pt idx="155">
                  <c:v>16.53</c:v>
                </c:pt>
                <c:pt idx="156">
                  <c:v>16.41</c:v>
                </c:pt>
                <c:pt idx="157">
                  <c:v>16.62</c:v>
                </c:pt>
                <c:pt idx="158">
                  <c:v>16.55</c:v>
                </c:pt>
                <c:pt idx="159">
                  <c:v>16.62</c:v>
                </c:pt>
                <c:pt idx="160">
                  <c:v>16.93</c:v>
                </c:pt>
                <c:pt idx="161">
                  <c:v>16.829999999999998</c:v>
                </c:pt>
                <c:pt idx="162">
                  <c:v>16.59</c:v>
                </c:pt>
                <c:pt idx="163">
                  <c:v>16.309999999999999</c:v>
                </c:pt>
                <c:pt idx="164">
                  <c:v>16.25</c:v>
                </c:pt>
                <c:pt idx="165">
                  <c:v>15.89</c:v>
                </c:pt>
                <c:pt idx="166">
                  <c:v>15.57</c:v>
                </c:pt>
                <c:pt idx="167">
                  <c:v>15.21</c:v>
                </c:pt>
                <c:pt idx="168">
                  <c:v>15.04</c:v>
                </c:pt>
                <c:pt idx="169">
                  <c:v>15.03</c:v>
                </c:pt>
                <c:pt idx="170">
                  <c:v>14.88</c:v>
                </c:pt>
                <c:pt idx="171">
                  <c:v>14.85</c:v>
                </c:pt>
                <c:pt idx="172">
                  <c:v>14.76</c:v>
                </c:pt>
                <c:pt idx="173">
                  <c:v>14.73</c:v>
                </c:pt>
                <c:pt idx="174">
                  <c:v>14.76</c:v>
                </c:pt>
                <c:pt idx="175">
                  <c:v>14.87</c:v>
                </c:pt>
                <c:pt idx="176">
                  <c:v>14.91</c:v>
                </c:pt>
                <c:pt idx="177">
                  <c:v>14.6</c:v>
                </c:pt>
                <c:pt idx="178">
                  <c:v>14.51</c:v>
                </c:pt>
                <c:pt idx="179">
                  <c:v>14.68</c:v>
                </c:pt>
                <c:pt idx="180">
                  <c:v>14.83</c:v>
                </c:pt>
                <c:pt idx="181">
                  <c:v>15.11</c:v>
                </c:pt>
                <c:pt idx="182">
                  <c:v>15.36</c:v>
                </c:pt>
                <c:pt idx="183">
                  <c:v>15.56</c:v>
                </c:pt>
                <c:pt idx="184">
                  <c:v>15.7</c:v>
                </c:pt>
                <c:pt idx="185">
                  <c:v>15.95</c:v>
                </c:pt>
                <c:pt idx="186">
                  <c:v>16.407546745263037</c:v>
                </c:pt>
                <c:pt idx="187">
                  <c:v>16.57</c:v>
                </c:pt>
                <c:pt idx="188">
                  <c:v>16.760000000000002</c:v>
                </c:pt>
                <c:pt idx="189">
                  <c:v>16.7</c:v>
                </c:pt>
                <c:pt idx="190">
                  <c:v>16.75</c:v>
                </c:pt>
                <c:pt idx="191">
                  <c:v>16.71</c:v>
                </c:pt>
                <c:pt idx="192">
                  <c:v>16.690000000000001</c:v>
                </c:pt>
                <c:pt idx="193">
                  <c:v>16.98</c:v>
                </c:pt>
                <c:pt idx="194">
                  <c:v>17.329999999999998</c:v>
                </c:pt>
                <c:pt idx="195">
                  <c:v>17.66</c:v>
                </c:pt>
                <c:pt idx="196">
                  <c:v>17.739999999999998</c:v>
                </c:pt>
                <c:pt idx="197">
                  <c:v>17.95</c:v>
                </c:pt>
                <c:pt idx="198">
                  <c:v>18.350000000000001</c:v>
                </c:pt>
                <c:pt idx="199">
                  <c:v>18.55</c:v>
                </c:pt>
                <c:pt idx="200">
                  <c:v>18.54</c:v>
                </c:pt>
                <c:pt idx="201">
                  <c:v>18.440000000000001</c:v>
                </c:pt>
                <c:pt idx="202">
                  <c:v>18.5</c:v>
                </c:pt>
                <c:pt idx="203">
                  <c:v>18.78</c:v>
                </c:pt>
                <c:pt idx="204">
                  <c:v>18.989999999999998</c:v>
                </c:pt>
                <c:pt idx="205">
                  <c:v>19.11</c:v>
                </c:pt>
                <c:pt idx="206">
                  <c:v>19.690000000000001</c:v>
                </c:pt>
                <c:pt idx="207">
                  <c:v>19.66</c:v>
                </c:pt>
                <c:pt idx="208">
                  <c:v>19.91</c:v>
                </c:pt>
              </c:numCache>
            </c:numRef>
          </c:val>
          <c:smooth val="0"/>
          <c:extLst>
            <c:ext xmlns:c16="http://schemas.microsoft.com/office/drawing/2014/chart" uri="{C3380CC4-5D6E-409C-BE32-E72D297353CC}">
              <c16:uniqueId val="{00000000-8F26-4B54-AFA9-5DF88334C5B7}"/>
            </c:ext>
          </c:extLst>
        </c:ser>
        <c:ser>
          <c:idx val="1"/>
          <c:order val="1"/>
          <c:tx>
            <c:strRef>
              <c:f>'Hoja 5'!$C$1</c:f>
              <c:strCache>
                <c:ptCount val="1"/>
                <c:pt idx="0">
                  <c:v>Media España</c:v>
                </c:pt>
              </c:strCache>
            </c:strRef>
          </c:tx>
          <c:spPr>
            <a:ln w="28575" cap="rnd">
              <a:solidFill>
                <a:schemeClr val="accent2"/>
              </a:solidFill>
              <a:round/>
            </a:ln>
            <a:effectLst/>
          </c:spPr>
          <c:marker>
            <c:symbol val="none"/>
          </c:marker>
          <c:dLbls>
            <c:dLbl>
              <c:idx val="207"/>
              <c:layout>
                <c:manualLayout>
                  <c:x val="-1.5831711180957504E-16"/>
                  <c:y val="-5.10576221735959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F26-4B54-AFA9-5DF88334C5B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 5'!$A$2:$A$210</c:f>
              <c:numCache>
                <c:formatCode>General</c:formatCode>
                <c:ptCount val="209"/>
                <c:pt idx="1">
                  <c:v>2007</c:v>
                </c:pt>
                <c:pt idx="13">
                  <c:v>2008</c:v>
                </c:pt>
                <c:pt idx="25">
                  <c:v>2009</c:v>
                </c:pt>
                <c:pt idx="37">
                  <c:v>2010</c:v>
                </c:pt>
                <c:pt idx="49">
                  <c:v>2011</c:v>
                </c:pt>
                <c:pt idx="61">
                  <c:v>2012</c:v>
                </c:pt>
                <c:pt idx="73">
                  <c:v>2013</c:v>
                </c:pt>
                <c:pt idx="85">
                  <c:v>2014</c:v>
                </c:pt>
                <c:pt idx="97">
                  <c:v>2015</c:v>
                </c:pt>
                <c:pt idx="109">
                  <c:v>2016</c:v>
                </c:pt>
                <c:pt idx="121">
                  <c:v>2017</c:v>
                </c:pt>
                <c:pt idx="133">
                  <c:v>2018</c:v>
                </c:pt>
                <c:pt idx="145">
                  <c:v>2019</c:v>
                </c:pt>
                <c:pt idx="157">
                  <c:v>2020</c:v>
                </c:pt>
                <c:pt idx="169">
                  <c:v>2021</c:v>
                </c:pt>
                <c:pt idx="181">
                  <c:v>2022</c:v>
                </c:pt>
                <c:pt idx="193">
                  <c:v>2023</c:v>
                </c:pt>
                <c:pt idx="205">
                  <c:v>2024</c:v>
                </c:pt>
              </c:numCache>
            </c:numRef>
          </c:cat>
          <c:val>
            <c:numRef>
              <c:f>'Hoja 5'!$C$2:$C$210</c:f>
              <c:numCache>
                <c:formatCode>_-* #,##0.00\ [$€-C0A]_-;\-* #,##0.00\ [$€-C0A]_-;_-* "-"??\ [$€-C0A]_-;_-@</c:formatCode>
                <c:ptCount val="209"/>
                <c:pt idx="0">
                  <c:v>9.3450391753271909</c:v>
                </c:pt>
                <c:pt idx="1">
                  <c:v>9.2905719289236917</c:v>
                </c:pt>
                <c:pt idx="2">
                  <c:v>9.2252236151122258</c:v>
                </c:pt>
                <c:pt idx="3">
                  <c:v>9.8037293195822954</c:v>
                </c:pt>
                <c:pt idx="4">
                  <c:v>9.8791463760857336</c:v>
                </c:pt>
                <c:pt idx="5">
                  <c:v>10.120126328255997</c:v>
                </c:pt>
                <c:pt idx="6">
                  <c:v>10.075429743410567</c:v>
                </c:pt>
                <c:pt idx="7">
                  <c:v>9.9080264705436392</c:v>
                </c:pt>
                <c:pt idx="8">
                  <c:v>9.8108984135825654</c:v>
                </c:pt>
                <c:pt idx="9">
                  <c:v>9.6250118471127148</c:v>
                </c:pt>
                <c:pt idx="10">
                  <c:v>9.5077232619038945</c:v>
                </c:pt>
                <c:pt idx="11">
                  <c:v>9.4852548428161025</c:v>
                </c:pt>
                <c:pt idx="12">
                  <c:v>9.653971753125397</c:v>
                </c:pt>
                <c:pt idx="13">
                  <c:v>9.598926723274456</c:v>
                </c:pt>
                <c:pt idx="14">
                  <c:v>9.6392560309089834</c:v>
                </c:pt>
                <c:pt idx="15">
                  <c:v>9.6138368938120315</c:v>
                </c:pt>
                <c:pt idx="16">
                  <c:v>9.6124225489162907</c:v>
                </c:pt>
                <c:pt idx="17">
                  <c:v>9.5319044851744117</c:v>
                </c:pt>
                <c:pt idx="18">
                  <c:v>9.5312946144449846</c:v>
                </c:pt>
                <c:pt idx="19">
                  <c:v>9.3947858276225737</c:v>
                </c:pt>
                <c:pt idx="20">
                  <c:v>9.2670940778659698</c:v>
                </c:pt>
                <c:pt idx="21">
                  <c:v>9.1533483678360081</c:v>
                </c:pt>
                <c:pt idx="22">
                  <c:v>9.1264903544325389</c:v>
                </c:pt>
                <c:pt idx="23">
                  <c:v>9.0325236927119423</c:v>
                </c:pt>
                <c:pt idx="24">
                  <c:v>8.9771380552891387</c:v>
                </c:pt>
                <c:pt idx="25">
                  <c:v>8.9494257864014344</c:v>
                </c:pt>
                <c:pt idx="26">
                  <c:v>8.9521522147504715</c:v>
                </c:pt>
                <c:pt idx="27">
                  <c:v>8.9744746650551619</c:v>
                </c:pt>
                <c:pt idx="28">
                  <c:v>8.8974495099799995</c:v>
                </c:pt>
                <c:pt idx="29">
                  <c:v>8.9040809238583556</c:v>
                </c:pt>
                <c:pt idx="30">
                  <c:v>8.9494974108114835</c:v>
                </c:pt>
                <c:pt idx="31">
                  <c:v>8.9327053417239259</c:v>
                </c:pt>
                <c:pt idx="32">
                  <c:v>8.9105598102470491</c:v>
                </c:pt>
                <c:pt idx="33">
                  <c:v>8.8376808168762739</c:v>
                </c:pt>
                <c:pt idx="34">
                  <c:v>8.5060322789677247</c:v>
                </c:pt>
                <c:pt idx="35">
                  <c:v>8.520139834164679</c:v>
                </c:pt>
                <c:pt idx="36">
                  <c:v>8.5457651487676625</c:v>
                </c:pt>
                <c:pt idx="37">
                  <c:v>8.520908855237618</c:v>
                </c:pt>
                <c:pt idx="38">
                  <c:v>8.5097728559195236</c:v>
                </c:pt>
                <c:pt idx="39">
                  <c:v>8.4221599152065334</c:v>
                </c:pt>
                <c:pt idx="40">
                  <c:v>8.3615849999999998</c:v>
                </c:pt>
                <c:pt idx="41">
                  <c:v>8.3615849999999998</c:v>
                </c:pt>
                <c:pt idx="42">
                  <c:v>8.3098209999999995</c:v>
                </c:pt>
                <c:pt idx="43">
                  <c:v>8.3035730000000001</c:v>
                </c:pt>
                <c:pt idx="44">
                  <c:v>8.2182840000000006</c:v>
                </c:pt>
                <c:pt idx="45">
                  <c:v>8.166188</c:v>
                </c:pt>
                <c:pt idx="46">
                  <c:v>8.1644299999999994</c:v>
                </c:pt>
                <c:pt idx="47">
                  <c:v>8.0997850000000007</c:v>
                </c:pt>
                <c:pt idx="48">
                  <c:v>8.0535800000000002</c:v>
                </c:pt>
                <c:pt idx="49">
                  <c:v>8.0092610000000004</c:v>
                </c:pt>
                <c:pt idx="50">
                  <c:v>7.982926</c:v>
                </c:pt>
                <c:pt idx="51">
                  <c:v>7.8036960000000004</c:v>
                </c:pt>
                <c:pt idx="52">
                  <c:v>7.9002330000000001</c:v>
                </c:pt>
                <c:pt idx="53">
                  <c:v>7.8557059999999996</c:v>
                </c:pt>
                <c:pt idx="54">
                  <c:v>7.90503</c:v>
                </c:pt>
                <c:pt idx="55">
                  <c:v>7.7996129999999999</c:v>
                </c:pt>
                <c:pt idx="56">
                  <c:v>7.6359110000000001</c:v>
                </c:pt>
                <c:pt idx="57">
                  <c:v>7.6702399999999997</c:v>
                </c:pt>
                <c:pt idx="58">
                  <c:v>7.607596</c:v>
                </c:pt>
                <c:pt idx="59">
                  <c:v>7.5792869999999999</c:v>
                </c:pt>
                <c:pt idx="60">
                  <c:v>7.5674250000000001</c:v>
                </c:pt>
                <c:pt idx="61">
                  <c:v>7.5854990000000004</c:v>
                </c:pt>
                <c:pt idx="62">
                  <c:v>7.5648520000000001</c:v>
                </c:pt>
                <c:pt idx="63">
                  <c:v>7.5506549999999999</c:v>
                </c:pt>
                <c:pt idx="64">
                  <c:v>7.5270640000000002</c:v>
                </c:pt>
                <c:pt idx="65">
                  <c:v>7.4989020000000002</c:v>
                </c:pt>
                <c:pt idx="66">
                  <c:v>7.4919169999999999</c:v>
                </c:pt>
                <c:pt idx="67">
                  <c:v>7.555167</c:v>
                </c:pt>
                <c:pt idx="68">
                  <c:v>7.4719629999999997</c:v>
                </c:pt>
                <c:pt idx="69">
                  <c:v>7.40937</c:v>
                </c:pt>
                <c:pt idx="70">
                  <c:v>7.3842080000000001</c:v>
                </c:pt>
                <c:pt idx="71">
                  <c:v>7.3214519999999998</c:v>
                </c:pt>
                <c:pt idx="72">
                  <c:v>7.2834149999999998</c:v>
                </c:pt>
                <c:pt idx="73">
                  <c:v>7.2450429999999999</c:v>
                </c:pt>
                <c:pt idx="74">
                  <c:v>7.2434510000000003</c:v>
                </c:pt>
                <c:pt idx="75">
                  <c:v>7.1959669999999996</c:v>
                </c:pt>
                <c:pt idx="76">
                  <c:v>7.1669210000000003</c:v>
                </c:pt>
                <c:pt idx="77">
                  <c:v>7.1274759999999997</c:v>
                </c:pt>
                <c:pt idx="78">
                  <c:v>7.1229170000000002</c:v>
                </c:pt>
                <c:pt idx="79">
                  <c:v>7.0996389999999998</c:v>
                </c:pt>
                <c:pt idx="80">
                  <c:v>7.0529700000000002</c:v>
                </c:pt>
                <c:pt idx="81">
                  <c:v>6.9918579999999997</c:v>
                </c:pt>
                <c:pt idx="82">
                  <c:v>6.9635543296175397</c:v>
                </c:pt>
                <c:pt idx="83">
                  <c:v>6.9298263193944596</c:v>
                </c:pt>
                <c:pt idx="84">
                  <c:v>6.9013976780972603</c:v>
                </c:pt>
                <c:pt idx="85">
                  <c:v>6.8660587861983702</c:v>
                </c:pt>
                <c:pt idx="86">
                  <c:v>6.9001420397370303</c:v>
                </c:pt>
                <c:pt idx="87">
                  <c:v>6.8816029732755402</c:v>
                </c:pt>
                <c:pt idx="88">
                  <c:v>6.9092829337668302</c:v>
                </c:pt>
                <c:pt idx="89">
                  <c:v>6.8986774743163402</c:v>
                </c:pt>
                <c:pt idx="90">
                  <c:v>6.9851088832338304</c:v>
                </c:pt>
                <c:pt idx="91">
                  <c:v>6.7727000000000004</c:v>
                </c:pt>
                <c:pt idx="92">
                  <c:v>6.767665</c:v>
                </c:pt>
                <c:pt idx="93">
                  <c:v>6.7494209999999999</c:v>
                </c:pt>
                <c:pt idx="94">
                  <c:v>6.7667000000000002</c:v>
                </c:pt>
                <c:pt idx="95">
                  <c:v>6.7602000000000002</c:v>
                </c:pt>
                <c:pt idx="96">
                  <c:v>6.7687999999999997</c:v>
                </c:pt>
                <c:pt idx="97">
                  <c:v>6.7661999999999995</c:v>
                </c:pt>
                <c:pt idx="98">
                  <c:v>6.97</c:v>
                </c:pt>
                <c:pt idx="99">
                  <c:v>7.01</c:v>
                </c:pt>
                <c:pt idx="100">
                  <c:v>7.01</c:v>
                </c:pt>
                <c:pt idx="101">
                  <c:v>7.05</c:v>
                </c:pt>
                <c:pt idx="102">
                  <c:v>7.13</c:v>
                </c:pt>
                <c:pt idx="103">
                  <c:v>6.65</c:v>
                </c:pt>
                <c:pt idx="104">
                  <c:v>7.03</c:v>
                </c:pt>
                <c:pt idx="105">
                  <c:v>6.86</c:v>
                </c:pt>
                <c:pt idx="106">
                  <c:v>6.87</c:v>
                </c:pt>
                <c:pt idx="107">
                  <c:v>6.94</c:v>
                </c:pt>
                <c:pt idx="108">
                  <c:v>7.1</c:v>
                </c:pt>
                <c:pt idx="109">
                  <c:v>7.09</c:v>
                </c:pt>
                <c:pt idx="110">
                  <c:v>7.14</c:v>
                </c:pt>
                <c:pt idx="111">
                  <c:v>7.18</c:v>
                </c:pt>
                <c:pt idx="112">
                  <c:v>7.24</c:v>
                </c:pt>
                <c:pt idx="113">
                  <c:v>7.32</c:v>
                </c:pt>
                <c:pt idx="114">
                  <c:v>7.4</c:v>
                </c:pt>
                <c:pt idx="115">
                  <c:v>7.37</c:v>
                </c:pt>
                <c:pt idx="116">
                  <c:v>7.25</c:v>
                </c:pt>
                <c:pt idx="117">
                  <c:v>7.1</c:v>
                </c:pt>
                <c:pt idx="118">
                  <c:v>7.14</c:v>
                </c:pt>
                <c:pt idx="119">
                  <c:v>7.34</c:v>
                </c:pt>
                <c:pt idx="120">
                  <c:v>7.51</c:v>
                </c:pt>
                <c:pt idx="121">
                  <c:v>7.64</c:v>
                </c:pt>
                <c:pt idx="122">
                  <c:v>7.78</c:v>
                </c:pt>
                <c:pt idx="123">
                  <c:v>7.93</c:v>
                </c:pt>
                <c:pt idx="124">
                  <c:v>8.0500000000000007</c:v>
                </c:pt>
                <c:pt idx="125">
                  <c:v>8.19</c:v>
                </c:pt>
                <c:pt idx="126">
                  <c:v>8.27</c:v>
                </c:pt>
                <c:pt idx="127">
                  <c:v>8.1999999999999993</c:v>
                </c:pt>
                <c:pt idx="128">
                  <c:v>8.19</c:v>
                </c:pt>
                <c:pt idx="129">
                  <c:v>8.15</c:v>
                </c:pt>
                <c:pt idx="130">
                  <c:v>8.35</c:v>
                </c:pt>
                <c:pt idx="131">
                  <c:v>8.6999999999999993</c:v>
                </c:pt>
                <c:pt idx="132">
                  <c:v>8.91</c:v>
                </c:pt>
                <c:pt idx="133">
                  <c:v>9.01</c:v>
                </c:pt>
                <c:pt idx="134">
                  <c:v>9.2100000000000009</c:v>
                </c:pt>
                <c:pt idx="135">
                  <c:v>9.42</c:v>
                </c:pt>
                <c:pt idx="136">
                  <c:v>9.4499999999999993</c:v>
                </c:pt>
                <c:pt idx="137">
                  <c:v>9.4700000000000006</c:v>
                </c:pt>
                <c:pt idx="138">
                  <c:v>9.5500000000000007</c:v>
                </c:pt>
                <c:pt idx="139">
                  <c:v>9.43</c:v>
                </c:pt>
                <c:pt idx="140">
                  <c:v>9.43</c:v>
                </c:pt>
                <c:pt idx="141">
                  <c:v>9.3699999999999992</c:v>
                </c:pt>
                <c:pt idx="142">
                  <c:v>9.4700000000000006</c:v>
                </c:pt>
                <c:pt idx="143">
                  <c:v>9.5500000000000007</c:v>
                </c:pt>
                <c:pt idx="144">
                  <c:v>9.69</c:v>
                </c:pt>
                <c:pt idx="145">
                  <c:v>9.76</c:v>
                </c:pt>
                <c:pt idx="146">
                  <c:v>9.76</c:v>
                </c:pt>
                <c:pt idx="147">
                  <c:v>9.86</c:v>
                </c:pt>
                <c:pt idx="148">
                  <c:v>9.94</c:v>
                </c:pt>
                <c:pt idx="149">
                  <c:v>9.94</c:v>
                </c:pt>
                <c:pt idx="150">
                  <c:v>9.92</c:v>
                </c:pt>
                <c:pt idx="151">
                  <c:v>9.94</c:v>
                </c:pt>
                <c:pt idx="152">
                  <c:v>9.89</c:v>
                </c:pt>
                <c:pt idx="153">
                  <c:v>9.59</c:v>
                </c:pt>
                <c:pt idx="154">
                  <c:v>9.81</c:v>
                </c:pt>
                <c:pt idx="155">
                  <c:v>10.07</c:v>
                </c:pt>
                <c:pt idx="156">
                  <c:v>10.18</c:v>
                </c:pt>
                <c:pt idx="157">
                  <c:v>10.57</c:v>
                </c:pt>
                <c:pt idx="158">
                  <c:v>10.66</c:v>
                </c:pt>
                <c:pt idx="159">
                  <c:v>10.84</c:v>
                </c:pt>
                <c:pt idx="160">
                  <c:v>11.02</c:v>
                </c:pt>
                <c:pt idx="161">
                  <c:v>10.91</c:v>
                </c:pt>
                <c:pt idx="162">
                  <c:v>10.82</c:v>
                </c:pt>
                <c:pt idx="163">
                  <c:v>10.73</c:v>
                </c:pt>
                <c:pt idx="164">
                  <c:v>10.74</c:v>
                </c:pt>
                <c:pt idx="165">
                  <c:v>10.74</c:v>
                </c:pt>
                <c:pt idx="166">
                  <c:v>10.75</c:v>
                </c:pt>
                <c:pt idx="167">
                  <c:v>10.64</c:v>
                </c:pt>
                <c:pt idx="168">
                  <c:v>10.65</c:v>
                </c:pt>
                <c:pt idx="169">
                  <c:v>10.57</c:v>
                </c:pt>
                <c:pt idx="170">
                  <c:v>10.48</c:v>
                </c:pt>
                <c:pt idx="171">
                  <c:v>10.45</c:v>
                </c:pt>
                <c:pt idx="172">
                  <c:v>10.4</c:v>
                </c:pt>
                <c:pt idx="173">
                  <c:v>10.42</c:v>
                </c:pt>
                <c:pt idx="174">
                  <c:v>10.44</c:v>
                </c:pt>
                <c:pt idx="175">
                  <c:v>10.44</c:v>
                </c:pt>
                <c:pt idx="176">
                  <c:v>10.42</c:v>
                </c:pt>
                <c:pt idx="177">
                  <c:v>10.14</c:v>
                </c:pt>
                <c:pt idx="178">
                  <c:v>10.09</c:v>
                </c:pt>
                <c:pt idx="179">
                  <c:v>10.19</c:v>
                </c:pt>
                <c:pt idx="180">
                  <c:v>10.27</c:v>
                </c:pt>
                <c:pt idx="181">
                  <c:v>10.31</c:v>
                </c:pt>
                <c:pt idx="182">
                  <c:v>10.37</c:v>
                </c:pt>
                <c:pt idx="183">
                  <c:v>10.53</c:v>
                </c:pt>
                <c:pt idx="184">
                  <c:v>10.89</c:v>
                </c:pt>
                <c:pt idx="185">
                  <c:v>11.03</c:v>
                </c:pt>
                <c:pt idx="186">
                  <c:v>11.11</c:v>
                </c:pt>
                <c:pt idx="187">
                  <c:v>11.21</c:v>
                </c:pt>
                <c:pt idx="188">
                  <c:v>10.83</c:v>
                </c:pt>
                <c:pt idx="189">
                  <c:v>10.36</c:v>
                </c:pt>
                <c:pt idx="190">
                  <c:v>10.49</c:v>
                </c:pt>
                <c:pt idx="191">
                  <c:v>10.79</c:v>
                </c:pt>
                <c:pt idx="192">
                  <c:v>11.03</c:v>
                </c:pt>
                <c:pt idx="193">
                  <c:v>11.21</c:v>
                </c:pt>
                <c:pt idx="194">
                  <c:v>11.43</c:v>
                </c:pt>
                <c:pt idx="195">
                  <c:v>11.55</c:v>
                </c:pt>
                <c:pt idx="196">
                  <c:v>11.69</c:v>
                </c:pt>
                <c:pt idx="197">
                  <c:v>11.65</c:v>
                </c:pt>
                <c:pt idx="198">
                  <c:v>11.61</c:v>
                </c:pt>
                <c:pt idx="199">
                  <c:v>11.59</c:v>
                </c:pt>
                <c:pt idx="200">
                  <c:v>11.34</c:v>
                </c:pt>
                <c:pt idx="201">
                  <c:v>11.15</c:v>
                </c:pt>
                <c:pt idx="202">
                  <c:v>11.23</c:v>
                </c:pt>
                <c:pt idx="203">
                  <c:v>11.45</c:v>
                </c:pt>
                <c:pt idx="204">
                  <c:v>11.66</c:v>
                </c:pt>
                <c:pt idx="205">
                  <c:v>11.78</c:v>
                </c:pt>
                <c:pt idx="206">
                  <c:v>12.27</c:v>
                </c:pt>
                <c:pt idx="207">
                  <c:v>12.36</c:v>
                </c:pt>
                <c:pt idx="208">
                  <c:v>12.3</c:v>
                </c:pt>
              </c:numCache>
            </c:numRef>
          </c:val>
          <c:smooth val="0"/>
          <c:extLst>
            <c:ext xmlns:c16="http://schemas.microsoft.com/office/drawing/2014/chart" uri="{C3380CC4-5D6E-409C-BE32-E72D297353CC}">
              <c16:uniqueId val="{00000001-8F26-4B54-AFA9-5DF88334C5B7}"/>
            </c:ext>
          </c:extLst>
        </c:ser>
        <c:dLbls>
          <c:showLegendKey val="0"/>
          <c:showVal val="0"/>
          <c:showCatName val="0"/>
          <c:showSerName val="0"/>
          <c:showPercent val="0"/>
          <c:showBubbleSize val="0"/>
        </c:dLbls>
        <c:smooth val="0"/>
        <c:axId val="1619590063"/>
        <c:axId val="1619590543"/>
      </c:lineChart>
      <c:catAx>
        <c:axId val="16195900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0"/>
          <a:lstStyle/>
          <a:p>
            <a:pPr>
              <a:defRPr sz="1000" b="0" i="0" u="none" strike="noStrike" kern="1200" baseline="0">
                <a:solidFill>
                  <a:schemeClr val="tx1">
                    <a:lumMod val="65000"/>
                    <a:lumOff val="35000"/>
                  </a:schemeClr>
                </a:solidFill>
                <a:latin typeface="+mn-lt"/>
                <a:ea typeface="+mn-ea"/>
                <a:cs typeface="+mn-cs"/>
              </a:defRPr>
            </a:pPr>
            <a:endParaRPr lang="es-ES"/>
          </a:p>
        </c:txPr>
        <c:crossAx val="1619590543"/>
        <c:crosses val="autoZero"/>
        <c:auto val="1"/>
        <c:lblAlgn val="ctr"/>
        <c:lblOffset val="100"/>
        <c:tickLblSkip val="1"/>
        <c:noMultiLvlLbl val="0"/>
      </c:catAx>
      <c:valAx>
        <c:axId val="1619590543"/>
        <c:scaling>
          <c:orientation val="minMax"/>
        </c:scaling>
        <c:delete val="0"/>
        <c:axPos val="l"/>
        <c:majorGridlines>
          <c:spPr>
            <a:ln w="9525" cap="flat" cmpd="sng" algn="ctr">
              <a:solidFill>
                <a:schemeClr val="tx1">
                  <a:lumMod val="15000"/>
                  <a:lumOff val="85000"/>
                </a:schemeClr>
              </a:solidFill>
              <a:round/>
            </a:ln>
            <a:effectLst/>
          </c:spPr>
        </c:majorGridlines>
        <c:numFmt formatCode="_-* #,##0.00\ &quot;€&quot;_-;\-* #,##0.00\ &quot;€&quot;_-;_-* &quot;-&quot;??\ &quot;€&quot;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619590063"/>
        <c:crosses val="autoZero"/>
        <c:crossBetween val="between"/>
      </c:valAx>
      <c:spPr>
        <a:noFill/>
        <a:ln>
          <a:noFill/>
        </a:ln>
        <a:effectLst/>
      </c:spPr>
    </c:plotArea>
    <c:legend>
      <c:legendPos val="b"/>
      <c:layout>
        <c:manualLayout>
          <c:xMode val="edge"/>
          <c:yMode val="edge"/>
          <c:x val="0.35269724967739291"/>
          <c:y val="0.94066477764549983"/>
          <c:w val="0.34002207720803884"/>
          <c:h val="5.9335222354500117E-2"/>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iKkB9Rijl9dxhnA9TA82Qwa9YA==">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6</Pages>
  <Words>1246</Words>
  <Characters>6856</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Ranilla Checa</dc:creator>
  <cp:lastModifiedBy>Anaïs López García</cp:lastModifiedBy>
  <cp:revision>4</cp:revision>
  <dcterms:created xsi:type="dcterms:W3CDTF">2023-01-28T19:25:00Z</dcterms:created>
  <dcterms:modified xsi:type="dcterms:W3CDTF">2024-05-21T20:44:00Z</dcterms:modified>
</cp:coreProperties>
</file>