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8174D" w14:textId="77777777" w:rsidR="004E6336"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36094570" wp14:editId="1CB9A584">
            <wp:simplePos x="0" y="0"/>
            <wp:positionH relativeFrom="column">
              <wp:posOffset>4057015</wp:posOffset>
            </wp:positionH>
            <wp:positionV relativeFrom="paragraph">
              <wp:posOffset>-321940</wp:posOffset>
            </wp:positionV>
            <wp:extent cx="2465949" cy="668401"/>
            <wp:effectExtent l="0" t="0" r="0" b="0"/>
            <wp:wrapNone/>
            <wp:docPr id="17155144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90F8BE7" wp14:editId="0476D352">
            <wp:simplePos x="0" y="0"/>
            <wp:positionH relativeFrom="column">
              <wp:posOffset>-641980</wp:posOffset>
            </wp:positionH>
            <wp:positionV relativeFrom="paragraph">
              <wp:posOffset>-512438</wp:posOffset>
            </wp:positionV>
            <wp:extent cx="1761966" cy="403103"/>
            <wp:effectExtent l="0" t="0" r="0" b="0"/>
            <wp:wrapNone/>
            <wp:docPr id="17155144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61966" cy="40310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D959F51" wp14:editId="500DDEE9">
            <wp:simplePos x="0" y="0"/>
            <wp:positionH relativeFrom="column">
              <wp:posOffset>-597530</wp:posOffset>
            </wp:positionH>
            <wp:positionV relativeFrom="paragraph">
              <wp:posOffset>109854</wp:posOffset>
            </wp:positionV>
            <wp:extent cx="1651000" cy="387350"/>
            <wp:effectExtent l="0" t="0" r="0" b="0"/>
            <wp:wrapNone/>
            <wp:docPr id="17155144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51000" cy="387350"/>
                    </a:xfrm>
                    <a:prstGeom prst="rect">
                      <a:avLst/>
                    </a:prstGeom>
                    <a:ln/>
                  </pic:spPr>
                </pic:pic>
              </a:graphicData>
            </a:graphic>
          </wp:anchor>
        </w:drawing>
      </w:r>
    </w:p>
    <w:p w14:paraId="5DC2BCA3" w14:textId="77777777" w:rsidR="004E6336" w:rsidRDefault="004E6336">
      <w:pPr>
        <w:ind w:right="-574"/>
        <w:jc w:val="right"/>
        <w:rPr>
          <w:rFonts w:ascii="National" w:eastAsia="National" w:hAnsi="National" w:cs="National"/>
          <w:color w:val="303AB2"/>
          <w:sz w:val="36"/>
          <w:szCs w:val="36"/>
        </w:rPr>
      </w:pPr>
    </w:p>
    <w:p w14:paraId="12CBA6FD" w14:textId="77777777" w:rsidR="004E6336" w:rsidRDefault="004E6336">
      <w:pPr>
        <w:spacing w:line="276" w:lineRule="auto"/>
        <w:ind w:right="-574"/>
        <w:jc w:val="center"/>
        <w:rPr>
          <w:rFonts w:ascii="National" w:eastAsia="National" w:hAnsi="National" w:cs="National"/>
          <w:b/>
          <w:color w:val="1DBDC5"/>
          <w:sz w:val="30"/>
          <w:szCs w:val="30"/>
        </w:rPr>
      </w:pPr>
    </w:p>
    <w:p w14:paraId="29D1EF5C" w14:textId="77777777" w:rsidR="004E6336"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RELACIÓN ENTRE SALARIOS Y VIVIENDA EN ESPAÑA</w:t>
      </w:r>
    </w:p>
    <w:p w14:paraId="75D85FC8" w14:textId="77777777" w:rsidR="004E6336" w:rsidRDefault="00000000">
      <w:pPr>
        <w:pBdr>
          <w:top w:val="nil"/>
          <w:left w:val="nil"/>
          <w:bottom w:val="nil"/>
          <w:right w:val="nil"/>
          <w:between w:val="nil"/>
        </w:pBdr>
        <w:spacing w:line="276" w:lineRule="auto"/>
        <w:ind w:right="-574"/>
        <w:jc w:val="center"/>
        <w:rPr>
          <w:rFonts w:ascii="National" w:eastAsia="National" w:hAnsi="National" w:cs="National"/>
          <w:b/>
          <w:color w:val="303AB2"/>
          <w:sz w:val="54"/>
          <w:szCs w:val="54"/>
        </w:rPr>
      </w:pPr>
      <w:r>
        <w:rPr>
          <w:rFonts w:ascii="National" w:eastAsia="National" w:hAnsi="National" w:cs="National"/>
          <w:b/>
          <w:color w:val="303AB2"/>
          <w:sz w:val="54"/>
          <w:szCs w:val="54"/>
        </w:rPr>
        <w:t xml:space="preserve">Los españoles que comparten vivienda destinan el 21% de su salario al pago de una habitación </w:t>
      </w:r>
    </w:p>
    <w:p w14:paraId="08DF60D0" w14:textId="77777777" w:rsidR="004E6336" w:rsidRDefault="004E6336">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p w14:paraId="7C91C76D" w14:textId="77777777" w:rsidR="004E6336"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media, si en 2022 se destinaba el 20% del salario al pago de una habitación en 2023 ha subido al 21%</w:t>
      </w:r>
    </w:p>
    <w:p w14:paraId="7F9CA5D1" w14:textId="77777777" w:rsidR="004E6336"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 xml:space="preserve">En Cataluña se </w:t>
      </w:r>
      <w:r>
        <w:rPr>
          <w:rFonts w:ascii="Open Sans" w:eastAsia="Open Sans" w:hAnsi="Open Sans" w:cs="Open Sans"/>
          <w:sz w:val="22"/>
          <w:szCs w:val="22"/>
        </w:rPr>
        <w:t>dedica</w:t>
      </w:r>
      <w:r>
        <w:rPr>
          <w:rFonts w:ascii="Open Sans" w:eastAsia="Open Sans" w:hAnsi="Open Sans" w:cs="Open Sans"/>
          <w:color w:val="000000"/>
          <w:sz w:val="22"/>
          <w:szCs w:val="22"/>
        </w:rPr>
        <w:t xml:space="preserve"> el 27% del sueldo bruto al alquiler de una habitación, mientras que en Extremadura se destina un 1</w:t>
      </w:r>
      <w:r>
        <w:rPr>
          <w:rFonts w:ascii="Open Sans" w:eastAsia="Open Sans" w:hAnsi="Open Sans" w:cs="Open Sans"/>
          <w:sz w:val="22"/>
          <w:szCs w:val="22"/>
        </w:rPr>
        <w:t>0</w:t>
      </w:r>
      <w:r>
        <w:rPr>
          <w:rFonts w:ascii="Open Sans" w:eastAsia="Open Sans" w:hAnsi="Open Sans" w:cs="Open Sans"/>
          <w:color w:val="000000"/>
          <w:sz w:val="22"/>
          <w:szCs w:val="22"/>
        </w:rPr>
        <w:t>%</w:t>
      </w:r>
    </w:p>
    <w:p w14:paraId="379241A1" w14:textId="77777777" w:rsidR="004E6336"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seis comunidades se destina el 20% o m</w:t>
      </w:r>
      <w:r>
        <w:rPr>
          <w:rFonts w:ascii="Open Sans" w:eastAsia="Open Sans" w:hAnsi="Open Sans" w:cs="Open Sans"/>
          <w:sz w:val="22"/>
          <w:szCs w:val="22"/>
        </w:rPr>
        <w:t xml:space="preserve">ás </w:t>
      </w:r>
      <w:r>
        <w:rPr>
          <w:rFonts w:ascii="Open Sans" w:eastAsia="Open Sans" w:hAnsi="Open Sans" w:cs="Open Sans"/>
          <w:color w:val="000000"/>
          <w:sz w:val="22"/>
          <w:szCs w:val="22"/>
        </w:rPr>
        <w:t xml:space="preserve">del sueldo bruto por el alquiler de una sola habitación </w:t>
      </w:r>
    </w:p>
    <w:p w14:paraId="00EC9D53" w14:textId="77777777" w:rsidR="004E6336"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b/>
          <w:sz w:val="22"/>
          <w:szCs w:val="22"/>
          <w:highlight w:val="white"/>
        </w:rPr>
      </w:pPr>
      <w:hyperlink r:id="rId11">
        <w:r>
          <w:rPr>
            <w:rFonts w:ascii="Open Sans" w:eastAsia="Open Sans" w:hAnsi="Open Sans" w:cs="Open Sans"/>
            <w:b/>
            <w:color w:val="1155CC"/>
            <w:sz w:val="22"/>
            <w:szCs w:val="22"/>
            <w:highlight w:val="white"/>
            <w:u w:val="single"/>
          </w:rPr>
          <w:t>Aquí se puede ver un vídeo con la valoración de la directora de Estudios de Fotocasa</w:t>
        </w:r>
      </w:hyperlink>
    </w:p>
    <w:p w14:paraId="105C38D8" w14:textId="77777777" w:rsidR="004E6336" w:rsidRDefault="004E6336">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3CFD7915" w14:textId="77777777" w:rsidR="004E6336"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10 de junio de 2024</w:t>
      </w:r>
    </w:p>
    <w:p w14:paraId="631AEBF6" w14:textId="77777777" w:rsidR="004E633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español medio dedicó</w:t>
      </w:r>
      <w:r>
        <w:rPr>
          <w:rFonts w:ascii="Open Sans" w:eastAsia="Open Sans" w:hAnsi="Open Sans" w:cs="Open Sans"/>
          <w:sz w:val="22"/>
          <w:szCs w:val="22"/>
        </w:rPr>
        <w:t xml:space="preserve"> el 21% de su sueldo bruto al pago del alquiler de una habitación en 2023, frente al 20% </w:t>
      </w:r>
      <w:r>
        <w:rPr>
          <w:rFonts w:ascii="Open Sans" w:eastAsia="Open Sans" w:hAnsi="Open Sans" w:cs="Open Sans"/>
          <w:color w:val="000000"/>
          <w:sz w:val="22"/>
          <w:szCs w:val="22"/>
        </w:rPr>
        <w:t xml:space="preserve">que dedicaba en 2022, según el estudio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Relación de salarios y vivienda en alquiler en 2023</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datos de los sueldos medios de las ofertas de empleo de la plataforma </w:t>
      </w:r>
      <w:hyperlink r:id="rId12">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en los precios medios de las habitaciones en pisos compartidos del Índice Inmobiliario </w:t>
      </w:r>
      <w:hyperlink r:id="rId13">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1ADB2FE9" w14:textId="77777777" w:rsidR="004E633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2023, el precio de </w:t>
      </w:r>
      <w:r>
        <w:rPr>
          <w:rFonts w:ascii="Open Sans" w:eastAsia="Open Sans" w:hAnsi="Open Sans" w:cs="Open Sans"/>
          <w:sz w:val="22"/>
          <w:szCs w:val="22"/>
        </w:rPr>
        <w:t>una habitación en alquiler</w:t>
      </w:r>
      <w:r>
        <w:rPr>
          <w:rFonts w:ascii="Open Sans" w:eastAsia="Open Sans" w:hAnsi="Open Sans" w:cs="Open Sans"/>
          <w:color w:val="000000"/>
          <w:sz w:val="22"/>
          <w:szCs w:val="22"/>
        </w:rPr>
        <w:t xml:space="preserve"> en España cerró con un incremento anual del 5,9% y situó el precio en diciembre en 466 euros/mes. Esto supone que, teniendo en cuenta el salario bruto medio de España registrado por InfoJobs, que en 2023 era de 26.245 euros (2.187 euros brutos mensuales si lo dividimos en 12 pagas); los españoles t</w:t>
      </w:r>
      <w:r>
        <w:rPr>
          <w:rFonts w:ascii="Open Sans" w:eastAsia="Open Sans" w:hAnsi="Open Sans" w:cs="Open Sans"/>
          <w:sz w:val="22"/>
          <w:szCs w:val="22"/>
        </w:rPr>
        <w:t>ienen</w:t>
      </w:r>
      <w:r>
        <w:rPr>
          <w:rFonts w:ascii="Open Sans" w:eastAsia="Open Sans" w:hAnsi="Open Sans" w:cs="Open Sans"/>
          <w:color w:val="000000"/>
          <w:sz w:val="22"/>
          <w:szCs w:val="22"/>
        </w:rPr>
        <w:t xml:space="preserve"> que dedicar un 21% del sueldo al pago de una habitación de alquiler.  </w:t>
      </w:r>
    </w:p>
    <w:p w14:paraId="65C9B491" w14:textId="77777777" w:rsidR="004E6336" w:rsidRDefault="004E6336">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0620FDFD" w14:textId="77777777" w:rsidR="004E6336" w:rsidRDefault="00000000">
      <w:pPr>
        <w:pBdr>
          <w:top w:val="nil"/>
          <w:left w:val="nil"/>
          <w:bottom w:val="nil"/>
          <w:right w:val="nil"/>
          <w:between w:val="nil"/>
        </w:pBdr>
        <w:spacing w:line="276" w:lineRule="auto"/>
        <w:ind w:right="-574"/>
        <w:jc w:val="center"/>
        <w:rPr>
          <w:rFonts w:ascii="Open Sans" w:eastAsia="Open Sans" w:hAnsi="Open Sans" w:cs="Open Sans"/>
          <w:color w:val="000000"/>
          <w:sz w:val="22"/>
          <w:szCs w:val="22"/>
        </w:rPr>
      </w:pPr>
      <w:r>
        <w:rPr>
          <w:rFonts w:ascii="National" w:eastAsia="National" w:hAnsi="National" w:cs="National"/>
          <w:b/>
          <w:color w:val="303AB2"/>
          <w:sz w:val="26"/>
          <w:szCs w:val="26"/>
        </w:rPr>
        <w:lastRenderedPageBreak/>
        <w:t xml:space="preserve">Salario bruto (%) destinado al pago de una habitación en alquiler </w:t>
      </w:r>
      <w:r>
        <w:rPr>
          <w:noProof/>
        </w:rPr>
        <w:drawing>
          <wp:inline distT="0" distB="0" distL="0" distR="0" wp14:anchorId="3F2D6D7B" wp14:editId="6B74D546">
            <wp:extent cx="5638800" cy="2598420"/>
            <wp:effectExtent l="0" t="0" r="0" b="0"/>
            <wp:docPr id="1715514409" name="Gráfico 1715514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BC882F" w14:textId="77777777" w:rsidR="004E6336" w:rsidRDefault="004E6336">
      <w:pPr>
        <w:jc w:val="both"/>
        <w:rPr>
          <w:rFonts w:ascii="Times New Roman" w:eastAsia="Times New Roman" w:hAnsi="Times New Roman" w:cs="Times New Roman"/>
        </w:rPr>
      </w:pPr>
    </w:p>
    <w:p w14:paraId="6DC15288" w14:textId="77777777" w:rsidR="004E6336" w:rsidRDefault="00000000">
      <w:pPr>
        <w:shd w:val="clear" w:color="auto" w:fill="FFFFFF"/>
        <w:spacing w:before="280" w:after="280" w:line="276" w:lineRule="auto"/>
        <w:ind w:right="-574"/>
        <w:jc w:val="both"/>
        <w:rPr>
          <w:rFonts w:ascii="Open Sans" w:eastAsia="Open Sans" w:hAnsi="Open Sans" w:cs="Open Sans"/>
          <w:b/>
          <w:sz w:val="22"/>
          <w:szCs w:val="22"/>
        </w:rPr>
      </w:pPr>
      <w:r>
        <w:rPr>
          <w:rFonts w:ascii="Open Sans" w:eastAsia="Open Sans" w:hAnsi="Open Sans" w:cs="Open Sans"/>
          <w:sz w:val="22"/>
          <w:szCs w:val="22"/>
          <w:highlight w:val="white"/>
        </w:rPr>
        <w:t xml:space="preserve">“El esfuerzo salarial que los inquilinos realizan para hacer frente al pago de una vivienda compartida es cada vez mayor. De hecho, este porcentaje indica que compartir vivienda es la única fórmula por la que pueden acceder al alquiler cumpliendo con lo recomendado por los organismos oficiales, que ponen el límite en el 30%. Sin embargo, el incremento del porcentaje destinado es significativo en casi todas las comunidades, lo que parece indicar que pronto alquilar una habitación en una vivienda compartida dejará de ser una opción viable para los ciudadanos. Es relevante recordar que el salario dedicado a alquilar una vivienda entera es del 43% y que ha dejado de ser asequible desde hace al menos siete años”, </w:t>
      </w:r>
      <w:r>
        <w:rPr>
          <w:rFonts w:ascii="Open Sans" w:eastAsia="Open Sans" w:hAnsi="Open Sans" w:cs="Open Sans"/>
          <w:b/>
          <w:sz w:val="22"/>
          <w:szCs w:val="22"/>
          <w:highlight w:val="white"/>
        </w:rPr>
        <w:t xml:space="preserve">comenta María Matos, directora de Estudios y portavoz de </w:t>
      </w:r>
      <w:hyperlink r:id="rId15">
        <w:r>
          <w:rPr>
            <w:rFonts w:ascii="Open Sans" w:eastAsia="Open Sans" w:hAnsi="Open Sans" w:cs="Open Sans"/>
            <w:b/>
            <w:color w:val="1155CC"/>
            <w:sz w:val="22"/>
            <w:szCs w:val="22"/>
            <w:highlight w:val="white"/>
            <w:u w:val="single"/>
          </w:rPr>
          <w:t>Fotocasa</w:t>
        </w:r>
      </w:hyperlink>
      <w:r>
        <w:rPr>
          <w:rFonts w:ascii="Open Sans" w:eastAsia="Open Sans" w:hAnsi="Open Sans" w:cs="Open Sans"/>
          <w:b/>
          <w:sz w:val="22"/>
          <w:szCs w:val="22"/>
          <w:highlight w:val="white"/>
        </w:rPr>
        <w:t xml:space="preserve">. </w:t>
      </w:r>
    </w:p>
    <w:p w14:paraId="5FE0995F" w14:textId="77777777" w:rsidR="00727205" w:rsidRDefault="00727205">
      <w:pPr>
        <w:shd w:val="clear" w:color="auto" w:fill="FFFFFF"/>
        <w:spacing w:before="280" w:after="280" w:line="276" w:lineRule="auto"/>
        <w:ind w:right="-574"/>
        <w:jc w:val="both"/>
        <w:rPr>
          <w:rFonts w:ascii="Open Sans" w:eastAsia="Open Sans" w:hAnsi="Open Sans" w:cs="Open Sans"/>
          <w:sz w:val="22"/>
          <w:szCs w:val="22"/>
        </w:rPr>
      </w:pPr>
    </w:p>
    <w:p w14:paraId="2C8814FB" w14:textId="77777777" w:rsidR="004E6336"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highlight w:val="white"/>
        </w:rPr>
        <w:t xml:space="preserve">Mónica Pérez, directora de Comunicación y Estudios de </w:t>
      </w:r>
      <w:hyperlink r:id="rId16">
        <w:r>
          <w:rPr>
            <w:rFonts w:ascii="Open Sans" w:eastAsia="Open Sans" w:hAnsi="Open Sans" w:cs="Open Sans"/>
            <w:b/>
            <w:color w:val="0000FF"/>
            <w:sz w:val="22"/>
            <w:szCs w:val="22"/>
            <w:highlight w:val="white"/>
            <w:u w:val="single"/>
          </w:rPr>
          <w:t>InfoJobs</w:t>
        </w:r>
      </w:hyperlink>
      <w:r>
        <w:rPr>
          <w:rFonts w:ascii="Open Sans" w:eastAsia="Open Sans" w:hAnsi="Open Sans" w:cs="Open Sans"/>
          <w:b/>
          <w:sz w:val="22"/>
          <w:szCs w:val="22"/>
          <w:highlight w:val="white"/>
        </w:rPr>
        <w:t xml:space="preserve"> añade</w:t>
      </w:r>
      <w:r>
        <w:rPr>
          <w:rFonts w:ascii="Open Sans" w:eastAsia="Open Sans" w:hAnsi="Open Sans" w:cs="Open Sans"/>
          <w:sz w:val="22"/>
          <w:szCs w:val="22"/>
          <w:highlight w:val="white"/>
        </w:rPr>
        <w:t>: “A pesar de las subidas salariales de los últimos años, sobre todo en los tramos más bajos, la pérdida de poder adquisitivo de las personas trabajadoras es patente. El promedio de salario bruto mensual de 26.245 euros que se ha alcanzado en InfoJobs en 2023 supone un crecimiento de más de mil euros respecto a 2021, año marcado por los efectos de la pandemia. Sin embargo, este incremento retributivo no ha compensado el repunte de la inflación en los dos últimos ejercicios y las difíciles condiciones de acceso a la vivienda</w:t>
      </w:r>
      <w:proofErr w:type="gramStart"/>
      <w:r>
        <w:rPr>
          <w:rFonts w:ascii="Open Sans" w:eastAsia="Open Sans" w:hAnsi="Open Sans" w:cs="Open Sans"/>
          <w:sz w:val="22"/>
          <w:szCs w:val="22"/>
          <w:highlight w:val="white"/>
        </w:rPr>
        <w:t>” .</w:t>
      </w:r>
      <w:proofErr w:type="gramEnd"/>
      <w:r>
        <w:rPr>
          <w:rFonts w:ascii="Open Sans" w:eastAsia="Open Sans" w:hAnsi="Open Sans" w:cs="Open Sans"/>
          <w:sz w:val="22"/>
          <w:szCs w:val="22"/>
          <w:highlight w:val="white"/>
        </w:rPr>
        <w:t xml:space="preserve"> </w:t>
      </w:r>
    </w:p>
    <w:p w14:paraId="7B99B879"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5346EB3F"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62BBC24D"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5819EBD2"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7578CE0C"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36859EBE"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sz w:val="22"/>
          <w:szCs w:val="22"/>
        </w:rPr>
      </w:pPr>
    </w:p>
    <w:p w14:paraId="6F2E6783" w14:textId="77777777" w:rsidR="004E6336" w:rsidRDefault="00000000">
      <w:pPr>
        <w:pBdr>
          <w:top w:val="nil"/>
          <w:left w:val="nil"/>
          <w:bottom w:val="nil"/>
          <w:right w:val="nil"/>
          <w:between w:val="nil"/>
        </w:pBdr>
        <w:spacing w:line="276" w:lineRule="auto"/>
        <w:ind w:right="-574"/>
        <w:jc w:val="center"/>
        <w:rPr>
          <w:rFonts w:ascii="Open Sans" w:eastAsia="Open Sans" w:hAnsi="Open Sans" w:cs="Open Sans"/>
          <w:b/>
          <w:sz w:val="22"/>
          <w:szCs w:val="22"/>
        </w:rPr>
      </w:pPr>
      <w:hyperlink r:id="rId17">
        <w:r>
          <w:rPr>
            <w:rFonts w:ascii="Open Sans" w:eastAsia="Open Sans" w:hAnsi="Open Sans" w:cs="Open Sans"/>
            <w:b/>
            <w:color w:val="0000FF"/>
            <w:sz w:val="22"/>
            <w:szCs w:val="22"/>
            <w:u w:val="single"/>
          </w:rPr>
          <w:t>Declaraciones de María Matos, directora de Estudios de Fotocasa</w:t>
        </w:r>
      </w:hyperlink>
    </w:p>
    <w:p w14:paraId="6245EE12" w14:textId="77777777" w:rsidR="004E6336" w:rsidRDefault="004E6336">
      <w:pPr>
        <w:pBdr>
          <w:top w:val="nil"/>
          <w:left w:val="nil"/>
          <w:bottom w:val="nil"/>
          <w:right w:val="nil"/>
          <w:between w:val="nil"/>
        </w:pBdr>
        <w:spacing w:line="276" w:lineRule="auto"/>
        <w:ind w:right="-574"/>
        <w:jc w:val="center"/>
        <w:rPr>
          <w:rFonts w:ascii="Open Sans" w:eastAsia="Open Sans" w:hAnsi="Open Sans" w:cs="Open Sans"/>
          <w:b/>
          <w:sz w:val="22"/>
          <w:szCs w:val="22"/>
        </w:rPr>
      </w:pPr>
    </w:p>
    <w:p w14:paraId="2FCB0E85" w14:textId="77777777" w:rsidR="004E633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19F3FDD" wp14:editId="2561B822">
            <wp:extent cx="5515864" cy="2911763"/>
            <wp:effectExtent l="0" t="0" r="0" b="0"/>
            <wp:docPr id="1715514412" name="image5.jp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nterfaz de usuario gráfica, Aplicación&#10;&#10;Descripción generada automáticamente"/>
                    <pic:cNvPicPr preferRelativeResize="0"/>
                  </pic:nvPicPr>
                  <pic:blipFill>
                    <a:blip r:embed="rId18"/>
                    <a:srcRect/>
                    <a:stretch>
                      <a:fillRect/>
                    </a:stretch>
                  </pic:blipFill>
                  <pic:spPr>
                    <a:xfrm>
                      <a:off x="0" y="0"/>
                      <a:ext cx="5515864" cy="2911763"/>
                    </a:xfrm>
                    <a:prstGeom prst="rect">
                      <a:avLst/>
                    </a:prstGeom>
                    <a:ln/>
                  </pic:spPr>
                </pic:pic>
              </a:graphicData>
            </a:graphic>
          </wp:inline>
        </w:drawing>
      </w:r>
    </w:p>
    <w:p w14:paraId="1BF8BFF6" w14:textId="77777777" w:rsidR="004E6336" w:rsidRDefault="004E6336">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521B00A5" w14:textId="77777777" w:rsidR="00AA5243" w:rsidRDefault="00AA5243" w:rsidP="00AA5243">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Por comunidades autónomas</w:t>
      </w:r>
    </w:p>
    <w:p w14:paraId="70F49547" w14:textId="77777777" w:rsidR="00AA5243" w:rsidRDefault="00AA5243" w:rsidP="00AA5243">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último año, en siete de las once comunidades autónomas analizadas se ha incrementado el dinero destinado a pagar el alquiler de una habitación, mientras que, en cuatro de ellas, el porcentaje ha disminuido. En Cataluña, una de las comunidades que destina el mayor porcentaje de su sueldo al pago del alquiler </w:t>
      </w:r>
      <w:r>
        <w:rPr>
          <w:rFonts w:ascii="Open Sans" w:eastAsia="Open Sans" w:hAnsi="Open Sans" w:cs="Open Sans"/>
          <w:sz w:val="22"/>
          <w:szCs w:val="22"/>
        </w:rPr>
        <w:t>de una habitación</w:t>
      </w:r>
      <w:r>
        <w:rPr>
          <w:rFonts w:ascii="Open Sans" w:eastAsia="Open Sans" w:hAnsi="Open Sans" w:cs="Open Sans"/>
          <w:color w:val="000000"/>
          <w:sz w:val="22"/>
          <w:szCs w:val="22"/>
        </w:rPr>
        <w:t xml:space="preserve">, se ha pasado de destinar el 25% del sueldo bruto en 2022 al 27% en 2023, según el estudio de </w:t>
      </w:r>
      <w:hyperlink r:id="rId19">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w:t>
      </w:r>
      <w:hyperlink r:id="rId2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720FAEBD" w14:textId="77777777" w:rsidR="00AA5243" w:rsidRDefault="00AA5243" w:rsidP="00AA5243">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analizamos al detalle </w:t>
      </w:r>
      <w:r>
        <w:rPr>
          <w:rFonts w:ascii="Open Sans" w:eastAsia="Open Sans" w:hAnsi="Open Sans" w:cs="Open Sans"/>
          <w:b/>
          <w:color w:val="000000"/>
          <w:sz w:val="22"/>
          <w:szCs w:val="22"/>
        </w:rPr>
        <w:t>Cataluña, vemos que el precio de las habitaciones en alquiler cerró 2023 con un incremento anual de 5,9% y situó el precio de diciembre en 466 euros/mes.</w:t>
      </w:r>
      <w:r>
        <w:rPr>
          <w:rFonts w:ascii="Open Sans" w:eastAsia="Open Sans" w:hAnsi="Open Sans" w:cs="Open Sans"/>
          <w:color w:val="000000"/>
          <w:sz w:val="22"/>
          <w:szCs w:val="22"/>
        </w:rPr>
        <w:t xml:space="preserve"> Esto supone que, teniendo en cuenta el salario bruto medio en Cataluña registrado por InfoJobs, que en 2023 era de 26.263 euros (2.189 euros brutos mensuales si lo dividimos en 12 pagas); </w:t>
      </w:r>
      <w:r>
        <w:rPr>
          <w:rFonts w:ascii="Open Sans" w:eastAsia="Open Sans" w:hAnsi="Open Sans" w:cs="Open Sans"/>
          <w:b/>
          <w:color w:val="000000"/>
          <w:sz w:val="22"/>
          <w:szCs w:val="22"/>
        </w:rPr>
        <w:t>los catalanes t</w:t>
      </w:r>
      <w:r>
        <w:rPr>
          <w:rFonts w:ascii="Open Sans" w:eastAsia="Open Sans" w:hAnsi="Open Sans" w:cs="Open Sans"/>
          <w:b/>
          <w:sz w:val="22"/>
          <w:szCs w:val="22"/>
        </w:rPr>
        <w:t>iene</w:t>
      </w:r>
      <w:r>
        <w:rPr>
          <w:rFonts w:ascii="Open Sans" w:eastAsia="Open Sans" w:hAnsi="Open Sans" w:cs="Open Sans"/>
          <w:b/>
          <w:color w:val="000000"/>
          <w:sz w:val="22"/>
          <w:szCs w:val="22"/>
        </w:rPr>
        <w:t>n que destinar el 27% de su sueldo bruto</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al pago de una habitación.</w:t>
      </w:r>
      <w:r>
        <w:rPr>
          <w:rFonts w:ascii="Open Sans" w:eastAsia="Open Sans" w:hAnsi="Open Sans" w:cs="Open Sans"/>
          <w:color w:val="000000"/>
          <w:sz w:val="22"/>
          <w:szCs w:val="22"/>
        </w:rPr>
        <w:t xml:space="preserve">  </w:t>
      </w:r>
    </w:p>
    <w:p w14:paraId="5EAF82DE" w14:textId="77777777" w:rsidR="00AA5243" w:rsidRDefault="00AA5243" w:rsidP="00AA5243">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Open Sans" w:eastAsia="Open Sans" w:hAnsi="Open Sans" w:cs="Open Sans"/>
          <w:color w:val="000000"/>
          <w:sz w:val="22"/>
          <w:szCs w:val="22"/>
        </w:rPr>
        <w:t xml:space="preserve">Viendo los datos en conjunto, el orden de las comunidades autónomas que dedican más dinero de sus sueldos a pagar el alquiler de una habitación es: Cataluña (27%), Madrid (24%), Baleares (23%), Navarra (22%), País Vasco (21%), Canarias (20%),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(18%), Aragón (17%), Cantabria (16%), Galicia (15%), Andalucía (14%), Región de Murcia (14%), Castilla y León (13%), Asturias (13%), Castilla-La Mancha (12%) y Extremadura (10%).</w:t>
      </w:r>
    </w:p>
    <w:p w14:paraId="773DD057" w14:textId="77777777" w:rsidR="004E6336"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CC. AA. con el precio de una habitación en alquiler y salario bruto mensual</w:t>
      </w:r>
    </w:p>
    <w:p w14:paraId="196E90AB" w14:textId="77777777" w:rsidR="004E6336" w:rsidRDefault="004E6336">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4"/>
        <w:tblW w:w="9437" w:type="dxa"/>
        <w:tblInd w:w="-294" w:type="dxa"/>
        <w:tblLayout w:type="fixed"/>
        <w:tblLook w:val="0400" w:firstRow="0" w:lastRow="0" w:firstColumn="0" w:lastColumn="0" w:noHBand="0" w:noVBand="1"/>
      </w:tblPr>
      <w:tblGrid>
        <w:gridCol w:w="1844"/>
        <w:gridCol w:w="1134"/>
        <w:gridCol w:w="1134"/>
        <w:gridCol w:w="1559"/>
        <w:gridCol w:w="1134"/>
        <w:gridCol w:w="1264"/>
        <w:gridCol w:w="1368"/>
      </w:tblGrid>
      <w:tr w:rsidR="004E6336" w14:paraId="0A030BD5" w14:textId="77777777">
        <w:trPr>
          <w:trHeight w:val="1137"/>
        </w:trPr>
        <w:tc>
          <w:tcPr>
            <w:tcW w:w="1844"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41B0BBB9" w14:textId="77777777" w:rsidR="004E633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CC. AA.</w:t>
            </w:r>
          </w:p>
          <w:p w14:paraId="341E8C9D" w14:textId="77777777" w:rsidR="004E6336" w:rsidRDefault="004E6336">
            <w:pPr>
              <w:rPr>
                <w:rFonts w:ascii="Open Sans" w:eastAsia="Open Sans" w:hAnsi="Open Sans" w:cs="Open Sans"/>
                <w:color w:val="000000"/>
                <w:sz w:val="20"/>
                <w:szCs w:val="20"/>
              </w:rPr>
            </w:pP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130525C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de una habitación (dic. 2023)</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4787D6E1"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Precio anual de una habitación </w:t>
            </w:r>
            <w:r>
              <w:rPr>
                <w:rFonts w:ascii="Open Sans" w:eastAsia="Open Sans" w:hAnsi="Open Sans" w:cs="Open Sans"/>
                <w:sz w:val="20"/>
                <w:szCs w:val="20"/>
              </w:rPr>
              <w:t>(</w:t>
            </w:r>
            <w:r>
              <w:rPr>
                <w:rFonts w:ascii="Open Sans" w:eastAsia="Open Sans" w:hAnsi="Open Sans" w:cs="Open Sans"/>
                <w:color w:val="000000"/>
                <w:sz w:val="20"/>
                <w:szCs w:val="20"/>
              </w:rPr>
              <w:t>2023)</w:t>
            </w:r>
          </w:p>
        </w:tc>
        <w:tc>
          <w:tcPr>
            <w:tcW w:w="1559" w:type="dxa"/>
            <w:tcBorders>
              <w:top w:val="single" w:sz="8" w:space="0" w:color="2E74B5"/>
              <w:left w:val="nil"/>
              <w:bottom w:val="single" w:sz="8" w:space="0" w:color="2E74B5"/>
              <w:right w:val="single" w:sz="8" w:space="0" w:color="2E74B5"/>
            </w:tcBorders>
            <w:shd w:val="clear" w:color="auto" w:fill="9CC2E5"/>
            <w:vAlign w:val="center"/>
          </w:tcPr>
          <w:p w14:paraId="414B526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mensual          e</w:t>
            </w:r>
            <w:r>
              <w:rPr>
                <w:rFonts w:ascii="Open Sans" w:eastAsia="Open Sans" w:hAnsi="Open Sans" w:cs="Open Sans"/>
                <w:sz w:val="20"/>
                <w:szCs w:val="20"/>
              </w:rPr>
              <w:t xml:space="preserve">n </w:t>
            </w:r>
            <w:r>
              <w:rPr>
                <w:rFonts w:ascii="Open Sans" w:eastAsia="Open Sans" w:hAnsi="Open Sans" w:cs="Open Sans"/>
                <w:color w:val="000000"/>
                <w:sz w:val="20"/>
                <w:szCs w:val="20"/>
              </w:rPr>
              <w:t>2023</w:t>
            </w:r>
          </w:p>
          <w:p w14:paraId="01A5ED8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 (12 pagas)</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559603EC"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anual en 2023</w:t>
            </w:r>
          </w:p>
        </w:tc>
        <w:tc>
          <w:tcPr>
            <w:tcW w:w="1264" w:type="dxa"/>
            <w:tcBorders>
              <w:top w:val="single" w:sz="8" w:space="0" w:color="2E74B5"/>
              <w:left w:val="nil"/>
              <w:bottom w:val="single" w:sz="8" w:space="0" w:color="2E74B5"/>
              <w:right w:val="single" w:sz="8" w:space="0" w:color="2E74B5"/>
            </w:tcBorders>
            <w:shd w:val="clear" w:color="auto" w:fill="9CC2E5"/>
            <w:vAlign w:val="center"/>
          </w:tcPr>
          <w:p w14:paraId="77215132"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 Sueldo bruto (%) destinado a una habitación en 2022</w:t>
            </w:r>
          </w:p>
        </w:tc>
        <w:tc>
          <w:tcPr>
            <w:tcW w:w="1368" w:type="dxa"/>
            <w:tcBorders>
              <w:top w:val="single" w:sz="8" w:space="0" w:color="2E74B5"/>
              <w:left w:val="nil"/>
              <w:bottom w:val="single" w:sz="8" w:space="0" w:color="2E74B5"/>
              <w:right w:val="single" w:sz="8" w:space="0" w:color="2E74B5"/>
            </w:tcBorders>
            <w:shd w:val="clear" w:color="auto" w:fill="9CC2E5"/>
            <w:vAlign w:val="center"/>
          </w:tcPr>
          <w:p w14:paraId="5434D603"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Sueldo bruto (%) destinado a una habitación en 2023</w:t>
            </w:r>
          </w:p>
        </w:tc>
      </w:tr>
      <w:tr w:rsidR="004E6336" w14:paraId="6AD30D7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31E99C95"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134" w:type="dxa"/>
            <w:tcBorders>
              <w:top w:val="nil"/>
              <w:left w:val="nil"/>
              <w:bottom w:val="single" w:sz="8" w:space="0" w:color="2E74B5"/>
              <w:right w:val="single" w:sz="8" w:space="0" w:color="2E74B5"/>
            </w:tcBorders>
            <w:shd w:val="clear" w:color="auto" w:fill="auto"/>
            <w:vAlign w:val="bottom"/>
          </w:tcPr>
          <w:p w14:paraId="6A28CE6D" w14:textId="77777777" w:rsidR="004E6336" w:rsidRDefault="00000000">
            <w:pPr>
              <w:jc w:val="center"/>
              <w:rPr>
                <w:rFonts w:ascii="Open Sans" w:eastAsia="Open Sans" w:hAnsi="Open Sans" w:cs="Open Sans"/>
                <w:b/>
                <w:sz w:val="20"/>
                <w:szCs w:val="20"/>
              </w:rPr>
            </w:pPr>
            <w:r>
              <w:rPr>
                <w:rFonts w:ascii="Open Sans" w:eastAsia="Open Sans" w:hAnsi="Open Sans" w:cs="Open Sans"/>
                <w:b/>
                <w:sz w:val="20"/>
                <w:szCs w:val="20"/>
              </w:rPr>
              <w:t>323 €</w:t>
            </w:r>
          </w:p>
        </w:tc>
        <w:tc>
          <w:tcPr>
            <w:tcW w:w="1134" w:type="dxa"/>
            <w:tcBorders>
              <w:top w:val="nil"/>
              <w:left w:val="nil"/>
              <w:bottom w:val="single" w:sz="8" w:space="0" w:color="2E74B5"/>
              <w:right w:val="single" w:sz="8" w:space="0" w:color="2E74B5"/>
            </w:tcBorders>
            <w:shd w:val="clear" w:color="auto" w:fill="auto"/>
            <w:vAlign w:val="bottom"/>
          </w:tcPr>
          <w:p w14:paraId="3A8424AF" w14:textId="77777777" w:rsidR="004E6336" w:rsidRDefault="00000000">
            <w:pPr>
              <w:jc w:val="center"/>
              <w:rPr>
                <w:rFonts w:ascii="Open Sans" w:eastAsia="Open Sans" w:hAnsi="Open Sans" w:cs="Open Sans"/>
                <w:sz w:val="20"/>
                <w:szCs w:val="20"/>
              </w:rPr>
            </w:pPr>
            <w:r>
              <w:rPr>
                <w:rFonts w:ascii="Open Sans" w:eastAsia="Open Sans" w:hAnsi="Open Sans" w:cs="Open Sans"/>
                <w:sz w:val="20"/>
                <w:szCs w:val="20"/>
              </w:rPr>
              <w:t>3.875 €</w:t>
            </w:r>
          </w:p>
        </w:tc>
        <w:tc>
          <w:tcPr>
            <w:tcW w:w="1559" w:type="dxa"/>
            <w:tcBorders>
              <w:top w:val="nil"/>
              <w:left w:val="nil"/>
              <w:bottom w:val="single" w:sz="8" w:space="0" w:color="2E74B5"/>
              <w:right w:val="single" w:sz="8" w:space="0" w:color="2E74B5"/>
            </w:tcBorders>
            <w:shd w:val="clear" w:color="auto" w:fill="auto"/>
            <w:vAlign w:val="center"/>
          </w:tcPr>
          <w:p w14:paraId="7A80156D"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2.268 €</w:t>
            </w:r>
          </w:p>
        </w:tc>
        <w:tc>
          <w:tcPr>
            <w:tcW w:w="1134" w:type="dxa"/>
            <w:tcBorders>
              <w:top w:val="nil"/>
              <w:left w:val="nil"/>
              <w:bottom w:val="single" w:sz="8" w:space="0" w:color="2E74B5"/>
              <w:right w:val="single" w:sz="8" w:space="0" w:color="2E74B5"/>
            </w:tcBorders>
            <w:shd w:val="clear" w:color="auto" w:fill="auto"/>
            <w:vAlign w:val="center"/>
          </w:tcPr>
          <w:p w14:paraId="1EC2FE38"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27.221 €</w:t>
            </w:r>
          </w:p>
        </w:tc>
        <w:tc>
          <w:tcPr>
            <w:tcW w:w="1264" w:type="dxa"/>
            <w:tcBorders>
              <w:top w:val="nil"/>
              <w:left w:val="nil"/>
              <w:bottom w:val="single" w:sz="8" w:space="0" w:color="2E74B5"/>
              <w:right w:val="single" w:sz="8" w:space="0" w:color="2E74B5"/>
            </w:tcBorders>
            <w:shd w:val="clear" w:color="auto" w:fill="auto"/>
            <w:vAlign w:val="bottom"/>
          </w:tcPr>
          <w:p w14:paraId="399F7B7E" w14:textId="77777777" w:rsidR="004E6336" w:rsidRDefault="00000000">
            <w:pPr>
              <w:jc w:val="center"/>
              <w:rPr>
                <w:rFonts w:ascii="Open Sans" w:eastAsia="Open Sans" w:hAnsi="Open Sans" w:cs="Open Sans"/>
                <w:sz w:val="20"/>
                <w:szCs w:val="20"/>
              </w:rPr>
            </w:pPr>
            <w:r>
              <w:rPr>
                <w:rFonts w:ascii="Open Sans" w:eastAsia="Open Sans" w:hAnsi="Open Sans" w:cs="Open Sans"/>
                <w:sz w:val="20"/>
                <w:szCs w:val="20"/>
              </w:rPr>
              <w:t>15%</w:t>
            </w:r>
          </w:p>
        </w:tc>
        <w:tc>
          <w:tcPr>
            <w:tcW w:w="1368" w:type="dxa"/>
            <w:tcBorders>
              <w:top w:val="nil"/>
              <w:left w:val="nil"/>
              <w:bottom w:val="single" w:sz="8" w:space="0" w:color="2E74B5"/>
              <w:right w:val="single" w:sz="8" w:space="0" w:color="2E74B5"/>
            </w:tcBorders>
            <w:shd w:val="clear" w:color="auto" w:fill="auto"/>
            <w:vAlign w:val="bottom"/>
          </w:tcPr>
          <w:p w14:paraId="36515FC0" w14:textId="77777777" w:rsidR="004E6336" w:rsidRDefault="00000000">
            <w:pPr>
              <w:jc w:val="center"/>
              <w:rPr>
                <w:rFonts w:ascii="Open Sans" w:eastAsia="Open Sans" w:hAnsi="Open Sans" w:cs="Open Sans"/>
                <w:b/>
                <w:sz w:val="20"/>
                <w:szCs w:val="20"/>
              </w:rPr>
            </w:pPr>
            <w:r>
              <w:rPr>
                <w:rFonts w:ascii="Open Sans" w:eastAsia="Open Sans" w:hAnsi="Open Sans" w:cs="Open Sans"/>
                <w:b/>
                <w:sz w:val="20"/>
                <w:szCs w:val="20"/>
              </w:rPr>
              <w:t>14%</w:t>
            </w:r>
          </w:p>
        </w:tc>
      </w:tr>
      <w:tr w:rsidR="004E6336" w14:paraId="3B2CCA67"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3DB830FF"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Aragón</w:t>
            </w:r>
          </w:p>
        </w:tc>
        <w:tc>
          <w:tcPr>
            <w:tcW w:w="1134" w:type="dxa"/>
            <w:tcBorders>
              <w:top w:val="nil"/>
              <w:left w:val="nil"/>
              <w:bottom w:val="single" w:sz="8" w:space="0" w:color="2E74B5"/>
              <w:right w:val="single" w:sz="8" w:space="0" w:color="2E74B5"/>
            </w:tcBorders>
            <w:shd w:val="clear" w:color="auto" w:fill="auto"/>
            <w:vAlign w:val="bottom"/>
          </w:tcPr>
          <w:p w14:paraId="5E3C8B44"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355 €</w:t>
            </w:r>
          </w:p>
        </w:tc>
        <w:tc>
          <w:tcPr>
            <w:tcW w:w="1134" w:type="dxa"/>
            <w:tcBorders>
              <w:top w:val="nil"/>
              <w:left w:val="nil"/>
              <w:bottom w:val="single" w:sz="8" w:space="0" w:color="2E74B5"/>
              <w:right w:val="single" w:sz="8" w:space="0" w:color="2E74B5"/>
            </w:tcBorders>
            <w:shd w:val="clear" w:color="auto" w:fill="auto"/>
            <w:vAlign w:val="bottom"/>
          </w:tcPr>
          <w:p w14:paraId="53B7875E"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4.261 €</w:t>
            </w:r>
          </w:p>
        </w:tc>
        <w:tc>
          <w:tcPr>
            <w:tcW w:w="1559" w:type="dxa"/>
            <w:tcBorders>
              <w:top w:val="nil"/>
              <w:left w:val="nil"/>
              <w:bottom w:val="single" w:sz="8" w:space="0" w:color="2E74B5"/>
              <w:right w:val="single" w:sz="8" w:space="0" w:color="2E74B5"/>
            </w:tcBorders>
            <w:shd w:val="clear" w:color="auto" w:fill="auto"/>
            <w:vAlign w:val="center"/>
          </w:tcPr>
          <w:p w14:paraId="42D10EEB"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2.109 €</w:t>
            </w:r>
          </w:p>
        </w:tc>
        <w:tc>
          <w:tcPr>
            <w:tcW w:w="1134" w:type="dxa"/>
            <w:tcBorders>
              <w:top w:val="nil"/>
              <w:left w:val="nil"/>
              <w:bottom w:val="single" w:sz="8" w:space="0" w:color="2E74B5"/>
              <w:right w:val="single" w:sz="8" w:space="0" w:color="2E74B5"/>
            </w:tcBorders>
            <w:shd w:val="clear" w:color="auto" w:fill="auto"/>
            <w:vAlign w:val="center"/>
          </w:tcPr>
          <w:p w14:paraId="69362B2E"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25.309 €</w:t>
            </w:r>
          </w:p>
        </w:tc>
        <w:tc>
          <w:tcPr>
            <w:tcW w:w="1264" w:type="dxa"/>
            <w:tcBorders>
              <w:top w:val="nil"/>
              <w:left w:val="nil"/>
              <w:bottom w:val="single" w:sz="8" w:space="0" w:color="2E74B5"/>
              <w:right w:val="single" w:sz="8" w:space="0" w:color="2E74B5"/>
            </w:tcBorders>
            <w:shd w:val="clear" w:color="auto" w:fill="auto"/>
            <w:vAlign w:val="bottom"/>
          </w:tcPr>
          <w:p w14:paraId="5E236D6F"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w:t>
            </w:r>
          </w:p>
        </w:tc>
        <w:tc>
          <w:tcPr>
            <w:tcW w:w="1368" w:type="dxa"/>
            <w:tcBorders>
              <w:top w:val="nil"/>
              <w:left w:val="nil"/>
              <w:bottom w:val="single" w:sz="8" w:space="0" w:color="2E74B5"/>
              <w:right w:val="single" w:sz="8" w:space="0" w:color="2E74B5"/>
            </w:tcBorders>
            <w:shd w:val="clear" w:color="auto" w:fill="auto"/>
            <w:vAlign w:val="bottom"/>
          </w:tcPr>
          <w:p w14:paraId="102A207B"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17%</w:t>
            </w:r>
          </w:p>
        </w:tc>
      </w:tr>
      <w:tr w:rsidR="004E6336" w14:paraId="582F416F"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405DA257"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Asturias</w:t>
            </w:r>
          </w:p>
        </w:tc>
        <w:tc>
          <w:tcPr>
            <w:tcW w:w="1134" w:type="dxa"/>
            <w:tcBorders>
              <w:top w:val="nil"/>
              <w:left w:val="nil"/>
              <w:bottom w:val="single" w:sz="8" w:space="0" w:color="2E74B5"/>
              <w:right w:val="single" w:sz="8" w:space="0" w:color="2E74B5"/>
            </w:tcBorders>
            <w:shd w:val="clear" w:color="auto" w:fill="auto"/>
            <w:vAlign w:val="bottom"/>
          </w:tcPr>
          <w:p w14:paraId="6329C409"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297 €</w:t>
            </w:r>
          </w:p>
        </w:tc>
        <w:tc>
          <w:tcPr>
            <w:tcW w:w="1134" w:type="dxa"/>
            <w:tcBorders>
              <w:top w:val="nil"/>
              <w:left w:val="nil"/>
              <w:bottom w:val="single" w:sz="8" w:space="0" w:color="2E74B5"/>
              <w:right w:val="single" w:sz="8" w:space="0" w:color="2E74B5"/>
            </w:tcBorders>
            <w:shd w:val="clear" w:color="auto" w:fill="auto"/>
            <w:vAlign w:val="bottom"/>
          </w:tcPr>
          <w:p w14:paraId="545284B4"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3.563 €</w:t>
            </w:r>
          </w:p>
        </w:tc>
        <w:tc>
          <w:tcPr>
            <w:tcW w:w="1559" w:type="dxa"/>
            <w:tcBorders>
              <w:top w:val="nil"/>
              <w:left w:val="nil"/>
              <w:bottom w:val="single" w:sz="8" w:space="0" w:color="2E74B5"/>
              <w:right w:val="single" w:sz="8" w:space="0" w:color="2E74B5"/>
            </w:tcBorders>
            <w:shd w:val="clear" w:color="auto" w:fill="auto"/>
            <w:vAlign w:val="center"/>
          </w:tcPr>
          <w:p w14:paraId="7CB9DBC2"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2.321 €</w:t>
            </w:r>
          </w:p>
        </w:tc>
        <w:tc>
          <w:tcPr>
            <w:tcW w:w="1134" w:type="dxa"/>
            <w:tcBorders>
              <w:top w:val="nil"/>
              <w:left w:val="nil"/>
              <w:bottom w:val="single" w:sz="8" w:space="0" w:color="2E74B5"/>
              <w:right w:val="single" w:sz="8" w:space="0" w:color="2E74B5"/>
            </w:tcBorders>
            <w:shd w:val="clear" w:color="auto" w:fill="auto"/>
            <w:vAlign w:val="center"/>
          </w:tcPr>
          <w:p w14:paraId="013090A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27.857 €</w:t>
            </w:r>
          </w:p>
        </w:tc>
        <w:tc>
          <w:tcPr>
            <w:tcW w:w="1264" w:type="dxa"/>
            <w:tcBorders>
              <w:top w:val="nil"/>
              <w:left w:val="nil"/>
              <w:bottom w:val="single" w:sz="8" w:space="0" w:color="2E74B5"/>
              <w:right w:val="single" w:sz="8" w:space="0" w:color="2E74B5"/>
            </w:tcBorders>
            <w:shd w:val="clear" w:color="auto" w:fill="auto"/>
            <w:vAlign w:val="bottom"/>
          </w:tcPr>
          <w:p w14:paraId="3F2ADF3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w:t>
            </w:r>
          </w:p>
        </w:tc>
        <w:tc>
          <w:tcPr>
            <w:tcW w:w="1368" w:type="dxa"/>
            <w:tcBorders>
              <w:top w:val="nil"/>
              <w:left w:val="nil"/>
              <w:bottom w:val="single" w:sz="8" w:space="0" w:color="2E74B5"/>
              <w:right w:val="single" w:sz="8" w:space="0" w:color="2E74B5"/>
            </w:tcBorders>
            <w:shd w:val="clear" w:color="auto" w:fill="auto"/>
            <w:vAlign w:val="bottom"/>
          </w:tcPr>
          <w:p w14:paraId="6AC30F4F"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13%</w:t>
            </w:r>
          </w:p>
        </w:tc>
      </w:tr>
      <w:tr w:rsidR="004E6336" w14:paraId="3A118EEB"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27EE2335"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Baleares</w:t>
            </w:r>
          </w:p>
        </w:tc>
        <w:tc>
          <w:tcPr>
            <w:tcW w:w="1134" w:type="dxa"/>
            <w:tcBorders>
              <w:top w:val="nil"/>
              <w:left w:val="nil"/>
              <w:bottom w:val="single" w:sz="8" w:space="0" w:color="2E74B5"/>
              <w:right w:val="single" w:sz="8" w:space="0" w:color="2E74B5"/>
            </w:tcBorders>
            <w:shd w:val="clear" w:color="auto" w:fill="auto"/>
            <w:vAlign w:val="bottom"/>
          </w:tcPr>
          <w:p w14:paraId="75C96099"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489 €</w:t>
            </w:r>
          </w:p>
        </w:tc>
        <w:tc>
          <w:tcPr>
            <w:tcW w:w="1134" w:type="dxa"/>
            <w:tcBorders>
              <w:top w:val="nil"/>
              <w:left w:val="nil"/>
              <w:bottom w:val="single" w:sz="8" w:space="0" w:color="2E74B5"/>
              <w:right w:val="single" w:sz="8" w:space="0" w:color="2E74B5"/>
            </w:tcBorders>
            <w:shd w:val="clear" w:color="auto" w:fill="auto"/>
            <w:vAlign w:val="bottom"/>
          </w:tcPr>
          <w:p w14:paraId="498BBE33"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5.865 €</w:t>
            </w:r>
          </w:p>
        </w:tc>
        <w:tc>
          <w:tcPr>
            <w:tcW w:w="1559" w:type="dxa"/>
            <w:tcBorders>
              <w:top w:val="nil"/>
              <w:left w:val="nil"/>
              <w:bottom w:val="single" w:sz="8" w:space="0" w:color="2E74B5"/>
              <w:right w:val="single" w:sz="8" w:space="0" w:color="2E74B5"/>
            </w:tcBorders>
            <w:shd w:val="clear" w:color="auto" w:fill="auto"/>
            <w:vAlign w:val="center"/>
          </w:tcPr>
          <w:p w14:paraId="110C84AB"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2.144 €</w:t>
            </w:r>
          </w:p>
        </w:tc>
        <w:tc>
          <w:tcPr>
            <w:tcW w:w="1134" w:type="dxa"/>
            <w:tcBorders>
              <w:top w:val="nil"/>
              <w:left w:val="nil"/>
              <w:bottom w:val="single" w:sz="8" w:space="0" w:color="2E74B5"/>
              <w:right w:val="single" w:sz="8" w:space="0" w:color="2E74B5"/>
            </w:tcBorders>
            <w:shd w:val="clear" w:color="auto" w:fill="auto"/>
            <w:vAlign w:val="center"/>
          </w:tcPr>
          <w:p w14:paraId="284A5B4E"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25.727 €</w:t>
            </w:r>
          </w:p>
        </w:tc>
        <w:tc>
          <w:tcPr>
            <w:tcW w:w="1264" w:type="dxa"/>
            <w:tcBorders>
              <w:top w:val="nil"/>
              <w:left w:val="nil"/>
              <w:bottom w:val="single" w:sz="8" w:space="0" w:color="2E74B5"/>
              <w:right w:val="single" w:sz="8" w:space="0" w:color="2E74B5"/>
            </w:tcBorders>
            <w:shd w:val="clear" w:color="auto" w:fill="auto"/>
            <w:vAlign w:val="bottom"/>
          </w:tcPr>
          <w:p w14:paraId="479D883E"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368" w:type="dxa"/>
            <w:tcBorders>
              <w:top w:val="nil"/>
              <w:left w:val="nil"/>
              <w:bottom w:val="single" w:sz="8" w:space="0" w:color="2E74B5"/>
              <w:right w:val="single" w:sz="8" w:space="0" w:color="2E74B5"/>
            </w:tcBorders>
            <w:shd w:val="clear" w:color="auto" w:fill="auto"/>
            <w:vAlign w:val="bottom"/>
          </w:tcPr>
          <w:p w14:paraId="01808240"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w:t>
            </w:r>
          </w:p>
        </w:tc>
      </w:tr>
      <w:tr w:rsidR="004E6336" w14:paraId="66771989"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4EA493A8"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Canarias</w:t>
            </w:r>
          </w:p>
        </w:tc>
        <w:tc>
          <w:tcPr>
            <w:tcW w:w="1134" w:type="dxa"/>
            <w:tcBorders>
              <w:top w:val="nil"/>
              <w:left w:val="nil"/>
              <w:bottom w:val="single" w:sz="8" w:space="0" w:color="2E74B5"/>
              <w:right w:val="single" w:sz="8" w:space="0" w:color="2E74B5"/>
            </w:tcBorders>
            <w:shd w:val="clear" w:color="auto" w:fill="auto"/>
            <w:vAlign w:val="bottom"/>
          </w:tcPr>
          <w:p w14:paraId="1AC16182"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393 €</w:t>
            </w:r>
          </w:p>
        </w:tc>
        <w:tc>
          <w:tcPr>
            <w:tcW w:w="1134" w:type="dxa"/>
            <w:tcBorders>
              <w:top w:val="nil"/>
              <w:left w:val="nil"/>
              <w:bottom w:val="single" w:sz="8" w:space="0" w:color="2E74B5"/>
              <w:right w:val="single" w:sz="8" w:space="0" w:color="2E74B5"/>
            </w:tcBorders>
            <w:shd w:val="clear" w:color="auto" w:fill="auto"/>
            <w:vAlign w:val="bottom"/>
          </w:tcPr>
          <w:p w14:paraId="07C68B0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4.719 €</w:t>
            </w:r>
          </w:p>
        </w:tc>
        <w:tc>
          <w:tcPr>
            <w:tcW w:w="1559" w:type="dxa"/>
            <w:tcBorders>
              <w:top w:val="nil"/>
              <w:left w:val="nil"/>
              <w:bottom w:val="single" w:sz="8" w:space="0" w:color="2E74B5"/>
              <w:right w:val="single" w:sz="8" w:space="0" w:color="2E74B5"/>
            </w:tcBorders>
            <w:shd w:val="clear" w:color="auto" w:fill="auto"/>
            <w:vAlign w:val="center"/>
          </w:tcPr>
          <w:p w14:paraId="66D03401"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1.992 €</w:t>
            </w:r>
          </w:p>
        </w:tc>
        <w:tc>
          <w:tcPr>
            <w:tcW w:w="1134" w:type="dxa"/>
            <w:tcBorders>
              <w:top w:val="nil"/>
              <w:left w:val="nil"/>
              <w:bottom w:val="single" w:sz="8" w:space="0" w:color="2E74B5"/>
              <w:right w:val="single" w:sz="8" w:space="0" w:color="2E74B5"/>
            </w:tcBorders>
            <w:shd w:val="clear" w:color="auto" w:fill="auto"/>
            <w:vAlign w:val="center"/>
          </w:tcPr>
          <w:p w14:paraId="5C67E77F"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23.908 €</w:t>
            </w:r>
          </w:p>
        </w:tc>
        <w:tc>
          <w:tcPr>
            <w:tcW w:w="1264" w:type="dxa"/>
            <w:tcBorders>
              <w:top w:val="nil"/>
              <w:left w:val="nil"/>
              <w:bottom w:val="single" w:sz="8" w:space="0" w:color="2E74B5"/>
              <w:right w:val="single" w:sz="8" w:space="0" w:color="2E74B5"/>
            </w:tcBorders>
            <w:shd w:val="clear" w:color="auto" w:fill="auto"/>
            <w:vAlign w:val="bottom"/>
          </w:tcPr>
          <w:p w14:paraId="1928EAE0"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w:t>
            </w:r>
          </w:p>
        </w:tc>
        <w:tc>
          <w:tcPr>
            <w:tcW w:w="1368" w:type="dxa"/>
            <w:tcBorders>
              <w:top w:val="nil"/>
              <w:left w:val="nil"/>
              <w:bottom w:val="single" w:sz="8" w:space="0" w:color="2E74B5"/>
              <w:right w:val="single" w:sz="8" w:space="0" w:color="2E74B5"/>
            </w:tcBorders>
            <w:shd w:val="clear" w:color="auto" w:fill="auto"/>
            <w:vAlign w:val="bottom"/>
          </w:tcPr>
          <w:p w14:paraId="51C750E4"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20%</w:t>
            </w:r>
          </w:p>
        </w:tc>
      </w:tr>
      <w:tr w:rsidR="004E6336" w14:paraId="5F4AAB1B"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021B8D64"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Cantabria</w:t>
            </w:r>
          </w:p>
        </w:tc>
        <w:tc>
          <w:tcPr>
            <w:tcW w:w="1134" w:type="dxa"/>
            <w:tcBorders>
              <w:top w:val="nil"/>
              <w:left w:val="nil"/>
              <w:bottom w:val="single" w:sz="8" w:space="0" w:color="2E74B5"/>
              <w:right w:val="single" w:sz="8" w:space="0" w:color="2E74B5"/>
            </w:tcBorders>
            <w:shd w:val="clear" w:color="auto" w:fill="auto"/>
            <w:vAlign w:val="bottom"/>
          </w:tcPr>
          <w:p w14:paraId="760BE907"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355 €</w:t>
            </w:r>
          </w:p>
        </w:tc>
        <w:tc>
          <w:tcPr>
            <w:tcW w:w="1134" w:type="dxa"/>
            <w:tcBorders>
              <w:top w:val="nil"/>
              <w:left w:val="nil"/>
              <w:bottom w:val="single" w:sz="8" w:space="0" w:color="2E74B5"/>
              <w:right w:val="single" w:sz="8" w:space="0" w:color="2E74B5"/>
            </w:tcBorders>
            <w:shd w:val="clear" w:color="auto" w:fill="auto"/>
            <w:vAlign w:val="bottom"/>
          </w:tcPr>
          <w:p w14:paraId="41F7981F"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4.258 €</w:t>
            </w:r>
          </w:p>
        </w:tc>
        <w:tc>
          <w:tcPr>
            <w:tcW w:w="1559" w:type="dxa"/>
            <w:tcBorders>
              <w:top w:val="nil"/>
              <w:left w:val="nil"/>
              <w:bottom w:val="single" w:sz="8" w:space="0" w:color="2E74B5"/>
              <w:right w:val="single" w:sz="8" w:space="0" w:color="2E74B5"/>
            </w:tcBorders>
            <w:shd w:val="clear" w:color="auto" w:fill="auto"/>
            <w:vAlign w:val="center"/>
          </w:tcPr>
          <w:p w14:paraId="5293C14A"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2.218 €</w:t>
            </w:r>
          </w:p>
        </w:tc>
        <w:tc>
          <w:tcPr>
            <w:tcW w:w="1134" w:type="dxa"/>
            <w:tcBorders>
              <w:top w:val="nil"/>
              <w:left w:val="nil"/>
              <w:bottom w:val="single" w:sz="8" w:space="0" w:color="2E74B5"/>
              <w:right w:val="single" w:sz="8" w:space="0" w:color="2E74B5"/>
            </w:tcBorders>
            <w:shd w:val="clear" w:color="auto" w:fill="auto"/>
            <w:vAlign w:val="center"/>
          </w:tcPr>
          <w:p w14:paraId="096B2088"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26.614 €</w:t>
            </w:r>
          </w:p>
        </w:tc>
        <w:tc>
          <w:tcPr>
            <w:tcW w:w="1264" w:type="dxa"/>
            <w:tcBorders>
              <w:top w:val="nil"/>
              <w:left w:val="nil"/>
              <w:bottom w:val="single" w:sz="8" w:space="0" w:color="2E74B5"/>
              <w:right w:val="single" w:sz="8" w:space="0" w:color="2E74B5"/>
            </w:tcBorders>
            <w:shd w:val="clear" w:color="auto" w:fill="auto"/>
            <w:vAlign w:val="bottom"/>
          </w:tcPr>
          <w:p w14:paraId="6DCBC36A" w14:textId="77777777" w:rsidR="004E6336" w:rsidRDefault="004E6336">
            <w:pPr>
              <w:jc w:val="center"/>
              <w:rPr>
                <w:rFonts w:ascii="Open Sans" w:eastAsia="Open Sans" w:hAnsi="Open Sans" w:cs="Open Sans"/>
                <w:color w:val="000000"/>
                <w:sz w:val="20"/>
                <w:szCs w:val="20"/>
              </w:rPr>
            </w:pPr>
          </w:p>
        </w:tc>
        <w:tc>
          <w:tcPr>
            <w:tcW w:w="1368" w:type="dxa"/>
            <w:tcBorders>
              <w:top w:val="nil"/>
              <w:left w:val="nil"/>
              <w:bottom w:val="single" w:sz="8" w:space="0" w:color="2E74B5"/>
              <w:right w:val="single" w:sz="8" w:space="0" w:color="2E74B5"/>
            </w:tcBorders>
            <w:shd w:val="clear" w:color="auto" w:fill="auto"/>
            <w:vAlign w:val="bottom"/>
          </w:tcPr>
          <w:p w14:paraId="3D14BAAF"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16%</w:t>
            </w:r>
          </w:p>
        </w:tc>
      </w:tr>
      <w:tr w:rsidR="004E6336" w14:paraId="6AFC74B9"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4E931B5A"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134" w:type="dxa"/>
            <w:tcBorders>
              <w:top w:val="nil"/>
              <w:left w:val="nil"/>
              <w:bottom w:val="single" w:sz="8" w:space="0" w:color="2E74B5"/>
              <w:right w:val="single" w:sz="8" w:space="0" w:color="2E74B5"/>
            </w:tcBorders>
            <w:shd w:val="clear" w:color="auto" w:fill="auto"/>
            <w:vAlign w:val="bottom"/>
          </w:tcPr>
          <w:p w14:paraId="7C8D1ECA"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272 €</w:t>
            </w:r>
          </w:p>
        </w:tc>
        <w:tc>
          <w:tcPr>
            <w:tcW w:w="1134" w:type="dxa"/>
            <w:tcBorders>
              <w:top w:val="nil"/>
              <w:left w:val="nil"/>
              <w:bottom w:val="single" w:sz="8" w:space="0" w:color="2E74B5"/>
              <w:right w:val="single" w:sz="8" w:space="0" w:color="2E74B5"/>
            </w:tcBorders>
            <w:shd w:val="clear" w:color="auto" w:fill="auto"/>
            <w:vAlign w:val="bottom"/>
          </w:tcPr>
          <w:p w14:paraId="4CE31615"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3.260 €</w:t>
            </w:r>
          </w:p>
        </w:tc>
        <w:tc>
          <w:tcPr>
            <w:tcW w:w="1559" w:type="dxa"/>
            <w:tcBorders>
              <w:top w:val="nil"/>
              <w:left w:val="nil"/>
              <w:bottom w:val="single" w:sz="8" w:space="0" w:color="2E74B5"/>
              <w:right w:val="single" w:sz="8" w:space="0" w:color="2E74B5"/>
            </w:tcBorders>
            <w:shd w:val="clear" w:color="auto" w:fill="auto"/>
            <w:vAlign w:val="center"/>
          </w:tcPr>
          <w:p w14:paraId="3ED2F048"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2.025 €</w:t>
            </w:r>
          </w:p>
        </w:tc>
        <w:tc>
          <w:tcPr>
            <w:tcW w:w="1134" w:type="dxa"/>
            <w:tcBorders>
              <w:top w:val="nil"/>
              <w:left w:val="nil"/>
              <w:bottom w:val="single" w:sz="8" w:space="0" w:color="2E74B5"/>
              <w:right w:val="single" w:sz="8" w:space="0" w:color="2E74B5"/>
            </w:tcBorders>
            <w:shd w:val="clear" w:color="auto" w:fill="auto"/>
            <w:vAlign w:val="center"/>
          </w:tcPr>
          <w:p w14:paraId="3D58CD0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24.305 €</w:t>
            </w:r>
          </w:p>
        </w:tc>
        <w:tc>
          <w:tcPr>
            <w:tcW w:w="1264" w:type="dxa"/>
            <w:tcBorders>
              <w:top w:val="nil"/>
              <w:left w:val="nil"/>
              <w:bottom w:val="single" w:sz="8" w:space="0" w:color="2E74B5"/>
              <w:right w:val="single" w:sz="8" w:space="0" w:color="2E74B5"/>
            </w:tcBorders>
            <w:shd w:val="clear" w:color="auto" w:fill="auto"/>
            <w:vAlign w:val="bottom"/>
          </w:tcPr>
          <w:p w14:paraId="12BE5B5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w:t>
            </w:r>
          </w:p>
        </w:tc>
        <w:tc>
          <w:tcPr>
            <w:tcW w:w="1368" w:type="dxa"/>
            <w:tcBorders>
              <w:top w:val="nil"/>
              <w:left w:val="nil"/>
              <w:bottom w:val="single" w:sz="8" w:space="0" w:color="2E74B5"/>
              <w:right w:val="single" w:sz="8" w:space="0" w:color="2E74B5"/>
            </w:tcBorders>
            <w:shd w:val="clear" w:color="auto" w:fill="auto"/>
            <w:vAlign w:val="bottom"/>
          </w:tcPr>
          <w:p w14:paraId="2BC2CB42"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13%</w:t>
            </w:r>
          </w:p>
        </w:tc>
      </w:tr>
      <w:tr w:rsidR="004E6336" w14:paraId="751A947C"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7216BD90"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134" w:type="dxa"/>
            <w:tcBorders>
              <w:top w:val="nil"/>
              <w:left w:val="nil"/>
              <w:bottom w:val="single" w:sz="8" w:space="0" w:color="2E74B5"/>
              <w:right w:val="single" w:sz="8" w:space="0" w:color="2E74B5"/>
            </w:tcBorders>
            <w:shd w:val="clear" w:color="auto" w:fill="auto"/>
            <w:vAlign w:val="bottom"/>
          </w:tcPr>
          <w:p w14:paraId="6D732DED"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247 €</w:t>
            </w:r>
          </w:p>
        </w:tc>
        <w:tc>
          <w:tcPr>
            <w:tcW w:w="1134" w:type="dxa"/>
            <w:tcBorders>
              <w:top w:val="nil"/>
              <w:left w:val="nil"/>
              <w:bottom w:val="single" w:sz="8" w:space="0" w:color="2E74B5"/>
              <w:right w:val="single" w:sz="8" w:space="0" w:color="2E74B5"/>
            </w:tcBorders>
            <w:shd w:val="clear" w:color="auto" w:fill="auto"/>
            <w:vAlign w:val="bottom"/>
          </w:tcPr>
          <w:p w14:paraId="76B5DD99"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2.964 €</w:t>
            </w:r>
          </w:p>
        </w:tc>
        <w:tc>
          <w:tcPr>
            <w:tcW w:w="1559" w:type="dxa"/>
            <w:tcBorders>
              <w:top w:val="nil"/>
              <w:left w:val="nil"/>
              <w:bottom w:val="single" w:sz="8" w:space="0" w:color="2E74B5"/>
              <w:right w:val="single" w:sz="8" w:space="0" w:color="2E74B5"/>
            </w:tcBorders>
            <w:shd w:val="clear" w:color="auto" w:fill="auto"/>
            <w:vAlign w:val="center"/>
          </w:tcPr>
          <w:p w14:paraId="3A032434"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1.982 €</w:t>
            </w:r>
          </w:p>
        </w:tc>
        <w:tc>
          <w:tcPr>
            <w:tcW w:w="1134" w:type="dxa"/>
            <w:tcBorders>
              <w:top w:val="nil"/>
              <w:left w:val="nil"/>
              <w:bottom w:val="single" w:sz="8" w:space="0" w:color="2E74B5"/>
              <w:right w:val="single" w:sz="8" w:space="0" w:color="2E74B5"/>
            </w:tcBorders>
            <w:shd w:val="clear" w:color="auto" w:fill="auto"/>
            <w:vAlign w:val="center"/>
          </w:tcPr>
          <w:p w14:paraId="2590AED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23.785 €</w:t>
            </w:r>
          </w:p>
        </w:tc>
        <w:tc>
          <w:tcPr>
            <w:tcW w:w="1264" w:type="dxa"/>
            <w:tcBorders>
              <w:top w:val="nil"/>
              <w:left w:val="nil"/>
              <w:bottom w:val="single" w:sz="8" w:space="0" w:color="2E74B5"/>
              <w:right w:val="single" w:sz="8" w:space="0" w:color="2E74B5"/>
            </w:tcBorders>
            <w:shd w:val="clear" w:color="auto" w:fill="auto"/>
            <w:vAlign w:val="bottom"/>
          </w:tcPr>
          <w:p w14:paraId="3A9040A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w:t>
            </w:r>
          </w:p>
        </w:tc>
        <w:tc>
          <w:tcPr>
            <w:tcW w:w="1368" w:type="dxa"/>
            <w:tcBorders>
              <w:top w:val="nil"/>
              <w:left w:val="nil"/>
              <w:bottom w:val="single" w:sz="8" w:space="0" w:color="2E74B5"/>
              <w:right w:val="single" w:sz="8" w:space="0" w:color="2E74B5"/>
            </w:tcBorders>
            <w:shd w:val="clear" w:color="auto" w:fill="auto"/>
            <w:vAlign w:val="bottom"/>
          </w:tcPr>
          <w:p w14:paraId="4B0E0D21"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12%</w:t>
            </w:r>
          </w:p>
        </w:tc>
      </w:tr>
      <w:tr w:rsidR="004E6336" w14:paraId="2FB7D9DB"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17BF4FA9"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Cataluña</w:t>
            </w:r>
          </w:p>
        </w:tc>
        <w:tc>
          <w:tcPr>
            <w:tcW w:w="1134" w:type="dxa"/>
            <w:tcBorders>
              <w:top w:val="nil"/>
              <w:left w:val="nil"/>
              <w:bottom w:val="single" w:sz="8" w:space="0" w:color="2E74B5"/>
              <w:right w:val="single" w:sz="8" w:space="0" w:color="2E74B5"/>
            </w:tcBorders>
            <w:shd w:val="clear" w:color="auto" w:fill="auto"/>
            <w:vAlign w:val="bottom"/>
          </w:tcPr>
          <w:p w14:paraId="215FCE8D"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582 €</w:t>
            </w:r>
          </w:p>
        </w:tc>
        <w:tc>
          <w:tcPr>
            <w:tcW w:w="1134" w:type="dxa"/>
            <w:tcBorders>
              <w:top w:val="nil"/>
              <w:left w:val="nil"/>
              <w:bottom w:val="single" w:sz="8" w:space="0" w:color="2E74B5"/>
              <w:right w:val="single" w:sz="8" w:space="0" w:color="2E74B5"/>
            </w:tcBorders>
            <w:shd w:val="clear" w:color="auto" w:fill="auto"/>
            <w:vAlign w:val="bottom"/>
          </w:tcPr>
          <w:p w14:paraId="7383CDF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6.982 €</w:t>
            </w:r>
          </w:p>
        </w:tc>
        <w:tc>
          <w:tcPr>
            <w:tcW w:w="1559" w:type="dxa"/>
            <w:tcBorders>
              <w:top w:val="nil"/>
              <w:left w:val="nil"/>
              <w:bottom w:val="single" w:sz="8" w:space="0" w:color="2E74B5"/>
              <w:right w:val="single" w:sz="8" w:space="0" w:color="2E74B5"/>
            </w:tcBorders>
            <w:shd w:val="clear" w:color="auto" w:fill="auto"/>
            <w:vAlign w:val="center"/>
          </w:tcPr>
          <w:p w14:paraId="228249CA"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2.189 €</w:t>
            </w:r>
          </w:p>
        </w:tc>
        <w:tc>
          <w:tcPr>
            <w:tcW w:w="1134" w:type="dxa"/>
            <w:tcBorders>
              <w:top w:val="nil"/>
              <w:left w:val="nil"/>
              <w:bottom w:val="single" w:sz="8" w:space="0" w:color="2E74B5"/>
              <w:right w:val="single" w:sz="8" w:space="0" w:color="2E74B5"/>
            </w:tcBorders>
            <w:shd w:val="clear" w:color="auto" w:fill="auto"/>
            <w:vAlign w:val="center"/>
          </w:tcPr>
          <w:p w14:paraId="7B558CFE"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26.263 €</w:t>
            </w:r>
          </w:p>
        </w:tc>
        <w:tc>
          <w:tcPr>
            <w:tcW w:w="1264" w:type="dxa"/>
            <w:tcBorders>
              <w:top w:val="nil"/>
              <w:left w:val="nil"/>
              <w:bottom w:val="single" w:sz="8" w:space="0" w:color="2E74B5"/>
              <w:right w:val="single" w:sz="8" w:space="0" w:color="2E74B5"/>
            </w:tcBorders>
            <w:shd w:val="clear" w:color="auto" w:fill="auto"/>
            <w:vAlign w:val="bottom"/>
          </w:tcPr>
          <w:p w14:paraId="1C0ED879"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368" w:type="dxa"/>
            <w:tcBorders>
              <w:top w:val="nil"/>
              <w:left w:val="nil"/>
              <w:bottom w:val="single" w:sz="8" w:space="0" w:color="2E74B5"/>
              <w:right w:val="single" w:sz="8" w:space="0" w:color="2E74B5"/>
            </w:tcBorders>
            <w:shd w:val="clear" w:color="auto" w:fill="auto"/>
            <w:vAlign w:val="bottom"/>
          </w:tcPr>
          <w:p w14:paraId="00935887"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27%</w:t>
            </w:r>
          </w:p>
        </w:tc>
      </w:tr>
      <w:tr w:rsidR="004E6336" w14:paraId="55EFA1D6" w14:textId="77777777">
        <w:trPr>
          <w:trHeight w:val="269"/>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3B2D83D9" w14:textId="77777777" w:rsidR="004E6336" w:rsidRDefault="00000000">
            <w:pPr>
              <w:jc w:val="both"/>
              <w:rPr>
                <w:rFonts w:ascii="Open Sans" w:eastAsia="Open Sans" w:hAnsi="Open Sans" w:cs="Open Sans"/>
                <w:color w:val="000000"/>
                <w:sz w:val="20"/>
                <w:szCs w:val="20"/>
              </w:rPr>
            </w:pPr>
            <w:proofErr w:type="spellStart"/>
            <w:r>
              <w:rPr>
                <w:rFonts w:ascii="Open Sans" w:eastAsia="Open Sans" w:hAnsi="Open Sans" w:cs="Open Sans"/>
                <w:color w:val="000000"/>
                <w:sz w:val="20"/>
                <w:szCs w:val="20"/>
              </w:rPr>
              <w:t>Comunitat</w:t>
            </w:r>
            <w:proofErr w:type="spellEnd"/>
            <w:r>
              <w:rPr>
                <w:rFonts w:ascii="Open Sans" w:eastAsia="Open Sans" w:hAnsi="Open Sans" w:cs="Open Sans"/>
                <w:color w:val="000000"/>
                <w:sz w:val="20"/>
                <w:szCs w:val="20"/>
              </w:rPr>
              <w:t xml:space="preserve"> Valenciana</w:t>
            </w:r>
          </w:p>
        </w:tc>
        <w:tc>
          <w:tcPr>
            <w:tcW w:w="1134" w:type="dxa"/>
            <w:tcBorders>
              <w:top w:val="nil"/>
              <w:left w:val="nil"/>
              <w:bottom w:val="single" w:sz="8" w:space="0" w:color="2E74B5"/>
              <w:right w:val="single" w:sz="8" w:space="0" w:color="2E74B5"/>
            </w:tcBorders>
            <w:shd w:val="clear" w:color="auto" w:fill="auto"/>
            <w:vAlign w:val="bottom"/>
          </w:tcPr>
          <w:p w14:paraId="5C27E047"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379 €</w:t>
            </w:r>
          </w:p>
        </w:tc>
        <w:tc>
          <w:tcPr>
            <w:tcW w:w="1134" w:type="dxa"/>
            <w:tcBorders>
              <w:top w:val="nil"/>
              <w:left w:val="nil"/>
              <w:bottom w:val="single" w:sz="8" w:space="0" w:color="2E74B5"/>
              <w:right w:val="single" w:sz="8" w:space="0" w:color="2E74B5"/>
            </w:tcBorders>
            <w:shd w:val="clear" w:color="auto" w:fill="auto"/>
            <w:vAlign w:val="bottom"/>
          </w:tcPr>
          <w:p w14:paraId="00D3EE0C"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4.550 €</w:t>
            </w:r>
          </w:p>
        </w:tc>
        <w:tc>
          <w:tcPr>
            <w:tcW w:w="1559" w:type="dxa"/>
            <w:tcBorders>
              <w:top w:val="nil"/>
              <w:left w:val="nil"/>
              <w:bottom w:val="single" w:sz="8" w:space="0" w:color="2E74B5"/>
              <w:right w:val="single" w:sz="8" w:space="0" w:color="2E74B5"/>
            </w:tcBorders>
            <w:shd w:val="clear" w:color="auto" w:fill="auto"/>
            <w:vAlign w:val="center"/>
          </w:tcPr>
          <w:p w14:paraId="5D5FE533"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2.128 €</w:t>
            </w:r>
          </w:p>
        </w:tc>
        <w:tc>
          <w:tcPr>
            <w:tcW w:w="1134" w:type="dxa"/>
            <w:tcBorders>
              <w:top w:val="nil"/>
              <w:left w:val="nil"/>
              <w:bottom w:val="single" w:sz="8" w:space="0" w:color="2E74B5"/>
              <w:right w:val="single" w:sz="8" w:space="0" w:color="2E74B5"/>
            </w:tcBorders>
            <w:shd w:val="clear" w:color="auto" w:fill="auto"/>
            <w:vAlign w:val="center"/>
          </w:tcPr>
          <w:p w14:paraId="42E8C120"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25.540 €</w:t>
            </w:r>
          </w:p>
        </w:tc>
        <w:tc>
          <w:tcPr>
            <w:tcW w:w="1264" w:type="dxa"/>
            <w:tcBorders>
              <w:top w:val="nil"/>
              <w:left w:val="nil"/>
              <w:bottom w:val="single" w:sz="8" w:space="0" w:color="2E74B5"/>
              <w:right w:val="single" w:sz="8" w:space="0" w:color="2E74B5"/>
            </w:tcBorders>
            <w:shd w:val="clear" w:color="auto" w:fill="auto"/>
            <w:vAlign w:val="bottom"/>
          </w:tcPr>
          <w:p w14:paraId="7645C7A2"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w:t>
            </w:r>
          </w:p>
        </w:tc>
        <w:tc>
          <w:tcPr>
            <w:tcW w:w="1368" w:type="dxa"/>
            <w:tcBorders>
              <w:top w:val="nil"/>
              <w:left w:val="nil"/>
              <w:bottom w:val="single" w:sz="8" w:space="0" w:color="2E74B5"/>
              <w:right w:val="single" w:sz="8" w:space="0" w:color="2E74B5"/>
            </w:tcBorders>
            <w:shd w:val="clear" w:color="auto" w:fill="auto"/>
            <w:vAlign w:val="bottom"/>
          </w:tcPr>
          <w:p w14:paraId="6E0877FA"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18%</w:t>
            </w:r>
          </w:p>
        </w:tc>
      </w:tr>
      <w:tr w:rsidR="004E6336" w14:paraId="0108FCAF"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65207DDC"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Extremadura</w:t>
            </w:r>
          </w:p>
        </w:tc>
        <w:tc>
          <w:tcPr>
            <w:tcW w:w="1134" w:type="dxa"/>
            <w:tcBorders>
              <w:top w:val="nil"/>
              <w:left w:val="nil"/>
              <w:bottom w:val="single" w:sz="8" w:space="0" w:color="2E74B5"/>
              <w:right w:val="single" w:sz="8" w:space="0" w:color="2E74B5"/>
            </w:tcBorders>
            <w:shd w:val="clear" w:color="auto" w:fill="auto"/>
            <w:vAlign w:val="center"/>
          </w:tcPr>
          <w:p w14:paraId="2A894913"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233 €</w:t>
            </w:r>
          </w:p>
        </w:tc>
        <w:tc>
          <w:tcPr>
            <w:tcW w:w="1134" w:type="dxa"/>
            <w:tcBorders>
              <w:top w:val="nil"/>
              <w:left w:val="nil"/>
              <w:bottom w:val="single" w:sz="8" w:space="0" w:color="2E74B5"/>
              <w:right w:val="single" w:sz="8" w:space="0" w:color="2E74B5"/>
            </w:tcBorders>
            <w:shd w:val="clear" w:color="auto" w:fill="auto"/>
            <w:vAlign w:val="center"/>
          </w:tcPr>
          <w:p w14:paraId="6FC523CF"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2.801 €</w:t>
            </w:r>
          </w:p>
        </w:tc>
        <w:tc>
          <w:tcPr>
            <w:tcW w:w="1559" w:type="dxa"/>
            <w:tcBorders>
              <w:top w:val="nil"/>
              <w:left w:val="nil"/>
              <w:bottom w:val="single" w:sz="8" w:space="0" w:color="2E74B5"/>
              <w:right w:val="single" w:sz="8" w:space="0" w:color="2E74B5"/>
            </w:tcBorders>
            <w:shd w:val="clear" w:color="auto" w:fill="auto"/>
            <w:vAlign w:val="center"/>
          </w:tcPr>
          <w:p w14:paraId="78FBA818"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2.237 €</w:t>
            </w:r>
          </w:p>
        </w:tc>
        <w:tc>
          <w:tcPr>
            <w:tcW w:w="1134" w:type="dxa"/>
            <w:tcBorders>
              <w:top w:val="nil"/>
              <w:left w:val="nil"/>
              <w:bottom w:val="single" w:sz="8" w:space="0" w:color="2E74B5"/>
              <w:right w:val="single" w:sz="8" w:space="0" w:color="2E74B5"/>
            </w:tcBorders>
            <w:shd w:val="clear" w:color="auto" w:fill="auto"/>
            <w:vAlign w:val="center"/>
          </w:tcPr>
          <w:p w14:paraId="696C9023"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26.844 €</w:t>
            </w:r>
          </w:p>
        </w:tc>
        <w:tc>
          <w:tcPr>
            <w:tcW w:w="1264" w:type="dxa"/>
            <w:tcBorders>
              <w:top w:val="nil"/>
              <w:left w:val="nil"/>
              <w:bottom w:val="single" w:sz="8" w:space="0" w:color="2E74B5"/>
              <w:right w:val="single" w:sz="8" w:space="0" w:color="2E74B5"/>
            </w:tcBorders>
            <w:shd w:val="clear" w:color="auto" w:fill="auto"/>
            <w:vAlign w:val="center"/>
          </w:tcPr>
          <w:p w14:paraId="04E26C74"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368" w:type="dxa"/>
            <w:tcBorders>
              <w:top w:val="nil"/>
              <w:left w:val="nil"/>
              <w:bottom w:val="single" w:sz="8" w:space="0" w:color="2E74B5"/>
              <w:right w:val="single" w:sz="8" w:space="0" w:color="2E74B5"/>
            </w:tcBorders>
            <w:shd w:val="clear" w:color="auto" w:fill="auto"/>
            <w:vAlign w:val="center"/>
          </w:tcPr>
          <w:p w14:paraId="7D675A88"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10%</w:t>
            </w:r>
          </w:p>
        </w:tc>
      </w:tr>
      <w:tr w:rsidR="004E6336" w14:paraId="63AAB501"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50D280FE"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Galicia</w:t>
            </w:r>
          </w:p>
        </w:tc>
        <w:tc>
          <w:tcPr>
            <w:tcW w:w="1134" w:type="dxa"/>
            <w:tcBorders>
              <w:top w:val="nil"/>
              <w:left w:val="nil"/>
              <w:bottom w:val="single" w:sz="8" w:space="0" w:color="2E74B5"/>
              <w:right w:val="single" w:sz="8" w:space="0" w:color="2E74B5"/>
            </w:tcBorders>
            <w:shd w:val="clear" w:color="auto" w:fill="auto"/>
            <w:vAlign w:val="bottom"/>
          </w:tcPr>
          <w:p w14:paraId="36AB6BB0"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308 €</w:t>
            </w:r>
          </w:p>
        </w:tc>
        <w:tc>
          <w:tcPr>
            <w:tcW w:w="1134" w:type="dxa"/>
            <w:tcBorders>
              <w:top w:val="nil"/>
              <w:left w:val="nil"/>
              <w:bottom w:val="single" w:sz="8" w:space="0" w:color="2E74B5"/>
              <w:right w:val="single" w:sz="8" w:space="0" w:color="2E74B5"/>
            </w:tcBorders>
            <w:shd w:val="clear" w:color="auto" w:fill="auto"/>
            <w:vAlign w:val="bottom"/>
          </w:tcPr>
          <w:p w14:paraId="694F14F4"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3.692 €</w:t>
            </w:r>
          </w:p>
        </w:tc>
        <w:tc>
          <w:tcPr>
            <w:tcW w:w="1559" w:type="dxa"/>
            <w:tcBorders>
              <w:top w:val="nil"/>
              <w:left w:val="nil"/>
              <w:bottom w:val="single" w:sz="8" w:space="0" w:color="2E74B5"/>
              <w:right w:val="single" w:sz="8" w:space="0" w:color="2E74B5"/>
            </w:tcBorders>
            <w:shd w:val="clear" w:color="auto" w:fill="auto"/>
            <w:vAlign w:val="center"/>
          </w:tcPr>
          <w:p w14:paraId="19E3C290"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2.089 €</w:t>
            </w:r>
          </w:p>
        </w:tc>
        <w:tc>
          <w:tcPr>
            <w:tcW w:w="1134" w:type="dxa"/>
            <w:tcBorders>
              <w:top w:val="nil"/>
              <w:left w:val="nil"/>
              <w:bottom w:val="single" w:sz="8" w:space="0" w:color="2E74B5"/>
              <w:right w:val="single" w:sz="8" w:space="0" w:color="2E74B5"/>
            </w:tcBorders>
            <w:shd w:val="clear" w:color="auto" w:fill="auto"/>
            <w:vAlign w:val="center"/>
          </w:tcPr>
          <w:p w14:paraId="51ABD3B2"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25.069 €</w:t>
            </w:r>
          </w:p>
        </w:tc>
        <w:tc>
          <w:tcPr>
            <w:tcW w:w="1264" w:type="dxa"/>
            <w:tcBorders>
              <w:top w:val="nil"/>
              <w:left w:val="nil"/>
              <w:bottom w:val="single" w:sz="8" w:space="0" w:color="2E74B5"/>
              <w:right w:val="single" w:sz="8" w:space="0" w:color="2E74B5"/>
            </w:tcBorders>
            <w:shd w:val="clear" w:color="auto" w:fill="auto"/>
            <w:vAlign w:val="bottom"/>
          </w:tcPr>
          <w:p w14:paraId="47E53525"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w:t>
            </w:r>
          </w:p>
        </w:tc>
        <w:tc>
          <w:tcPr>
            <w:tcW w:w="1368" w:type="dxa"/>
            <w:tcBorders>
              <w:top w:val="nil"/>
              <w:left w:val="nil"/>
              <w:bottom w:val="single" w:sz="8" w:space="0" w:color="2E74B5"/>
              <w:right w:val="single" w:sz="8" w:space="0" w:color="2E74B5"/>
            </w:tcBorders>
            <w:shd w:val="clear" w:color="auto" w:fill="auto"/>
            <w:vAlign w:val="bottom"/>
          </w:tcPr>
          <w:p w14:paraId="3F34B258"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15%</w:t>
            </w:r>
          </w:p>
        </w:tc>
      </w:tr>
      <w:tr w:rsidR="004E6336" w14:paraId="3DE1DE60"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26EEDBCE"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La Rioja</w:t>
            </w:r>
          </w:p>
        </w:tc>
        <w:tc>
          <w:tcPr>
            <w:tcW w:w="1134" w:type="dxa"/>
            <w:tcBorders>
              <w:top w:val="nil"/>
              <w:left w:val="nil"/>
              <w:bottom w:val="single" w:sz="8" w:space="0" w:color="2E74B5"/>
              <w:right w:val="single" w:sz="8" w:space="0" w:color="2E74B5"/>
            </w:tcBorders>
            <w:shd w:val="clear" w:color="auto" w:fill="auto"/>
            <w:vAlign w:val="bottom"/>
          </w:tcPr>
          <w:p w14:paraId="34732BA7"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w:t>
            </w:r>
          </w:p>
        </w:tc>
        <w:tc>
          <w:tcPr>
            <w:tcW w:w="1134" w:type="dxa"/>
            <w:tcBorders>
              <w:top w:val="nil"/>
              <w:left w:val="nil"/>
              <w:bottom w:val="single" w:sz="8" w:space="0" w:color="2E74B5"/>
              <w:right w:val="single" w:sz="8" w:space="0" w:color="2E74B5"/>
            </w:tcBorders>
            <w:shd w:val="clear" w:color="auto" w:fill="auto"/>
            <w:vAlign w:val="bottom"/>
          </w:tcPr>
          <w:p w14:paraId="415E79E3"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w:t>
            </w:r>
          </w:p>
        </w:tc>
        <w:tc>
          <w:tcPr>
            <w:tcW w:w="1559" w:type="dxa"/>
            <w:tcBorders>
              <w:top w:val="nil"/>
              <w:left w:val="nil"/>
              <w:bottom w:val="single" w:sz="8" w:space="0" w:color="2E74B5"/>
              <w:right w:val="single" w:sz="8" w:space="0" w:color="2E74B5"/>
            </w:tcBorders>
            <w:shd w:val="clear" w:color="auto" w:fill="auto"/>
            <w:vAlign w:val="center"/>
          </w:tcPr>
          <w:p w14:paraId="6076D999"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2.162 €</w:t>
            </w:r>
          </w:p>
        </w:tc>
        <w:tc>
          <w:tcPr>
            <w:tcW w:w="1134" w:type="dxa"/>
            <w:tcBorders>
              <w:top w:val="nil"/>
              <w:left w:val="nil"/>
              <w:bottom w:val="single" w:sz="8" w:space="0" w:color="2E74B5"/>
              <w:right w:val="single" w:sz="8" w:space="0" w:color="2E74B5"/>
            </w:tcBorders>
            <w:shd w:val="clear" w:color="auto" w:fill="auto"/>
            <w:vAlign w:val="center"/>
          </w:tcPr>
          <w:p w14:paraId="4A869E25"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25.939 €</w:t>
            </w:r>
          </w:p>
        </w:tc>
        <w:tc>
          <w:tcPr>
            <w:tcW w:w="1264" w:type="dxa"/>
            <w:tcBorders>
              <w:top w:val="nil"/>
              <w:left w:val="nil"/>
              <w:bottom w:val="single" w:sz="8" w:space="0" w:color="2E74B5"/>
              <w:right w:val="single" w:sz="8" w:space="0" w:color="2E74B5"/>
            </w:tcBorders>
            <w:shd w:val="clear" w:color="auto" w:fill="auto"/>
            <w:vAlign w:val="bottom"/>
          </w:tcPr>
          <w:p w14:paraId="296DC9EF"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368" w:type="dxa"/>
            <w:tcBorders>
              <w:top w:val="nil"/>
              <w:left w:val="nil"/>
              <w:bottom w:val="single" w:sz="8" w:space="0" w:color="2E74B5"/>
              <w:right w:val="single" w:sz="8" w:space="0" w:color="2E74B5"/>
            </w:tcBorders>
            <w:shd w:val="clear" w:color="auto" w:fill="auto"/>
            <w:vAlign w:val="bottom"/>
          </w:tcPr>
          <w:p w14:paraId="73E89D27" w14:textId="77777777" w:rsidR="004E6336" w:rsidRDefault="004E6336">
            <w:pPr>
              <w:jc w:val="center"/>
              <w:rPr>
                <w:rFonts w:ascii="Open Sans" w:eastAsia="Open Sans" w:hAnsi="Open Sans" w:cs="Open Sans"/>
                <w:b/>
                <w:color w:val="000000"/>
                <w:sz w:val="20"/>
                <w:szCs w:val="20"/>
              </w:rPr>
            </w:pPr>
          </w:p>
        </w:tc>
      </w:tr>
      <w:tr w:rsidR="004E6336" w14:paraId="4D75458D"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1D1CD06F"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Madrid</w:t>
            </w:r>
          </w:p>
        </w:tc>
        <w:tc>
          <w:tcPr>
            <w:tcW w:w="1134" w:type="dxa"/>
            <w:tcBorders>
              <w:top w:val="nil"/>
              <w:left w:val="nil"/>
              <w:bottom w:val="single" w:sz="8" w:space="0" w:color="2E74B5"/>
              <w:right w:val="single" w:sz="8" w:space="0" w:color="2E74B5"/>
            </w:tcBorders>
            <w:shd w:val="clear" w:color="auto" w:fill="auto"/>
            <w:vAlign w:val="bottom"/>
          </w:tcPr>
          <w:p w14:paraId="7574F7B4"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541 €</w:t>
            </w:r>
          </w:p>
        </w:tc>
        <w:tc>
          <w:tcPr>
            <w:tcW w:w="1134" w:type="dxa"/>
            <w:tcBorders>
              <w:top w:val="nil"/>
              <w:left w:val="nil"/>
              <w:bottom w:val="single" w:sz="8" w:space="0" w:color="2E74B5"/>
              <w:right w:val="single" w:sz="8" w:space="0" w:color="2E74B5"/>
            </w:tcBorders>
            <w:shd w:val="clear" w:color="auto" w:fill="auto"/>
            <w:vAlign w:val="bottom"/>
          </w:tcPr>
          <w:p w14:paraId="234FBC3D"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6.492 €</w:t>
            </w:r>
          </w:p>
        </w:tc>
        <w:tc>
          <w:tcPr>
            <w:tcW w:w="1559" w:type="dxa"/>
            <w:tcBorders>
              <w:top w:val="nil"/>
              <w:left w:val="nil"/>
              <w:bottom w:val="single" w:sz="8" w:space="0" w:color="2E74B5"/>
              <w:right w:val="single" w:sz="8" w:space="0" w:color="2E74B5"/>
            </w:tcBorders>
            <w:shd w:val="clear" w:color="auto" w:fill="auto"/>
            <w:vAlign w:val="center"/>
          </w:tcPr>
          <w:p w14:paraId="44F52FC6"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2.236 €</w:t>
            </w:r>
          </w:p>
        </w:tc>
        <w:tc>
          <w:tcPr>
            <w:tcW w:w="1134" w:type="dxa"/>
            <w:tcBorders>
              <w:top w:val="nil"/>
              <w:left w:val="nil"/>
              <w:bottom w:val="single" w:sz="8" w:space="0" w:color="2E74B5"/>
              <w:right w:val="single" w:sz="8" w:space="0" w:color="2E74B5"/>
            </w:tcBorders>
            <w:shd w:val="clear" w:color="auto" w:fill="auto"/>
            <w:vAlign w:val="center"/>
          </w:tcPr>
          <w:p w14:paraId="0D36A0F0"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26.836 €</w:t>
            </w:r>
          </w:p>
        </w:tc>
        <w:tc>
          <w:tcPr>
            <w:tcW w:w="1264" w:type="dxa"/>
            <w:tcBorders>
              <w:top w:val="nil"/>
              <w:left w:val="nil"/>
              <w:bottom w:val="single" w:sz="8" w:space="0" w:color="2E74B5"/>
              <w:right w:val="single" w:sz="8" w:space="0" w:color="2E74B5"/>
            </w:tcBorders>
            <w:shd w:val="clear" w:color="auto" w:fill="auto"/>
            <w:vAlign w:val="bottom"/>
          </w:tcPr>
          <w:p w14:paraId="03C8E125"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w:t>
            </w:r>
          </w:p>
        </w:tc>
        <w:tc>
          <w:tcPr>
            <w:tcW w:w="1368" w:type="dxa"/>
            <w:tcBorders>
              <w:top w:val="nil"/>
              <w:left w:val="nil"/>
              <w:bottom w:val="single" w:sz="8" w:space="0" w:color="2E74B5"/>
              <w:right w:val="single" w:sz="8" w:space="0" w:color="2E74B5"/>
            </w:tcBorders>
            <w:shd w:val="clear" w:color="auto" w:fill="auto"/>
            <w:vAlign w:val="bottom"/>
          </w:tcPr>
          <w:p w14:paraId="4C7206A2"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24%</w:t>
            </w:r>
          </w:p>
        </w:tc>
      </w:tr>
      <w:tr w:rsidR="004E6336" w14:paraId="4D7A1668"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26F9FDC1"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Navarra</w:t>
            </w:r>
          </w:p>
        </w:tc>
        <w:tc>
          <w:tcPr>
            <w:tcW w:w="1134" w:type="dxa"/>
            <w:tcBorders>
              <w:top w:val="nil"/>
              <w:left w:val="nil"/>
              <w:bottom w:val="single" w:sz="8" w:space="0" w:color="2E74B5"/>
              <w:right w:val="single" w:sz="8" w:space="0" w:color="2E74B5"/>
            </w:tcBorders>
            <w:shd w:val="clear" w:color="auto" w:fill="auto"/>
            <w:vAlign w:val="bottom"/>
          </w:tcPr>
          <w:p w14:paraId="5F888C2F"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474 €</w:t>
            </w:r>
          </w:p>
        </w:tc>
        <w:tc>
          <w:tcPr>
            <w:tcW w:w="1134" w:type="dxa"/>
            <w:tcBorders>
              <w:top w:val="nil"/>
              <w:left w:val="nil"/>
              <w:bottom w:val="single" w:sz="8" w:space="0" w:color="2E74B5"/>
              <w:right w:val="single" w:sz="8" w:space="0" w:color="2E74B5"/>
            </w:tcBorders>
            <w:shd w:val="clear" w:color="auto" w:fill="auto"/>
            <w:vAlign w:val="bottom"/>
          </w:tcPr>
          <w:p w14:paraId="1476D453"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5.694 €</w:t>
            </w:r>
          </w:p>
        </w:tc>
        <w:tc>
          <w:tcPr>
            <w:tcW w:w="1559" w:type="dxa"/>
            <w:tcBorders>
              <w:top w:val="nil"/>
              <w:left w:val="nil"/>
              <w:bottom w:val="single" w:sz="8" w:space="0" w:color="2E74B5"/>
              <w:right w:val="single" w:sz="8" w:space="0" w:color="2E74B5"/>
            </w:tcBorders>
            <w:shd w:val="clear" w:color="auto" w:fill="auto"/>
            <w:vAlign w:val="center"/>
          </w:tcPr>
          <w:p w14:paraId="2DBC2130"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2.206 €</w:t>
            </w:r>
          </w:p>
        </w:tc>
        <w:tc>
          <w:tcPr>
            <w:tcW w:w="1134" w:type="dxa"/>
            <w:tcBorders>
              <w:top w:val="nil"/>
              <w:left w:val="nil"/>
              <w:bottom w:val="single" w:sz="8" w:space="0" w:color="2E74B5"/>
              <w:right w:val="single" w:sz="8" w:space="0" w:color="2E74B5"/>
            </w:tcBorders>
            <w:shd w:val="clear" w:color="auto" w:fill="auto"/>
            <w:vAlign w:val="center"/>
          </w:tcPr>
          <w:p w14:paraId="2551E849"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26.471 €</w:t>
            </w:r>
          </w:p>
        </w:tc>
        <w:tc>
          <w:tcPr>
            <w:tcW w:w="1264" w:type="dxa"/>
            <w:tcBorders>
              <w:top w:val="nil"/>
              <w:left w:val="nil"/>
              <w:bottom w:val="single" w:sz="8" w:space="0" w:color="2E74B5"/>
              <w:right w:val="single" w:sz="8" w:space="0" w:color="2E74B5"/>
            </w:tcBorders>
            <w:shd w:val="clear" w:color="auto" w:fill="auto"/>
            <w:vAlign w:val="bottom"/>
          </w:tcPr>
          <w:p w14:paraId="5248F4B0"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w:t>
            </w:r>
          </w:p>
        </w:tc>
        <w:tc>
          <w:tcPr>
            <w:tcW w:w="1368" w:type="dxa"/>
            <w:tcBorders>
              <w:top w:val="nil"/>
              <w:left w:val="nil"/>
              <w:bottom w:val="single" w:sz="8" w:space="0" w:color="2E74B5"/>
              <w:right w:val="single" w:sz="8" w:space="0" w:color="2E74B5"/>
            </w:tcBorders>
            <w:shd w:val="clear" w:color="auto" w:fill="auto"/>
            <w:vAlign w:val="bottom"/>
          </w:tcPr>
          <w:p w14:paraId="53DFD84E"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w:t>
            </w:r>
          </w:p>
        </w:tc>
      </w:tr>
      <w:tr w:rsidR="004E6336" w14:paraId="003E5804"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5FBA671A" w14:textId="77777777" w:rsidR="004E6336"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País Vasco</w:t>
            </w:r>
          </w:p>
        </w:tc>
        <w:tc>
          <w:tcPr>
            <w:tcW w:w="1134" w:type="dxa"/>
            <w:tcBorders>
              <w:top w:val="nil"/>
              <w:left w:val="nil"/>
              <w:bottom w:val="single" w:sz="8" w:space="0" w:color="2E74B5"/>
              <w:right w:val="single" w:sz="8" w:space="0" w:color="2E74B5"/>
            </w:tcBorders>
            <w:shd w:val="clear" w:color="auto" w:fill="auto"/>
            <w:vAlign w:val="bottom"/>
          </w:tcPr>
          <w:p w14:paraId="0D1229B0"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483 €</w:t>
            </w:r>
          </w:p>
        </w:tc>
        <w:tc>
          <w:tcPr>
            <w:tcW w:w="1134" w:type="dxa"/>
            <w:tcBorders>
              <w:top w:val="nil"/>
              <w:left w:val="nil"/>
              <w:bottom w:val="single" w:sz="8" w:space="0" w:color="2E74B5"/>
              <w:right w:val="single" w:sz="8" w:space="0" w:color="2E74B5"/>
            </w:tcBorders>
            <w:shd w:val="clear" w:color="auto" w:fill="auto"/>
            <w:vAlign w:val="bottom"/>
          </w:tcPr>
          <w:p w14:paraId="0CD6053B"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5.791 €</w:t>
            </w:r>
          </w:p>
        </w:tc>
        <w:tc>
          <w:tcPr>
            <w:tcW w:w="1559" w:type="dxa"/>
            <w:tcBorders>
              <w:top w:val="nil"/>
              <w:left w:val="nil"/>
              <w:bottom w:val="single" w:sz="8" w:space="0" w:color="2E74B5"/>
              <w:right w:val="single" w:sz="8" w:space="0" w:color="2E74B5"/>
            </w:tcBorders>
            <w:shd w:val="clear" w:color="auto" w:fill="auto"/>
            <w:vAlign w:val="center"/>
          </w:tcPr>
          <w:p w14:paraId="09935612"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2.286 €</w:t>
            </w:r>
          </w:p>
        </w:tc>
        <w:tc>
          <w:tcPr>
            <w:tcW w:w="1134" w:type="dxa"/>
            <w:tcBorders>
              <w:top w:val="nil"/>
              <w:left w:val="nil"/>
              <w:bottom w:val="single" w:sz="8" w:space="0" w:color="2E74B5"/>
              <w:right w:val="single" w:sz="8" w:space="0" w:color="2E74B5"/>
            </w:tcBorders>
            <w:shd w:val="clear" w:color="auto" w:fill="auto"/>
            <w:vAlign w:val="center"/>
          </w:tcPr>
          <w:p w14:paraId="7459956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27.431 €</w:t>
            </w:r>
          </w:p>
        </w:tc>
        <w:tc>
          <w:tcPr>
            <w:tcW w:w="1264" w:type="dxa"/>
            <w:tcBorders>
              <w:top w:val="nil"/>
              <w:left w:val="nil"/>
              <w:bottom w:val="single" w:sz="8" w:space="0" w:color="2E74B5"/>
              <w:right w:val="single" w:sz="8" w:space="0" w:color="2E74B5"/>
            </w:tcBorders>
            <w:shd w:val="clear" w:color="auto" w:fill="auto"/>
            <w:vAlign w:val="bottom"/>
          </w:tcPr>
          <w:p w14:paraId="2BC57858"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w:t>
            </w:r>
          </w:p>
        </w:tc>
        <w:tc>
          <w:tcPr>
            <w:tcW w:w="1368" w:type="dxa"/>
            <w:tcBorders>
              <w:top w:val="nil"/>
              <w:left w:val="nil"/>
              <w:bottom w:val="single" w:sz="8" w:space="0" w:color="2E74B5"/>
              <w:right w:val="single" w:sz="8" w:space="0" w:color="2E74B5"/>
            </w:tcBorders>
            <w:shd w:val="clear" w:color="auto" w:fill="auto"/>
            <w:vAlign w:val="bottom"/>
          </w:tcPr>
          <w:p w14:paraId="51A69F69"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w:t>
            </w:r>
          </w:p>
        </w:tc>
      </w:tr>
      <w:tr w:rsidR="004E6336" w14:paraId="33EBDD93" w14:textId="77777777">
        <w:trPr>
          <w:trHeight w:val="269"/>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72C32EE6" w14:textId="77777777" w:rsidR="004E6336"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Región de Murcia</w:t>
            </w:r>
          </w:p>
        </w:tc>
        <w:tc>
          <w:tcPr>
            <w:tcW w:w="1134" w:type="dxa"/>
            <w:tcBorders>
              <w:top w:val="nil"/>
              <w:left w:val="nil"/>
              <w:bottom w:val="single" w:sz="8" w:space="0" w:color="2E74B5"/>
              <w:right w:val="single" w:sz="8" w:space="0" w:color="2E74B5"/>
            </w:tcBorders>
            <w:shd w:val="clear" w:color="auto" w:fill="auto"/>
            <w:vAlign w:val="bottom"/>
          </w:tcPr>
          <w:p w14:paraId="44EB1628"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294 €</w:t>
            </w:r>
          </w:p>
        </w:tc>
        <w:tc>
          <w:tcPr>
            <w:tcW w:w="1134" w:type="dxa"/>
            <w:tcBorders>
              <w:top w:val="nil"/>
              <w:left w:val="nil"/>
              <w:bottom w:val="single" w:sz="8" w:space="0" w:color="2E74B5"/>
              <w:right w:val="single" w:sz="8" w:space="0" w:color="2E74B5"/>
            </w:tcBorders>
            <w:shd w:val="clear" w:color="auto" w:fill="auto"/>
            <w:vAlign w:val="bottom"/>
          </w:tcPr>
          <w:p w14:paraId="09BDD447"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3.531 €</w:t>
            </w:r>
          </w:p>
        </w:tc>
        <w:tc>
          <w:tcPr>
            <w:tcW w:w="1559" w:type="dxa"/>
            <w:tcBorders>
              <w:top w:val="nil"/>
              <w:left w:val="nil"/>
              <w:bottom w:val="single" w:sz="8" w:space="0" w:color="2E74B5"/>
              <w:right w:val="single" w:sz="8" w:space="0" w:color="2E74B5"/>
            </w:tcBorders>
            <w:shd w:val="clear" w:color="auto" w:fill="auto"/>
            <w:vAlign w:val="center"/>
          </w:tcPr>
          <w:p w14:paraId="52854FCE"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2.173 €</w:t>
            </w:r>
          </w:p>
        </w:tc>
        <w:tc>
          <w:tcPr>
            <w:tcW w:w="1134" w:type="dxa"/>
            <w:tcBorders>
              <w:top w:val="nil"/>
              <w:left w:val="nil"/>
              <w:bottom w:val="single" w:sz="8" w:space="0" w:color="2E74B5"/>
              <w:right w:val="single" w:sz="8" w:space="0" w:color="2E74B5"/>
            </w:tcBorders>
            <w:shd w:val="clear" w:color="auto" w:fill="auto"/>
            <w:vAlign w:val="center"/>
          </w:tcPr>
          <w:p w14:paraId="5F536B86"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26.077 €</w:t>
            </w:r>
          </w:p>
        </w:tc>
        <w:tc>
          <w:tcPr>
            <w:tcW w:w="1264" w:type="dxa"/>
            <w:tcBorders>
              <w:top w:val="nil"/>
              <w:left w:val="nil"/>
              <w:bottom w:val="single" w:sz="8" w:space="0" w:color="2E74B5"/>
              <w:right w:val="single" w:sz="8" w:space="0" w:color="2E74B5"/>
            </w:tcBorders>
            <w:shd w:val="clear" w:color="auto" w:fill="auto"/>
            <w:vAlign w:val="bottom"/>
          </w:tcPr>
          <w:p w14:paraId="1E50DDC8" w14:textId="77777777" w:rsidR="004E6336"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w:t>
            </w:r>
          </w:p>
        </w:tc>
        <w:tc>
          <w:tcPr>
            <w:tcW w:w="1368" w:type="dxa"/>
            <w:tcBorders>
              <w:top w:val="nil"/>
              <w:left w:val="nil"/>
              <w:bottom w:val="single" w:sz="8" w:space="0" w:color="2E74B5"/>
              <w:right w:val="single" w:sz="8" w:space="0" w:color="2E74B5"/>
            </w:tcBorders>
            <w:shd w:val="clear" w:color="auto" w:fill="auto"/>
            <w:vAlign w:val="bottom"/>
          </w:tcPr>
          <w:p w14:paraId="1F58FCED"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14%</w:t>
            </w:r>
          </w:p>
        </w:tc>
      </w:tr>
      <w:tr w:rsidR="004E6336" w14:paraId="59FEFEF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7AA02332" w14:textId="77777777" w:rsidR="004E6336" w:rsidRDefault="00000000">
            <w:pPr>
              <w:jc w:val="both"/>
              <w:rPr>
                <w:rFonts w:ascii="Open Sans" w:eastAsia="Open Sans" w:hAnsi="Open Sans" w:cs="Open Sans"/>
                <w:b/>
                <w:color w:val="000000"/>
                <w:sz w:val="20"/>
                <w:szCs w:val="20"/>
              </w:rPr>
            </w:pPr>
            <w:r>
              <w:rPr>
                <w:rFonts w:ascii="Open Sans" w:eastAsia="Open Sans" w:hAnsi="Open Sans" w:cs="Open Sans"/>
                <w:b/>
                <w:color w:val="000000"/>
                <w:sz w:val="20"/>
                <w:szCs w:val="20"/>
              </w:rPr>
              <w:t>España</w:t>
            </w:r>
          </w:p>
        </w:tc>
        <w:tc>
          <w:tcPr>
            <w:tcW w:w="1134" w:type="dxa"/>
            <w:tcBorders>
              <w:top w:val="nil"/>
              <w:left w:val="nil"/>
              <w:bottom w:val="single" w:sz="8" w:space="0" w:color="2E74B5"/>
              <w:right w:val="single" w:sz="8" w:space="0" w:color="2E74B5"/>
            </w:tcBorders>
            <w:shd w:val="clear" w:color="auto" w:fill="9CC2E5"/>
            <w:vAlign w:val="center"/>
          </w:tcPr>
          <w:p w14:paraId="6C732A59"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466 €</w:t>
            </w:r>
          </w:p>
        </w:tc>
        <w:tc>
          <w:tcPr>
            <w:tcW w:w="1134" w:type="dxa"/>
            <w:tcBorders>
              <w:top w:val="nil"/>
              <w:left w:val="nil"/>
              <w:bottom w:val="single" w:sz="8" w:space="0" w:color="2E74B5"/>
              <w:right w:val="single" w:sz="8" w:space="0" w:color="2E74B5"/>
            </w:tcBorders>
            <w:shd w:val="clear" w:color="auto" w:fill="9CC2E5"/>
            <w:vAlign w:val="center"/>
          </w:tcPr>
          <w:p w14:paraId="192C9BD5"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5.588 €</w:t>
            </w:r>
          </w:p>
        </w:tc>
        <w:tc>
          <w:tcPr>
            <w:tcW w:w="1559" w:type="dxa"/>
            <w:tcBorders>
              <w:top w:val="nil"/>
              <w:left w:val="nil"/>
              <w:bottom w:val="single" w:sz="8" w:space="0" w:color="2E74B5"/>
              <w:right w:val="single" w:sz="8" w:space="0" w:color="2E74B5"/>
            </w:tcBorders>
            <w:shd w:val="clear" w:color="auto" w:fill="9CC2E5"/>
            <w:vAlign w:val="center"/>
          </w:tcPr>
          <w:p w14:paraId="5F630BD3"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2.187 €</w:t>
            </w:r>
          </w:p>
        </w:tc>
        <w:tc>
          <w:tcPr>
            <w:tcW w:w="1134" w:type="dxa"/>
            <w:tcBorders>
              <w:top w:val="nil"/>
              <w:left w:val="nil"/>
              <w:bottom w:val="single" w:sz="8" w:space="0" w:color="2E74B5"/>
              <w:right w:val="single" w:sz="8" w:space="0" w:color="2E74B5"/>
            </w:tcBorders>
            <w:shd w:val="clear" w:color="auto" w:fill="9CC2E5"/>
            <w:vAlign w:val="center"/>
          </w:tcPr>
          <w:p w14:paraId="75C9887F"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26.245 €</w:t>
            </w:r>
          </w:p>
        </w:tc>
        <w:tc>
          <w:tcPr>
            <w:tcW w:w="1264" w:type="dxa"/>
            <w:tcBorders>
              <w:top w:val="nil"/>
              <w:left w:val="nil"/>
              <w:bottom w:val="single" w:sz="8" w:space="0" w:color="2E74B5"/>
              <w:right w:val="single" w:sz="8" w:space="0" w:color="2E74B5"/>
            </w:tcBorders>
            <w:shd w:val="clear" w:color="auto" w:fill="9CC2E5"/>
            <w:vAlign w:val="center"/>
          </w:tcPr>
          <w:p w14:paraId="4F867116"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20%</w:t>
            </w:r>
          </w:p>
        </w:tc>
        <w:tc>
          <w:tcPr>
            <w:tcW w:w="1368" w:type="dxa"/>
            <w:tcBorders>
              <w:top w:val="nil"/>
              <w:left w:val="nil"/>
              <w:bottom w:val="single" w:sz="8" w:space="0" w:color="2E74B5"/>
              <w:right w:val="single" w:sz="8" w:space="0" w:color="2E74B5"/>
            </w:tcBorders>
            <w:shd w:val="clear" w:color="auto" w:fill="9CC2E5"/>
            <w:vAlign w:val="center"/>
          </w:tcPr>
          <w:p w14:paraId="73AD4A0E" w14:textId="77777777" w:rsidR="004E6336"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w:t>
            </w:r>
          </w:p>
        </w:tc>
      </w:tr>
    </w:tbl>
    <w:p w14:paraId="2687F138" w14:textId="77777777" w:rsidR="004E6336" w:rsidRDefault="004E6336">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p>
    <w:p w14:paraId="3D96F403" w14:textId="77777777" w:rsidR="00AA5243" w:rsidRDefault="00AA5243">
      <w:pPr>
        <w:ind w:right="-574"/>
        <w:jc w:val="right"/>
        <w:rPr>
          <w:rFonts w:ascii="Open Sans Light" w:eastAsia="Open Sans Light" w:hAnsi="Open Sans Light" w:cs="Open Sans Light"/>
          <w:b/>
          <w:color w:val="303AB2"/>
        </w:rPr>
      </w:pPr>
    </w:p>
    <w:p w14:paraId="36507A1E" w14:textId="0E3C6262" w:rsidR="004E6336" w:rsidRDefault="00000000">
      <w:pPr>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Nota metodológica del análisis: </w:t>
      </w:r>
    </w:p>
    <w:p w14:paraId="48699994" w14:textId="77777777" w:rsidR="004E6336" w:rsidRDefault="004E6336">
      <w:pPr>
        <w:ind w:right="-574"/>
        <w:jc w:val="right"/>
        <w:rPr>
          <w:rFonts w:ascii="Open Sans Light" w:eastAsia="Open Sans Light" w:hAnsi="Open Sans Light" w:cs="Open Sans Light"/>
          <w:b/>
          <w:color w:val="303AB2"/>
        </w:rPr>
      </w:pPr>
    </w:p>
    <w:p w14:paraId="1635A3F3" w14:textId="77777777" w:rsidR="004E6336"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de este análisis han sido obtenidos calculando la relación entre el salario promedio bruto anual ofrecido por las empresas en InfoJobs en 2023, que según los datos del </w:t>
      </w:r>
      <w:r>
        <w:rPr>
          <w:rFonts w:ascii="Open Sans" w:eastAsia="Open Sans" w:hAnsi="Open Sans" w:cs="Open Sans"/>
          <w:sz w:val="22"/>
          <w:szCs w:val="22"/>
        </w:rPr>
        <w:t xml:space="preserve">informe </w:t>
      </w:r>
      <w:hyperlink r:id="rId21">
        <w:r>
          <w:rPr>
            <w:rFonts w:ascii="Open Sans" w:eastAsia="Open Sans" w:hAnsi="Open Sans" w:cs="Open Sans"/>
            <w:color w:val="1155CC"/>
            <w:sz w:val="22"/>
            <w:szCs w:val="22"/>
            <w:u w:val="single"/>
          </w:rPr>
          <w:t>InfoJobs-</w:t>
        </w:r>
        <w:proofErr w:type="spellStart"/>
        <w:r>
          <w:rPr>
            <w:rFonts w:ascii="Open Sans" w:eastAsia="Open Sans" w:hAnsi="Open Sans" w:cs="Open Sans"/>
            <w:color w:val="1155CC"/>
            <w:sz w:val="22"/>
            <w:szCs w:val="22"/>
            <w:u w:val="single"/>
          </w:rPr>
          <w:t>Esade</w:t>
        </w:r>
        <w:proofErr w:type="spellEnd"/>
        <w:r>
          <w:rPr>
            <w:rFonts w:ascii="Open Sans" w:eastAsia="Open Sans" w:hAnsi="Open Sans" w:cs="Open Sans"/>
            <w:color w:val="1155CC"/>
            <w:sz w:val="22"/>
            <w:szCs w:val="22"/>
            <w:u w:val="single"/>
          </w:rPr>
          <w:t xml:space="preserve"> </w:t>
        </w:r>
      </w:hyperlink>
      <w:hyperlink r:id="rId22">
        <w:r>
          <w:rPr>
            <w:rFonts w:ascii="Open Sans" w:eastAsia="Open Sans" w:hAnsi="Open Sans" w:cs="Open Sans"/>
            <w:i/>
            <w:color w:val="1155CC"/>
            <w:sz w:val="22"/>
            <w:szCs w:val="22"/>
            <w:u w:val="single"/>
          </w:rPr>
          <w:t>Estado del  mercado laboral en España</w:t>
        </w:r>
      </w:hyperlink>
      <w:r>
        <w:rPr>
          <w:rFonts w:ascii="Open Sans" w:eastAsia="Open Sans" w:hAnsi="Open Sans" w:cs="Open Sans"/>
          <w:color w:val="000000"/>
          <w:sz w:val="22"/>
          <w:szCs w:val="22"/>
        </w:rPr>
        <w:t xml:space="preserve">  se situaba en 26.</w:t>
      </w:r>
      <w:r>
        <w:rPr>
          <w:rFonts w:ascii="Open Sans" w:eastAsia="Open Sans" w:hAnsi="Open Sans" w:cs="Open Sans"/>
          <w:sz w:val="22"/>
          <w:szCs w:val="22"/>
        </w:rPr>
        <w:t>24</w:t>
      </w:r>
      <w:r>
        <w:rPr>
          <w:rFonts w:ascii="Open Sans" w:eastAsia="Open Sans" w:hAnsi="Open Sans" w:cs="Open Sans"/>
          <w:color w:val="000000"/>
          <w:sz w:val="22"/>
          <w:szCs w:val="22"/>
        </w:rPr>
        <w:t xml:space="preserve">5 euros anuales, y el precio medio de vivienda, que calcula el portal Fotocasa a través de su índice inmobiliario desde hace más de 17 años. Más concretamente, se refiere al alquiler de una habitación en piso compartido que en diciembre de 2023 se situaba de media en los 466 € al mes. </w:t>
      </w:r>
    </w:p>
    <w:p w14:paraId="22DF6B4F" w14:textId="77777777" w:rsidR="004E6336" w:rsidRDefault="004E6336">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428A1680" w14:textId="77777777" w:rsidR="004E6336" w:rsidRDefault="004E6336">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468DF88D" w14:textId="77777777" w:rsidR="004E6336" w:rsidRDefault="00000000">
      <w:pPr>
        <w:pBdr>
          <w:top w:val="nil"/>
          <w:left w:val="nil"/>
          <w:bottom w:val="nil"/>
          <w:right w:val="nil"/>
          <w:between w:val="nil"/>
        </w:pBdr>
        <w:shd w:val="clear" w:color="auto" w:fill="FFFFFF"/>
        <w:spacing w:line="276" w:lineRule="auto"/>
        <w:ind w:right="-574"/>
        <w:jc w:val="right"/>
        <w:rPr>
          <w:rFonts w:ascii="Open Sans" w:eastAsia="Open Sans" w:hAnsi="Open Sans" w:cs="Open Sans"/>
          <w:sz w:val="22"/>
          <w:szCs w:val="22"/>
          <w:u w:val="single"/>
        </w:rPr>
      </w:pPr>
      <w:r>
        <w:rPr>
          <w:rFonts w:ascii="Open Sans Light" w:eastAsia="Open Sans Light" w:hAnsi="Open Sans Light" w:cs="Open Sans Light"/>
          <w:b/>
          <w:color w:val="303AB2"/>
        </w:rPr>
        <w:lastRenderedPageBreak/>
        <w:t xml:space="preserve">Metodología informe </w:t>
      </w:r>
      <w:r>
        <w:rPr>
          <w:rFonts w:ascii="Open Sans Light" w:eastAsia="Open Sans Light" w:hAnsi="Open Sans Light" w:cs="Open Sans Light"/>
          <w:b/>
          <w:i/>
          <w:color w:val="303AB2"/>
        </w:rPr>
        <w:t>Estado del mercado laboral en España 2023</w:t>
      </w:r>
      <w:r>
        <w:rPr>
          <w:rFonts w:ascii="Open Sans Light" w:eastAsia="Open Sans Light" w:hAnsi="Open Sans Light" w:cs="Open Sans Light"/>
          <w:b/>
          <w:color w:val="303AB2"/>
        </w:rPr>
        <w:t>:</w:t>
      </w:r>
    </w:p>
    <w:p w14:paraId="4F852113" w14:textId="77777777" w:rsidR="004E6336" w:rsidRDefault="004E6336">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4152A64D" w14:textId="77777777" w:rsidR="004E6336"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información relativa a vacantes, candidatos/as, competencia y salarios reflejada en el informe proviene íntegramente de las bases de datos de InfoJobs. El portal de empleo ha ejecutado durante 2023 una profunda revisión, actualización y mejora de la metodología de captación de datos. </w:t>
      </w:r>
    </w:p>
    <w:p w14:paraId="1AC2ADFE" w14:textId="77777777" w:rsidR="004E6336"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 cambio metodológico, tras una trayectoria de más de 10 años analizando la evolución del mercado laboral español, que ha permitido incorporar nuevas variables antes no contempladas. También se han añadido segmentaciones y cruces de variables que dotan al análisis de más profundidad, riqueza y granularidad.</w:t>
      </w:r>
    </w:p>
    <w:p w14:paraId="3999B0D5" w14:textId="77777777" w:rsidR="004E6336"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Para poder abordar este cambio se ha establecido una nueva serie estadística, para la que se ha fijado el ejercicio 2019 como punto de partida para disponer de un evolutivo lo suficientemente sólido. En consecuencia, los datos desde 2019 a 2022 reflejados en el presente informe no son coincidentes con los de anteriores ediciones.</w:t>
      </w:r>
    </w:p>
    <w:p w14:paraId="5821A0C3" w14:textId="77777777" w:rsidR="004E6336" w:rsidRDefault="004E6336">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1D213A53" w14:textId="77777777" w:rsidR="004E6336" w:rsidRDefault="004E6336">
      <w:pPr>
        <w:pBdr>
          <w:top w:val="nil"/>
          <w:left w:val="nil"/>
          <w:bottom w:val="nil"/>
          <w:right w:val="nil"/>
          <w:between w:val="nil"/>
        </w:pBdr>
        <w:shd w:val="clear" w:color="auto" w:fill="FFFFFF"/>
        <w:ind w:right="-574"/>
        <w:jc w:val="both"/>
        <w:rPr>
          <w:rFonts w:ascii="Open Sans" w:eastAsia="Open Sans" w:hAnsi="Open Sans" w:cs="Open Sans"/>
          <w:color w:val="000000"/>
          <w:sz w:val="22"/>
          <w:szCs w:val="22"/>
        </w:rPr>
      </w:pPr>
    </w:p>
    <w:p w14:paraId="1EC741B2" w14:textId="77777777" w:rsidR="004E6336"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D2FFE56" w14:textId="77777777" w:rsidR="004E6336" w:rsidRDefault="00000000">
      <w:pPr>
        <w:spacing w:line="276" w:lineRule="auto"/>
        <w:ind w:right="-574"/>
        <w:jc w:val="both"/>
        <w:rPr>
          <w:rFonts w:ascii="Open Sans" w:eastAsia="Open Sans" w:hAnsi="Open Sans" w:cs="Open Sans"/>
          <w:color w:val="222222"/>
          <w:sz w:val="22"/>
          <w:szCs w:val="22"/>
        </w:rPr>
      </w:pPr>
      <w:r>
        <w:rPr>
          <w:rFonts w:ascii="Open Sans" w:eastAsia="Open Sans" w:hAnsi="Open Sans" w:cs="Open Sans"/>
          <w:color w:val="000000"/>
          <w:sz w:val="22"/>
          <w:szCs w:val="22"/>
        </w:rPr>
        <w:t>Portal inmobiliario que cuenta con inmuebles de segunda mano, promociones de obra nueva y viviendas de alquiler. Mensualmente elabora el </w:t>
      </w:r>
      <w:hyperlink r:id="rId2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Además, desde hace varios años cuenta con un consolidado departamento de estudios, bajo el nombre de </w:t>
      </w:r>
      <w:hyperlink r:id="rId24">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que analizan los cambios y tendencias del sector inmobiliario. </w:t>
      </w:r>
    </w:p>
    <w:p w14:paraId="153D1DAF" w14:textId="77777777" w:rsidR="004E6336" w:rsidRDefault="004E6336">
      <w:pPr>
        <w:spacing w:line="276" w:lineRule="auto"/>
        <w:ind w:right="-574"/>
        <w:jc w:val="right"/>
        <w:rPr>
          <w:rFonts w:ascii="Open Sans Light" w:eastAsia="Open Sans Light" w:hAnsi="Open Sans Light" w:cs="Open Sans Light"/>
          <w:b/>
          <w:color w:val="303AB2"/>
        </w:rPr>
      </w:pPr>
    </w:p>
    <w:p w14:paraId="03E8EAFF" w14:textId="77777777" w:rsidR="004E6336"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198BEDD7" w14:textId="77777777" w:rsidR="004E6336" w:rsidRDefault="00000000">
      <w:pPr>
        <w:spacing w:line="276" w:lineRule="auto"/>
        <w:ind w:right="-574"/>
        <w:jc w:val="both"/>
        <w:rPr>
          <w:rFonts w:ascii="Open Sans" w:eastAsia="Open Sans" w:hAnsi="Open Sans" w:cs="Open Sans"/>
          <w:color w:val="000000"/>
          <w:sz w:val="22"/>
          <w:szCs w:val="22"/>
          <w:highlight w:val="white"/>
        </w:rPr>
      </w:pPr>
      <w:r>
        <w:rPr>
          <w:rFonts w:ascii="Open Sans" w:eastAsia="Open Sans" w:hAnsi="Open Sans" w:cs="Open Sans"/>
          <w:color w:val="000000"/>
          <w:sz w:val="22"/>
          <w:szCs w:val="22"/>
          <w:highlight w:val="white"/>
        </w:rPr>
        <w:t xml:space="preserve">Plataforma líder en España para encontrar las mejores oportunidades profesionales y el mejor talento. En el último año, InfoJobs ha publicado </w:t>
      </w:r>
      <w:r>
        <w:rPr>
          <w:rFonts w:ascii="Open Sans" w:eastAsia="Open Sans" w:hAnsi="Open Sans" w:cs="Open Sans"/>
          <w:sz w:val="22"/>
          <w:szCs w:val="22"/>
          <w:highlight w:val="white"/>
        </w:rPr>
        <w:t>2,5</w:t>
      </w:r>
      <w:r>
        <w:rPr>
          <w:rFonts w:ascii="Open Sans" w:eastAsia="Open Sans" w:hAnsi="Open Sans" w:cs="Open Sans"/>
          <w:color w:val="000000"/>
          <w:sz w:val="22"/>
          <w:szCs w:val="22"/>
          <w:highlight w:val="white"/>
        </w:rPr>
        <w:t xml:space="preserve"> millones de posiciones vacantes. Cuenta cada mes con 40 millones de visitas (más del 80% proceden de dispositivos móviles) y </w:t>
      </w:r>
      <w:r>
        <w:rPr>
          <w:rFonts w:ascii="Open Sans" w:eastAsia="Open Sans" w:hAnsi="Open Sans" w:cs="Open Sans"/>
          <w:sz w:val="22"/>
          <w:szCs w:val="22"/>
          <w:highlight w:val="white"/>
        </w:rPr>
        <w:t>1,2 millones de usuarios únicos mensuales</w:t>
      </w:r>
      <w:r>
        <w:rPr>
          <w:rFonts w:ascii="Open Sans" w:eastAsia="Open Sans" w:hAnsi="Open Sans" w:cs="Open Sans"/>
          <w:color w:val="000000"/>
          <w:sz w:val="22"/>
          <w:szCs w:val="22"/>
          <w:highlight w:val="white"/>
        </w:rPr>
        <w:t>. Gracias a InfoJ</w:t>
      </w:r>
      <w:r>
        <w:rPr>
          <w:rFonts w:ascii="Open Sans" w:eastAsia="Open Sans" w:hAnsi="Open Sans" w:cs="Open Sans"/>
          <w:sz w:val="22"/>
          <w:szCs w:val="22"/>
          <w:highlight w:val="white"/>
        </w:rPr>
        <w:t>o</w:t>
      </w:r>
      <w:r>
        <w:rPr>
          <w:rFonts w:ascii="Open Sans" w:eastAsia="Open Sans" w:hAnsi="Open Sans" w:cs="Open Sans"/>
          <w:color w:val="000000"/>
          <w:sz w:val="22"/>
          <w:szCs w:val="22"/>
          <w:highlight w:val="white"/>
        </w:rPr>
        <w:t xml:space="preserve">bs se firma un nuevo contrato de trabajo cada </w:t>
      </w:r>
      <w:r>
        <w:rPr>
          <w:rFonts w:ascii="Open Sans" w:eastAsia="Open Sans" w:hAnsi="Open Sans" w:cs="Open Sans"/>
          <w:sz w:val="22"/>
          <w:szCs w:val="22"/>
          <w:highlight w:val="white"/>
        </w:rPr>
        <w:t>24</w:t>
      </w:r>
      <w:r>
        <w:rPr>
          <w:rFonts w:ascii="Open Sans" w:eastAsia="Open Sans" w:hAnsi="Open Sans" w:cs="Open Sans"/>
          <w:color w:val="000000"/>
          <w:sz w:val="22"/>
          <w:szCs w:val="22"/>
          <w:highlight w:val="white"/>
        </w:rPr>
        <w:t xml:space="preserve"> segundos.</w:t>
      </w:r>
    </w:p>
    <w:p w14:paraId="2830033C" w14:textId="77777777" w:rsidR="004E6336" w:rsidRDefault="004E6336">
      <w:pPr>
        <w:spacing w:line="276" w:lineRule="auto"/>
        <w:ind w:right="-574"/>
        <w:jc w:val="both"/>
        <w:rPr>
          <w:rFonts w:ascii="Open Sans" w:eastAsia="Open Sans" w:hAnsi="Open Sans" w:cs="Open Sans"/>
          <w:sz w:val="22"/>
          <w:szCs w:val="22"/>
          <w:highlight w:val="white"/>
        </w:rPr>
      </w:pPr>
    </w:p>
    <w:p w14:paraId="54F8DC21" w14:textId="77777777" w:rsidR="004E6336" w:rsidRDefault="004E6336">
      <w:pPr>
        <w:spacing w:line="276" w:lineRule="auto"/>
        <w:ind w:right="-574"/>
        <w:jc w:val="both"/>
        <w:rPr>
          <w:rFonts w:ascii="Open Sans" w:eastAsia="Open Sans" w:hAnsi="Open Sans" w:cs="Open Sans"/>
          <w:color w:val="000000"/>
          <w:sz w:val="22"/>
          <w:szCs w:val="22"/>
        </w:rPr>
      </w:pPr>
    </w:p>
    <w:p w14:paraId="6A21B4D4" w14:textId="77777777" w:rsidR="004E6336" w:rsidRDefault="00000000">
      <w:pPr>
        <w:spacing w:line="276" w:lineRule="auto"/>
        <w:ind w:right="-574"/>
        <w:jc w:val="both"/>
        <w:rPr>
          <w:rFonts w:ascii="Open Sans" w:eastAsia="Open Sans" w:hAnsi="Open Sans" w:cs="Open Sans"/>
          <w:sz w:val="22"/>
          <w:szCs w:val="22"/>
        </w:rPr>
      </w:pPr>
      <w:hyperlink r:id="rId25">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e </w:t>
      </w:r>
      <w:hyperlink r:id="rId26">
        <w:r>
          <w:rPr>
            <w:rFonts w:ascii="Open Sans" w:eastAsia="Open Sans" w:hAnsi="Open Sans" w:cs="Open Sans"/>
            <w:b/>
            <w:color w:val="0000FF"/>
            <w:sz w:val="22"/>
            <w:szCs w:val="22"/>
            <w:u w:val="single"/>
          </w:rPr>
          <w:t>InfoJobs</w:t>
        </w:r>
      </w:hyperlink>
      <w:r>
        <w:rPr>
          <w:rFonts w:ascii="Open Sans" w:eastAsia="Open Sans" w:hAnsi="Open Sans" w:cs="Open Sans"/>
          <w:sz w:val="22"/>
          <w:szCs w:val="22"/>
        </w:rPr>
        <w:t xml:space="preserve"> pertenecen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7">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proofErr w:type="spellStart"/>
      <w:r>
        <w:fldChar w:fldCharType="begin"/>
      </w:r>
      <w:r>
        <w:instrText>HYPERLINK "https://www.habitaclia.com/" \h</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empleo (</w:t>
      </w:r>
      <w:hyperlink r:id="rId28">
        <w:r>
          <w:rPr>
            <w:rFonts w:ascii="Open Sans" w:eastAsia="Open Sans" w:hAnsi="Open Sans" w:cs="Open Sans"/>
            <w:color w:val="0000FF"/>
            <w:sz w:val="22"/>
            <w:szCs w:val="22"/>
            <w:u w:val="single"/>
          </w:rPr>
          <w:t>InfoJobs</w:t>
        </w:r>
      </w:hyperlink>
      <w:r>
        <w:rPr>
          <w:rFonts w:ascii="Open Sans" w:eastAsia="Open Sans" w:hAnsi="Open Sans" w:cs="Open Sans"/>
          <w:sz w:val="22"/>
          <w:szCs w:val="22"/>
        </w:rPr>
        <w:t>), motor (</w:t>
      </w:r>
      <w:hyperlink r:id="rId29">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30">
        <w:r>
          <w:rPr>
            <w:rFonts w:ascii="Open Sans" w:eastAsia="Open Sans" w:hAnsi="Open Sans" w:cs="Open Sans"/>
            <w:color w:val="0000FF"/>
            <w:sz w:val="22"/>
            <w:szCs w:val="22"/>
            <w:u w:val="single"/>
          </w:rPr>
          <w:t>motos.ne</w:t>
        </w:r>
      </w:hyperlink>
      <w:r>
        <w:rPr>
          <w:rFonts w:ascii="Open Sans" w:eastAsia="Open Sans" w:hAnsi="Open Sans" w:cs="Open Sans"/>
          <w:sz w:val="22"/>
          <w:szCs w:val="22"/>
        </w:rPr>
        <w:t>t) y compraventa de artículos de segunda mano (</w:t>
      </w:r>
      <w:proofErr w:type="spellStart"/>
      <w:r>
        <w:fldChar w:fldCharType="begin"/>
      </w:r>
      <w:r>
        <w:instrText>HYPERLINK "https://www.milanuncios.es/" \h</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w:t>
      </w:r>
    </w:p>
    <w:p w14:paraId="2A2316DD" w14:textId="77777777" w:rsidR="004E6336" w:rsidRDefault="00000000">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w:t>
      </w:r>
      <w:r>
        <w:rPr>
          <w:rFonts w:ascii="Open Sans" w:eastAsia="Open Sans" w:hAnsi="Open Sans" w:cs="Open Sans"/>
          <w:sz w:val="22"/>
          <w:szCs w:val="22"/>
        </w:rPr>
        <w:t>1</w:t>
      </w:r>
      <w:r>
        <w:rPr>
          <w:rFonts w:ascii="Open Sans" w:eastAsia="Open Sans" w:hAnsi="Open Sans" w:cs="Open Sans"/>
          <w:color w:val="000000"/>
          <w:sz w:val="22"/>
          <w:szCs w:val="22"/>
        </w:rPr>
        <w:t>00 personas comprometidas con fomentar un cambio positivo en el mundo a través de tecnología innovadora, otorgando una nueva oportunidad a quienes la están buscando y dando a las cosas una segunda vida.</w:t>
      </w:r>
    </w:p>
    <w:p w14:paraId="1F30DAB4" w14:textId="77777777" w:rsidR="004E6336" w:rsidRDefault="00000000">
      <w:pPr>
        <w:spacing w:before="143" w:after="200"/>
        <w:ind w:right="-574"/>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3042EAA2" w14:textId="77777777" w:rsidR="004E6336" w:rsidRDefault="00000000">
      <w:pPr>
        <w:spacing w:after="16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1">
        <w:r>
          <w:rPr>
            <w:rFonts w:ascii="Open Sans" w:eastAsia="Open Sans" w:hAnsi="Open Sans" w:cs="Open Sans"/>
            <w:color w:val="1155CC"/>
            <w:sz w:val="22"/>
            <w:szCs w:val="22"/>
            <w:u w:val="single"/>
          </w:rPr>
          <w:t>adevinta.es</w:t>
        </w:r>
      </w:hyperlink>
    </w:p>
    <w:p w14:paraId="12300805" w14:textId="4668BA69" w:rsidR="004E6336" w:rsidRDefault="00000000">
      <w:pPr>
        <w:pBdr>
          <w:top w:val="nil"/>
          <w:left w:val="nil"/>
          <w:bottom w:val="nil"/>
          <w:right w:val="nil"/>
          <w:between w:val="nil"/>
        </w:pBdr>
        <w:shd w:val="clear" w:color="auto" w:fill="FFFFFF"/>
        <w:spacing w:before="280" w:line="276" w:lineRule="auto"/>
        <w:ind w:right="-567"/>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57B06003" w14:textId="77777777" w:rsidR="004E6336" w:rsidRDefault="00000000">
      <w:pPr>
        <w:pBdr>
          <w:top w:val="nil"/>
          <w:left w:val="nil"/>
          <w:bottom w:val="nil"/>
          <w:right w:val="nil"/>
          <w:between w:val="nil"/>
        </w:pBdr>
        <w:shd w:val="clear" w:color="auto" w:fill="FFFFFF"/>
        <w:spacing w:line="276" w:lineRule="auto"/>
        <w:ind w:right="-567"/>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246035C6" w14:textId="77777777" w:rsidR="004E6336" w:rsidRDefault="00000000">
      <w:pPr>
        <w:pBdr>
          <w:top w:val="nil"/>
          <w:left w:val="nil"/>
          <w:bottom w:val="nil"/>
          <w:right w:val="nil"/>
          <w:between w:val="nil"/>
        </w:pBdr>
        <w:shd w:val="clear" w:color="auto" w:fill="FFFFFF"/>
        <w:spacing w:line="276" w:lineRule="auto"/>
        <w:ind w:right="-567"/>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19FBA8E0" w14:textId="77777777" w:rsidR="004E6336"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2">
        <w:r>
          <w:rPr>
            <w:rFonts w:ascii="Open Sans" w:eastAsia="Open Sans" w:hAnsi="Open Sans" w:cs="Open Sans"/>
            <w:color w:val="0000FF"/>
            <w:sz w:val="21"/>
            <w:szCs w:val="21"/>
            <w:u w:val="single"/>
          </w:rPr>
          <w:t>comunicacion@fotocasa.es</w:t>
        </w:r>
      </w:hyperlink>
    </w:p>
    <w:p w14:paraId="668A58D6" w14:textId="77777777" w:rsidR="004E6336"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3">
        <w:r>
          <w:rPr>
            <w:rFonts w:ascii="Open Sans" w:eastAsia="Open Sans" w:hAnsi="Open Sans" w:cs="Open Sans"/>
            <w:color w:val="0000FF"/>
            <w:sz w:val="21"/>
            <w:szCs w:val="21"/>
            <w:u w:val="single"/>
          </w:rPr>
          <w:t>http://prensa.fotocasa.es</w:t>
        </w:r>
      </w:hyperlink>
    </w:p>
    <w:p w14:paraId="647F042C" w14:textId="77777777" w:rsidR="004E6336" w:rsidRDefault="004E6336">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p>
    <w:p w14:paraId="77D0048A" w14:textId="77777777" w:rsidR="004E6336" w:rsidRDefault="00000000">
      <w:pPr>
        <w:shd w:val="clear" w:color="auto" w:fill="FFFFFF"/>
        <w:spacing w:before="280" w:line="276" w:lineRule="auto"/>
        <w:ind w:right="-567"/>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InfoJobs</w:t>
      </w:r>
    </w:p>
    <w:p w14:paraId="024B2C4E" w14:textId="77777777" w:rsidR="004E6336"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18EF5DB7" w14:textId="77777777" w:rsidR="004E6336"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 xml:space="preserve">Marc </w:t>
      </w:r>
      <w:proofErr w:type="spellStart"/>
      <w:r>
        <w:rPr>
          <w:rFonts w:ascii="Open Sans" w:eastAsia="Open Sans" w:hAnsi="Open Sans" w:cs="Open Sans"/>
          <w:b/>
          <w:sz w:val="21"/>
          <w:szCs w:val="21"/>
          <w:highlight w:val="white"/>
        </w:rPr>
        <w:t>Vizcarro</w:t>
      </w:r>
      <w:proofErr w:type="spellEnd"/>
      <w:r>
        <w:rPr>
          <w:rFonts w:ascii="Open Sans" w:eastAsia="Open Sans" w:hAnsi="Open Sans" w:cs="Open Sans"/>
          <w:b/>
          <w:sz w:val="21"/>
          <w:szCs w:val="21"/>
          <w:highlight w:val="white"/>
        </w:rPr>
        <w:t xml:space="preserve"> / Andrea Vallejo</w:t>
      </w:r>
    </w:p>
    <w:p w14:paraId="31EB03DC" w14:textId="77777777" w:rsidR="004E6336" w:rsidRDefault="00000000">
      <w:pPr>
        <w:shd w:val="clear" w:color="auto" w:fill="FFFFFF"/>
        <w:ind w:right="-567"/>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1FFFD941" w14:textId="77777777" w:rsidR="004E6336" w:rsidRDefault="00000000">
      <w:pPr>
        <w:shd w:val="clear" w:color="auto" w:fill="FFFFFF"/>
        <w:spacing w:line="276" w:lineRule="auto"/>
        <w:ind w:right="-574"/>
        <w:rPr>
          <w:rFonts w:ascii="Open Sans" w:eastAsia="Open Sans" w:hAnsi="Open Sans" w:cs="Open Sans"/>
          <w:sz w:val="21"/>
          <w:szCs w:val="21"/>
          <w:highlight w:val="white"/>
        </w:rPr>
      </w:pPr>
      <w:hyperlink r:id="rId34">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353E4D48" w14:textId="77777777" w:rsidR="004E6336" w:rsidRDefault="004E6336">
      <w:pPr>
        <w:shd w:val="clear" w:color="auto" w:fill="FFFFFF"/>
        <w:spacing w:line="276" w:lineRule="auto"/>
        <w:ind w:right="-574"/>
        <w:rPr>
          <w:rFonts w:ascii="Open Sans" w:eastAsia="Open Sans" w:hAnsi="Open Sans" w:cs="Open Sans"/>
          <w:sz w:val="21"/>
          <w:szCs w:val="21"/>
        </w:rPr>
      </w:pPr>
    </w:p>
    <w:p w14:paraId="3227A59D" w14:textId="77777777" w:rsidR="004E6336" w:rsidRDefault="004E6336">
      <w:pPr>
        <w:spacing w:line="276" w:lineRule="auto"/>
        <w:ind w:right="-574"/>
        <w:jc w:val="right"/>
        <w:rPr>
          <w:rFonts w:ascii="Open Sans" w:eastAsia="Open Sans" w:hAnsi="Open Sans" w:cs="Open Sans"/>
          <w:sz w:val="21"/>
          <w:szCs w:val="21"/>
        </w:rPr>
      </w:pPr>
    </w:p>
    <w:sectPr w:rsidR="004E6336">
      <w:headerReference w:type="default" r:id="rId35"/>
      <w:footerReference w:type="default" r:id="rId36"/>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7FE36" w14:textId="77777777" w:rsidR="008F7A2B" w:rsidRDefault="008F7A2B">
      <w:r>
        <w:separator/>
      </w:r>
    </w:p>
  </w:endnote>
  <w:endnote w:type="continuationSeparator" w:id="0">
    <w:p w14:paraId="1E442BCB" w14:textId="77777777" w:rsidR="008F7A2B" w:rsidRDefault="008F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93F5429-3E71-4365-84E3-1D46B8A9F3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74EDC0-9E43-42CE-B250-D771AA1B9351}"/>
    <w:embedBold r:id="rId3" w:fontKey="{66F4970C-F5BD-49BF-ABBA-B0E1B8E6ECD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BE2411A-0E18-4A02-8756-6E1E49B2AD06}"/>
  </w:font>
  <w:font w:name="Georgia">
    <w:panose1 w:val="02040502050405020303"/>
    <w:charset w:val="00"/>
    <w:family w:val="roman"/>
    <w:pitch w:val="variable"/>
    <w:sig w:usb0="00000287" w:usb1="00000000" w:usb2="00000000" w:usb3="00000000" w:csb0="0000009F" w:csb1="00000000"/>
    <w:embedRegular r:id="rId5" w:fontKey="{74C0E973-919C-4F39-92C2-6A39D3B84D46}"/>
    <w:embedItalic r:id="rId6" w:fontKey="{ABB89F2B-644C-4913-86CA-80FAB903B72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768D81F-91F4-4190-97D6-5297D58DA03D}"/>
    <w:embedBold r:id="rId8" w:fontKey="{9A3F0B8A-E574-4931-B141-72E40C4D468C}"/>
    <w:embedItalic r:id="rId9" w:fontKey="{8A17A81B-383F-49E4-8BC3-1ADDBC2666AA}"/>
    <w:embedBoldItalic r:id="rId10" w:fontKey="{D4E18896-764B-459D-ADF0-F521E6330B86}"/>
  </w:font>
  <w:font w:name="Open Sans Light">
    <w:charset w:val="00"/>
    <w:family w:val="swiss"/>
    <w:pitch w:val="variable"/>
    <w:sig w:usb0="E00002EF" w:usb1="4000205B" w:usb2="00000028" w:usb3="00000000" w:csb0="0000019F" w:csb1="00000000"/>
    <w:embedRegular r:id="rId11" w:fontKey="{ABB3197F-75EA-4FB8-B59C-DCBFB2362D1F}"/>
    <w:embedBold r:id="rId12" w:fontKey="{14369D73-5835-4FCD-9001-1C6CD84E5113}"/>
    <w:embedBoldItalic r:id="rId13" w:fontKey="{DEE20D73-D319-45FA-9D82-951B2FB0F4BD}"/>
  </w:font>
  <w:font w:name="Calibri Light">
    <w:panose1 w:val="020F0302020204030204"/>
    <w:charset w:val="00"/>
    <w:family w:val="swiss"/>
    <w:pitch w:val="variable"/>
    <w:sig w:usb0="E4002EFF" w:usb1="C000247B" w:usb2="00000009" w:usb3="00000000" w:csb0="000001FF" w:csb1="00000000"/>
    <w:embedRegular r:id="rId14" w:fontKey="{603EBC69-A592-4A11-A7E6-7F89412C28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680BB" w14:textId="77777777" w:rsidR="004E633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2CD9561C" wp14:editId="28C943F2">
          <wp:simplePos x="0" y="0"/>
          <wp:positionH relativeFrom="column">
            <wp:posOffset>-1068065</wp:posOffset>
          </wp:positionH>
          <wp:positionV relativeFrom="paragraph">
            <wp:posOffset>174608</wp:posOffset>
          </wp:positionV>
          <wp:extent cx="7670550" cy="451315"/>
          <wp:effectExtent l="0" t="0" r="0" b="0"/>
          <wp:wrapSquare wrapText="bothSides" distT="0" distB="0" distL="0" distR="0"/>
          <wp:docPr id="17155144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5D0A8" w14:textId="77777777" w:rsidR="008F7A2B" w:rsidRDefault="008F7A2B">
      <w:r>
        <w:separator/>
      </w:r>
    </w:p>
  </w:footnote>
  <w:footnote w:type="continuationSeparator" w:id="0">
    <w:p w14:paraId="2C9F5408" w14:textId="77777777" w:rsidR="008F7A2B" w:rsidRDefault="008F7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2D19" w14:textId="77777777" w:rsidR="004E6336" w:rsidRDefault="00000000">
    <w:pPr>
      <w:pBdr>
        <w:top w:val="nil"/>
        <w:left w:val="nil"/>
        <w:bottom w:val="nil"/>
        <w:right w:val="nil"/>
        <w:between w:val="nil"/>
      </w:pBdr>
      <w:tabs>
        <w:tab w:val="center" w:pos="4252"/>
        <w:tab w:val="right" w:pos="8504"/>
      </w:tabs>
      <w:rPr>
        <w:color w:val="000000"/>
      </w:rPr>
    </w:pPr>
    <w:r>
      <w:rPr>
        <w:color w:val="000000"/>
      </w:rPr>
      <w:t xml:space="preserve">                                               </w:t>
    </w:r>
    <w:r>
      <w:rPr>
        <w:rFonts w:ascii="National" w:eastAsia="National" w:hAnsi="National" w:cs="National"/>
        <w:b/>
        <w:color w:val="303AB2"/>
        <w:sz w:val="32"/>
        <w:szCs w:val="32"/>
      </w:rPr>
      <w:t>#InformeInfoJobsFotocasa</w:t>
    </w:r>
  </w:p>
  <w:p w14:paraId="4040C7D0" w14:textId="77777777" w:rsidR="004E6336" w:rsidRDefault="004E633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03A2B"/>
    <w:multiLevelType w:val="multilevel"/>
    <w:tmpl w:val="9B987F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4270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336"/>
    <w:rsid w:val="000D0D42"/>
    <w:rsid w:val="004E6336"/>
    <w:rsid w:val="00727205"/>
    <w:rsid w:val="008F7A2B"/>
    <w:rsid w:val="00947FB4"/>
    <w:rsid w:val="00A4085C"/>
    <w:rsid w:val="00AA52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14641"/>
  <w15:docId w15:val="{B93BACC4-23F1-4D68-858C-6F09A0D9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5A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3"/>
    <w:tblPr>
      <w:tblStyleRowBandSize w:val="1"/>
      <w:tblStyleColBandSize w:val="1"/>
      <w:tblCellMar>
        <w:left w:w="70" w:type="dxa"/>
        <w:right w:w="70" w:type="dxa"/>
      </w:tblCellMar>
    </w:tblPr>
  </w:style>
  <w:style w:type="table" w:customStyle="1" w:styleId="3">
    <w:name w:val="3"/>
    <w:basedOn w:val="TableNormal3"/>
    <w:tblPr>
      <w:tblStyleRowBandSize w:val="1"/>
      <w:tblStyleColBandSize w:val="1"/>
      <w:tblCellMar>
        <w:left w:w="70" w:type="dxa"/>
        <w:right w:w="70" w:type="dxa"/>
      </w:tblCellMar>
    </w:tblPr>
  </w:style>
  <w:style w:type="table" w:customStyle="1" w:styleId="2">
    <w:name w:val="2"/>
    <w:basedOn w:val="TableNormal3"/>
    <w:tblPr>
      <w:tblStyleRowBandSize w:val="1"/>
      <w:tblStyleColBandSize w:val="1"/>
      <w:tblCellMar>
        <w:left w:w="70" w:type="dxa"/>
        <w:right w:w="70" w:type="dxa"/>
      </w:tblCellMar>
    </w:tblPr>
  </w:style>
  <w:style w:type="table" w:customStyle="1" w:styleId="1">
    <w:name w:val="1"/>
    <w:basedOn w:val="TableNormal3"/>
    <w:tblPr>
      <w:tblStyleRowBandSize w:val="1"/>
      <w:tblStyleColBandSize w:val="1"/>
      <w:tblCellMar>
        <w:left w:w="70" w:type="dxa"/>
        <w:right w:w="70" w:type="dxa"/>
      </w:tblCellMar>
    </w:tblPr>
  </w:style>
  <w:style w:type="paragraph" w:styleId="Asuntodelcomentario">
    <w:name w:val="annotation subject"/>
    <w:basedOn w:val="Textocomentario"/>
    <w:next w:val="Textocomentario"/>
    <w:link w:val="AsuntodelcomentarioCar"/>
    <w:uiPriority w:val="99"/>
    <w:semiHidden/>
    <w:unhideWhenUsed/>
    <w:rsid w:val="00BF560E"/>
    <w:rPr>
      <w:b/>
      <w:bCs/>
    </w:rPr>
  </w:style>
  <w:style w:type="character" w:customStyle="1" w:styleId="AsuntodelcomentarioCar">
    <w:name w:val="Asunto del comentario Car"/>
    <w:basedOn w:val="TextocomentarioCar"/>
    <w:link w:val="Asuntodelcomentario"/>
    <w:uiPriority w:val="99"/>
    <w:semiHidden/>
    <w:rsid w:val="00BF560E"/>
    <w:rPr>
      <w:b/>
      <w:bCs/>
      <w:sz w:val="20"/>
      <w:szCs w:val="20"/>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fotocasa.es" TargetMode="External"/><Relationship Id="rId18" Type="http://schemas.openxmlformats.org/officeDocument/2006/relationships/image" Target="media/image7.jpg"/><Relationship Id="rId26" Type="http://schemas.openxmlformats.org/officeDocument/2006/relationships/hyperlink" Target="https://www.infojobs.net/" TargetMode="External"/><Relationship Id="rId21" Type="http://schemas.openxmlformats.org/officeDocument/2006/relationships/hyperlink" Target="https://s36356.pcdn.co/wp-content/uploads/2024/03/Informe-InfoJobs-Esade-Estado-del-mercado-laboral-en-Espana-2023.pdf?ipromo=infojobs_btb-post_blog_rrhh-descargar_informe_mercado_laboral_espana_infojobs_esade_2023" TargetMode="External"/><Relationship Id="rId34" Type="http://schemas.openxmlformats.org/officeDocument/2006/relationships/hyperlink" Target="mailto:prensa@infojobs.net" TargetMode="External"/><Relationship Id="rId7" Type="http://schemas.openxmlformats.org/officeDocument/2006/relationships/endnotes" Target="endnotes.xml"/><Relationship Id="rId12" Type="http://schemas.openxmlformats.org/officeDocument/2006/relationships/hyperlink" Target="https://www.infojobs.net/" TargetMode="External"/><Relationship Id="rId17" Type="http://schemas.openxmlformats.org/officeDocument/2006/relationships/hyperlink" Target="https://youtu.be/51rnEqlkSwY" TargetMode="External"/><Relationship Id="rId25" Type="http://schemas.openxmlformats.org/officeDocument/2006/relationships/hyperlink" Target="http://www.fotocasa.es" TargetMode="External"/><Relationship Id="rId33" Type="http://schemas.openxmlformats.org/officeDocument/2006/relationships/hyperlink" Target="http://prensa.fotocasa.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http://www.fotocasa.es" TargetMode="External"/><Relationship Id="rId29"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51rnEqlkSwY" TargetMode="External"/><Relationship Id="rId24" Type="http://schemas.openxmlformats.org/officeDocument/2006/relationships/hyperlink" Target="https://research.fotocasa.es/" TargetMode="External"/><Relationship Id="rId32" Type="http://schemas.openxmlformats.org/officeDocument/2006/relationships/hyperlink" Target="about:blan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www.fotocasa.es/indice/" TargetMode="External"/><Relationship Id="rId28" Type="http://schemas.openxmlformats.org/officeDocument/2006/relationships/hyperlink" Target="https://www.infojobs.net/"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infojobs.net/" TargetMode="External"/><Relationship Id="rId31"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s36356.pcdn.co/wp-content/uploads/2024/03/Informe-InfoJobs-Esade-Estado-del-mercado-laboral-en-Espana-2023.pdf?ipromo=infojobs_btb-post_blog_rrhh-descargar_informe_mercado_laboral_espana_infojobs_esade_2023" TargetMode="External"/><Relationship Id="rId27" Type="http://schemas.openxmlformats.org/officeDocument/2006/relationships/hyperlink" Target="http://www.fotocasa.es/" TargetMode="External"/><Relationship Id="rId30" Type="http://schemas.openxmlformats.org/officeDocument/2006/relationships/hyperlink" Target="https://motos.coches.net/"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themeOverride" Target="../theme/themeOverride1.xml"/><Relationship Id="rId5" Type="http://schemas.openxmlformats.org/officeDocument/2006/relationships/oleObject" Target="file:///H:\Mi%20unidad\01-SCHIBSTED\04-ESTUDIO%20NdP\INFOJOBS\02-SUELDOS%20MEDIOS\NdP%202023\COMPARATIVA%20COMPARTIR\PRENSA%20%20IJ&amp;FC%20-%20COMPARTIR%202023.xlsm" TargetMode="External"/><Relationship Id="rId4" Type="http://schemas.openxmlformats.org/officeDocument/2006/relationships/image" Target="../media/image6.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IJ&amp;FC - COMPARTIR 2023.xlsm]tablas ALQ CCAA!TablaDinámica5</c:name>
    <c:fmtId val="-1"/>
  </c:pivotSource>
  <c:chart>
    <c:autoTitleDeleted val="1"/>
    <c:pivotFmts>
      <c:pivotFmt>
        <c:idx val="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3"/>
            <a:stretch>
              <a:fillRect/>
            </a:stretch>
          </a:blipFill>
          <a:ln>
            <a:noFill/>
          </a:ln>
          <a:effectLst/>
        </c:spPr>
      </c:pivotFmt>
      <c:pivotFmt>
        <c:idx val="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3"/>
            <a:stretch>
              <a:fillRect/>
            </a:stretch>
          </a:blipFill>
          <a:ln>
            <a:noFill/>
          </a:ln>
          <a:effectLst/>
        </c:spPr>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blipFill>
            <a:blip xmlns:r="http://schemas.openxmlformats.org/officeDocument/2006/relationships" r:embed="rId3"/>
            <a:stretch>
              <a:fillRect/>
            </a:stretch>
          </a:blipFill>
          <a:ln>
            <a:noFill/>
          </a:ln>
          <a:effectLst/>
        </c:spPr>
      </c:pivotFmt>
      <c:pivotFmt>
        <c:idx val="2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blipFill>
            <a:blip xmlns:r="http://schemas.openxmlformats.org/officeDocument/2006/relationships" r:embed="rId3"/>
            <a:stretch>
              <a:fillRect/>
            </a:stretch>
          </a:blipFill>
          <a:ln>
            <a:noFill/>
          </a:ln>
          <a:effectLst/>
        </c:spPr>
      </c:pivotFmt>
      <c:pivotFmt>
        <c:idx val="30"/>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3"/>
            <a:stretch>
              <a:fillRect/>
            </a:stretch>
          </a:blipFill>
          <a:ln>
            <a:noFill/>
          </a:ln>
          <a:effectLst/>
        </c:spPr>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4"/>
        <c:spPr>
          <a:blipFill>
            <a:blip xmlns:r="http://schemas.openxmlformats.org/officeDocument/2006/relationships" r:embed="rId3"/>
            <a:stretch>
              <a:fillRect/>
            </a:stretch>
          </a:blipFill>
          <a:ln>
            <a:noFill/>
          </a:ln>
          <a:effectLst/>
        </c:spPr>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7"/>
        <c:spPr>
          <a:blipFill>
            <a:blip xmlns:r="http://schemas.openxmlformats.org/officeDocument/2006/relationships" r:embed="rId3"/>
            <a:stretch>
              <a:fillRect/>
            </a:stretch>
          </a:blipFill>
          <a:ln>
            <a:noFill/>
          </a:ln>
          <a:effectLst/>
        </c:spPr>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blipFill>
            <a:blip xmlns:r="http://schemas.openxmlformats.org/officeDocument/2006/relationships" r:embed="rId3"/>
            <a:stretch>
              <a:fillRect/>
            </a:stretch>
          </a:blipFill>
          <a:ln>
            <a:noFill/>
          </a:ln>
          <a:effectLst/>
        </c:spPr>
      </c:pivotFmt>
      <c:pivotFmt>
        <c:idx val="41"/>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2"/>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blipFill>
            <a:blip xmlns:r="http://schemas.openxmlformats.org/officeDocument/2006/relationships" r:embed="rId3"/>
            <a:stretch>
              <a:fillRect/>
            </a:stretch>
          </a:blipFill>
          <a:ln>
            <a:noFill/>
          </a:ln>
          <a:effectLst/>
        </c:spPr>
      </c:pivotFmt>
      <c:pivotFmt>
        <c:idx val="44"/>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6"/>
        <c:spPr>
          <a:blipFill>
            <a:blip xmlns:r="http://schemas.openxmlformats.org/officeDocument/2006/relationships" r:embed="rId3"/>
            <a:stretch>
              <a:fillRect/>
            </a:stretch>
          </a:blipFill>
          <a:ln>
            <a:noFill/>
          </a:ln>
          <a:effectLst/>
        </c:spPr>
      </c:pivotFmt>
      <c:pivotFmt>
        <c:idx val="47"/>
        <c:spPr>
          <a:blipFill>
            <a:blip xmlns:r="http://schemas.openxmlformats.org/officeDocument/2006/relationships" r:embed="rId4"/>
            <a:stretch>
              <a:fillRect/>
            </a:stretch>
          </a:blipFill>
          <a:ln>
            <a:noFill/>
          </a:ln>
          <a:effectLst/>
        </c:spPr>
        <c:marker>
          <c:symbol val="none"/>
        </c:marker>
        <c:dLbl>
          <c:idx val="0"/>
          <c:delete val="1"/>
          <c:extLst>
            <c:ext xmlns:c15="http://schemas.microsoft.com/office/drawing/2012/chart" uri="{CE6537A1-D6FC-4f65-9D91-7224C49458BB}"/>
          </c:extLst>
        </c:dLbl>
      </c:pivotFmt>
      <c:pivotFmt>
        <c:idx val="48"/>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9"/>
        <c:spPr>
          <a:blipFill>
            <a:blip xmlns:r="http://schemas.openxmlformats.org/officeDocument/2006/relationships" r:embed="rId3"/>
            <a:stretch>
              <a:fillRect/>
            </a:stretch>
          </a:blipFill>
          <a:ln>
            <a:noFill/>
          </a:ln>
          <a:effectLst/>
        </c:spPr>
      </c:pivotFmt>
      <c:pivotFmt>
        <c:idx val="5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a:lstStyle/>
            <a:p>
              <a:pPr algn="ct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6"/>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7"/>
        <c:spPr>
          <a:blipFill>
            <a:blip xmlns:r="http://schemas.openxmlformats.org/officeDocument/2006/relationships" r:embed="rId2"/>
            <a:stretch>
              <a:fillRect/>
            </a:stretch>
          </a:blipFill>
          <a:ln>
            <a:noFill/>
          </a:ln>
          <a:effectLst/>
        </c:spPr>
        <c:marker>
          <c:symbol val="none"/>
        </c:marker>
        <c:dLbl>
          <c:idx val="0"/>
          <c:spPr>
            <a:noFill/>
            <a:ln>
              <a:noFill/>
            </a:ln>
            <a:effectLst/>
          </c:spPr>
          <c:txPr>
            <a:bodyPr rot="0" vert="horz"/>
            <a:lstStyle/>
            <a:p>
              <a:pPr>
                <a:defRPr sz="1400" b="1"/>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8899367383121169E-2"/>
          <c:y val="5.8345869864515593E-2"/>
          <c:w val="0.94565509149939819"/>
          <c:h val="0.74549131349118647"/>
        </c:manualLayout>
      </c:layout>
      <c:barChart>
        <c:barDir val="col"/>
        <c:grouping val="clustered"/>
        <c:varyColors val="0"/>
        <c:ser>
          <c:idx val="0"/>
          <c:order val="0"/>
          <c:tx>
            <c:strRef>
              <c:f>'tablas ALQ CCAA'!$B$1:$B$2</c:f>
              <c:strCache>
                <c:ptCount val="1"/>
                <c:pt idx="0">
                  <c:v>España</c:v>
                </c:pt>
              </c:strCache>
            </c:strRef>
          </c:tx>
          <c:spPr>
            <a:blipFill>
              <a:blip xmlns:r="http://schemas.openxmlformats.org/officeDocument/2006/relationships" r:embed="rId2"/>
              <a:stretch>
                <a:fillRect/>
              </a:stretch>
            </a:blipFill>
            <a:ln>
              <a:noFill/>
            </a:ln>
            <a:effectLst/>
          </c:spPr>
          <c:invertIfNegative val="0"/>
          <c:dPt>
            <c:idx val="2"/>
            <c:invertIfNegative val="0"/>
            <c:bubble3D val="0"/>
            <c:extLst>
              <c:ext xmlns:c16="http://schemas.microsoft.com/office/drawing/2014/chart" uri="{C3380CC4-5D6E-409C-BE32-E72D297353CC}">
                <c16:uniqueId val="{00000000-D762-4712-9C69-9E2F703AAD41}"/>
              </c:ext>
            </c:extLst>
          </c:dPt>
          <c:dPt>
            <c:idx val="3"/>
            <c:invertIfNegative val="0"/>
            <c:bubble3D val="0"/>
            <c:extLst>
              <c:ext xmlns:c16="http://schemas.microsoft.com/office/drawing/2014/chart" uri="{C3380CC4-5D6E-409C-BE32-E72D297353CC}">
                <c16:uniqueId val="{00000001-D762-4712-9C69-9E2F703AAD41}"/>
              </c:ext>
            </c:extLst>
          </c:dPt>
          <c:dLbls>
            <c:spPr>
              <a:noFill/>
              <a:ln>
                <a:noFill/>
              </a:ln>
              <a:effectLst/>
            </c:spPr>
            <c:txPr>
              <a:bodyPr rot="0" vert="horz"/>
              <a:lstStyle/>
              <a:p>
                <a:pPr>
                  <a:defRPr sz="11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ALQ CCAA'!$A$3:$A$7</c:f>
              <c:strCache>
                <c:ptCount val="5"/>
                <c:pt idx="0">
                  <c:v>2019</c:v>
                </c:pt>
                <c:pt idx="1">
                  <c:v>2020</c:v>
                </c:pt>
                <c:pt idx="2">
                  <c:v>2021</c:v>
                </c:pt>
                <c:pt idx="3">
                  <c:v>2022</c:v>
                </c:pt>
                <c:pt idx="4">
                  <c:v>2023</c:v>
                </c:pt>
              </c:strCache>
            </c:strRef>
          </c:cat>
          <c:val>
            <c:numRef>
              <c:f>'tablas ALQ CCAA'!$B$3:$B$7</c:f>
              <c:numCache>
                <c:formatCode>0%</c:formatCode>
                <c:ptCount val="5"/>
                <c:pt idx="0">
                  <c:v>0.15361679731217678</c:v>
                </c:pt>
                <c:pt idx="1">
                  <c:v>0.15223209686171238</c:v>
                </c:pt>
                <c:pt idx="2">
                  <c:v>0.1734866688106641</c:v>
                </c:pt>
                <c:pt idx="3">
                  <c:v>0.20424552724885603</c:v>
                </c:pt>
                <c:pt idx="4">
                  <c:v>0.2129255760933092</c:v>
                </c:pt>
              </c:numCache>
            </c:numRef>
          </c:val>
          <c:extLst>
            <c:ext xmlns:c16="http://schemas.microsoft.com/office/drawing/2014/chart" uri="{C3380CC4-5D6E-409C-BE32-E72D297353CC}">
              <c16:uniqueId val="{00000002-D762-4712-9C69-9E2F703AAD41}"/>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1200" b="1"/>
            </a:pPr>
            <a:endParaRPr lang="es-ES"/>
          </a:p>
        </c:txPr>
        <c:crossAx val="663677872"/>
        <c:crosses val="autoZero"/>
        <c:auto val="1"/>
        <c:lblAlgn val="ctr"/>
        <c:lblOffset val="100"/>
        <c:noMultiLvlLbl val="0"/>
      </c:catAx>
      <c:valAx>
        <c:axId val="663677872"/>
        <c:scaling>
          <c:orientation val="minMax"/>
        </c:scaling>
        <c:delete val="1"/>
        <c:axPos val="l"/>
        <c:numFmt formatCode="0%" sourceLinked="1"/>
        <c:majorTickMark val="none"/>
        <c:minorTickMark val="none"/>
        <c:tickLblPos val="nextTo"/>
        <c:crossAx val="158793635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sz="1600">
          <a:latin typeface="+mj-lt"/>
        </a:defRPr>
      </a:pPr>
      <a:endParaRPr lang="es-ES"/>
    </a:p>
  </c:txPr>
  <c:externalData r:id="rId5">
    <c:autoUpdate val="0"/>
  </c:externalData>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0vukrcf0BZBlCaaK9MyT8ToRGA==">CgMxLjAyCGguZ2pkZ3hzOABqJgoUc3VnZ2VzdC5tNWNtd2k2YjhuMmwSDkFuZ2VsZXMgR2FyY2lhaiYKFHN1Z2dlc3QubjRyaXkxZjRrc3U2Eg5BbmdlbGVzIEdhcmNpYWomChRzdWdnZXN0LjdobnJqN2h0MHk3dhIOQW5nZWxlcyBHYXJjaWFyITFVNTk0VUU1d2tNMVRMTERNNE8xXzI4Y3VBU0lvRU1rSA==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1657</Words>
  <Characters>9115</Characters>
  <Application>Microsoft Office Word</Application>
  <DocSecurity>0</DocSecurity>
  <Lines>75</Lines>
  <Paragraphs>21</Paragraphs>
  <ScaleCrop>false</ScaleCrop>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pranilla@hotmail.com</dc:creator>
  <cp:lastModifiedBy>Anaïs López García</cp:lastModifiedBy>
  <cp:revision>3</cp:revision>
  <dcterms:created xsi:type="dcterms:W3CDTF">2022-04-18T16:00:00Z</dcterms:created>
  <dcterms:modified xsi:type="dcterms:W3CDTF">2024-06-05T08:18:00Z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2024-04-29T14:29:41Z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eb2266d3-5345-4155-af96-338b9d682b41</vt:lpwstr>
  </property>
  <property fmtid="{D5CDD505-2E9C-101B-9397-08002B2CF9AE}" pid="8" name="MSIP_Label_defa4170-0d19-0005-0004-bc88714345d2_ContentBits">
    <vt:lpwstr>0</vt:lpwstr>
  </property>
</Properties>
</file>