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3B0E61" w14:textId="77777777" w:rsidR="009A2E4C" w:rsidRDefault="00000000">
      <w:r>
        <w:rPr>
          <w:noProof/>
        </w:rPr>
        <w:drawing>
          <wp:anchor distT="0" distB="0" distL="114300" distR="114300" simplePos="0" relativeHeight="251658240" behindDoc="0" locked="0" layoutInCell="1" hidden="0" allowOverlap="1" wp14:anchorId="59D63EDB" wp14:editId="0B362BDB">
            <wp:simplePos x="0" y="0"/>
            <wp:positionH relativeFrom="column">
              <wp:posOffset>-1080133</wp:posOffset>
            </wp:positionH>
            <wp:positionV relativeFrom="paragraph">
              <wp:posOffset>-654683</wp:posOffset>
            </wp:positionV>
            <wp:extent cx="7581265" cy="1019175"/>
            <wp:effectExtent l="0" t="0" r="0" b="0"/>
            <wp:wrapNone/>
            <wp:docPr id="20668165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9A38E36" w14:textId="77777777" w:rsidR="009A2E4C" w:rsidRDefault="009A2E4C">
      <w:pPr>
        <w:jc w:val="right"/>
        <w:rPr>
          <w:rFonts w:ascii="National" w:eastAsia="National" w:hAnsi="National" w:cs="National"/>
          <w:color w:val="303AB2"/>
          <w:sz w:val="36"/>
          <w:szCs w:val="36"/>
        </w:rPr>
      </w:pPr>
    </w:p>
    <w:p w14:paraId="32936178" w14:textId="77777777" w:rsidR="009A2E4C" w:rsidRDefault="009A2E4C">
      <w:pPr>
        <w:rPr>
          <w:rFonts w:ascii="National" w:eastAsia="National" w:hAnsi="National" w:cs="National"/>
          <w:color w:val="303AB2"/>
          <w:sz w:val="18"/>
          <w:szCs w:val="18"/>
        </w:rPr>
      </w:pPr>
    </w:p>
    <w:p w14:paraId="5B0F06BE" w14:textId="77777777" w:rsidR="009A2E4C"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ANÁLISIS DE LAS VIVIENDAS HEREDADAS EN ESPAÑA</w:t>
      </w:r>
    </w:p>
    <w:p w14:paraId="6A82922B" w14:textId="77777777" w:rsidR="009A2E4C" w:rsidRPr="006D2A92" w:rsidRDefault="00000000">
      <w:pPr>
        <w:jc w:val="center"/>
        <w:rPr>
          <w:rFonts w:ascii="National" w:eastAsia="National" w:hAnsi="National" w:cs="National"/>
          <w:b/>
          <w:color w:val="303AB2"/>
          <w:sz w:val="54"/>
          <w:szCs w:val="54"/>
        </w:rPr>
      </w:pPr>
      <w:r w:rsidRPr="006D2A92">
        <w:rPr>
          <w:rFonts w:ascii="National" w:eastAsia="National" w:hAnsi="National" w:cs="National"/>
          <w:b/>
          <w:color w:val="303AB2"/>
          <w:sz w:val="54"/>
          <w:szCs w:val="54"/>
        </w:rPr>
        <w:t>La oferta de vivienda heredada representa el 15% del total, dos puntos menos que hace un año</w:t>
      </w:r>
    </w:p>
    <w:p w14:paraId="2E2E7216" w14:textId="77777777" w:rsidR="009A2E4C" w:rsidRDefault="009A2E4C">
      <w:pPr>
        <w:spacing w:line="276" w:lineRule="auto"/>
        <w:ind w:right="4"/>
        <w:jc w:val="both"/>
        <w:rPr>
          <w:rFonts w:ascii="Open Sans" w:eastAsia="Open Sans" w:hAnsi="Open Sans" w:cs="Open Sans"/>
          <w:color w:val="303AB2"/>
        </w:rPr>
      </w:pPr>
    </w:p>
    <w:p w14:paraId="46DB7023" w14:textId="77777777" w:rsidR="009A2E4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2023 la oferta de vivienda heredada representaba el 17% del total y en 2022 fue del 15%</w:t>
      </w:r>
    </w:p>
    <w:p w14:paraId="6B69C6C1" w14:textId="77777777" w:rsidR="009A2E4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herederos prefieren vender a alquilar la vivienda: el 21% de los que venden un inmueble es heredado y en el caso de los arrendadores son el 10% del total</w:t>
      </w:r>
    </w:p>
    <w:p w14:paraId="53FAC45C" w14:textId="77777777" w:rsidR="009A2E4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herederos que venden aseguran que lo hacen en su mayoría por motivos personales y porque no quieren tener problemas con el pago del alquiler</w:t>
      </w:r>
    </w:p>
    <w:p w14:paraId="564BED24" w14:textId="77777777" w:rsidR="009A2E4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Las razones fundamentales para alquilar en lugar de vender la vivienda heredada se apoyan en tres argumentos: es una fuente de ingresos (56%); preferir que esté ocupada (46%) y la rentabilidad que ofrece el alquiler (36%).</w:t>
      </w:r>
    </w:p>
    <w:p w14:paraId="39D55140" w14:textId="77777777" w:rsidR="009A2E4C" w:rsidRDefault="009A2E4C">
      <w:pPr>
        <w:pBdr>
          <w:top w:val="nil"/>
          <w:left w:val="nil"/>
          <w:bottom w:val="nil"/>
          <w:right w:val="nil"/>
          <w:between w:val="nil"/>
        </w:pBdr>
        <w:spacing w:line="276" w:lineRule="auto"/>
        <w:ind w:left="720"/>
        <w:jc w:val="both"/>
        <w:rPr>
          <w:rFonts w:ascii="Open Sans" w:eastAsia="Open Sans" w:hAnsi="Open Sans" w:cs="Open Sans"/>
          <w:color w:val="303AB2"/>
        </w:rPr>
      </w:pPr>
    </w:p>
    <w:p w14:paraId="479ACF8E" w14:textId="34E6E896" w:rsidR="009A2E4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Madrid, </w:t>
      </w:r>
      <w:r w:rsidR="00837D07">
        <w:rPr>
          <w:rFonts w:ascii="Open Sans Light" w:eastAsia="Open Sans Light" w:hAnsi="Open Sans Light" w:cs="Open Sans Light"/>
          <w:b/>
          <w:color w:val="303AB2"/>
          <w:sz w:val="22"/>
          <w:szCs w:val="22"/>
        </w:rPr>
        <w:t>25</w:t>
      </w:r>
      <w:r>
        <w:rPr>
          <w:rFonts w:ascii="Open Sans Light" w:eastAsia="Open Sans Light" w:hAnsi="Open Sans Light" w:cs="Open Sans Light"/>
          <w:b/>
          <w:color w:val="303AB2"/>
          <w:sz w:val="22"/>
          <w:szCs w:val="22"/>
        </w:rPr>
        <w:t xml:space="preserve"> de junio de 2024</w:t>
      </w:r>
    </w:p>
    <w:p w14:paraId="1919431F" w14:textId="77777777" w:rsidR="009A2E4C" w:rsidRDefault="009A2E4C">
      <w:pPr>
        <w:pBdr>
          <w:top w:val="nil"/>
          <w:left w:val="nil"/>
          <w:bottom w:val="nil"/>
          <w:right w:val="nil"/>
          <w:between w:val="nil"/>
        </w:pBdr>
        <w:spacing w:line="276" w:lineRule="auto"/>
        <w:jc w:val="both"/>
        <w:rPr>
          <w:rFonts w:ascii="Open Sans" w:eastAsia="Open Sans" w:hAnsi="Open Sans" w:cs="Open Sans"/>
        </w:rPr>
      </w:pPr>
    </w:p>
    <w:p w14:paraId="7930A924"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El 15% de los españoles que han tratado de vender o alquilar a otros una vivienda de su propiedad en los últimos doce meses la recibió en herencia, de acuerdo con los datos del informe “</w:t>
      </w:r>
      <w:r>
        <w:rPr>
          <w:rFonts w:ascii="Open Sans" w:eastAsia="Open Sans" w:hAnsi="Open Sans" w:cs="Open Sans"/>
          <w:b/>
          <w:i/>
          <w:sz w:val="22"/>
          <w:szCs w:val="22"/>
        </w:rPr>
        <w:t>Análisis de las viviendas heredadas en España 2024</w:t>
      </w:r>
      <w:r>
        <w:rPr>
          <w:rFonts w:ascii="Open Sans" w:eastAsia="Open Sans" w:hAnsi="Open Sans" w:cs="Open Sans"/>
          <w:sz w:val="22"/>
          <w:szCs w:val="22"/>
        </w:rPr>
        <w:t xml:space="preserve">” elaborado por </w:t>
      </w:r>
      <w:r>
        <w:rPr>
          <w:rFonts w:ascii="Open Sans" w:eastAsia="Open Sans" w:hAnsi="Open Sans" w:cs="Open Sans"/>
          <w:b/>
          <w:sz w:val="22"/>
          <w:szCs w:val="22"/>
        </w:rPr>
        <w:t>Fotocasa Research</w:t>
      </w:r>
      <w:r>
        <w:rPr>
          <w:rFonts w:ascii="Open Sans" w:eastAsia="Open Sans" w:hAnsi="Open Sans" w:cs="Open Sans"/>
          <w:sz w:val="22"/>
          <w:szCs w:val="22"/>
        </w:rPr>
        <w:t xml:space="preserve"> en el primer semestre del año.</w:t>
      </w:r>
    </w:p>
    <w:p w14:paraId="5AD5C2B6" w14:textId="77777777" w:rsidR="009A2E4C" w:rsidRDefault="009A2E4C">
      <w:pPr>
        <w:spacing w:line="276" w:lineRule="auto"/>
        <w:ind w:right="4"/>
        <w:jc w:val="both"/>
        <w:rPr>
          <w:rFonts w:ascii="Open Sans" w:eastAsia="Open Sans" w:hAnsi="Open Sans" w:cs="Open Sans"/>
          <w:sz w:val="22"/>
          <w:szCs w:val="22"/>
        </w:rPr>
      </w:pPr>
    </w:p>
    <w:p w14:paraId="559BAB0A"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Del primer dato de este estudio se concluye que el porcentaje de la oferta procedente de vivienda heredada se ha reducido dos puntos porcentuales con respecto al año anterior, cuando alcanzaba el 17%. De este modo, la cifra de 2024 coincide con la que se registró dos años antes, en 2022, cuando también alcanzó el 15%.</w:t>
      </w:r>
    </w:p>
    <w:p w14:paraId="4FFD8030" w14:textId="77777777" w:rsidR="009A2E4C" w:rsidRDefault="009A2E4C">
      <w:pPr>
        <w:spacing w:line="276" w:lineRule="auto"/>
        <w:ind w:right="4"/>
        <w:jc w:val="both"/>
        <w:rPr>
          <w:rFonts w:ascii="Open Sans" w:eastAsia="Open Sans" w:hAnsi="Open Sans" w:cs="Open Sans"/>
          <w:sz w:val="22"/>
          <w:szCs w:val="22"/>
        </w:rPr>
      </w:pPr>
    </w:p>
    <w:p w14:paraId="4B2B9E4F"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La incidencia de la oferta de vivienda heredada varía, no obstante, dependiendo del mercado al que se dirige. De este modo, </w:t>
      </w:r>
      <w:r>
        <w:rPr>
          <w:rFonts w:ascii="Open Sans" w:eastAsia="Open Sans" w:hAnsi="Open Sans" w:cs="Open Sans"/>
          <w:b/>
          <w:sz w:val="22"/>
          <w:szCs w:val="22"/>
        </w:rPr>
        <w:t>los herederos suponen un 21% de quienes venden algún inmueble</w:t>
      </w:r>
      <w:r>
        <w:rPr>
          <w:rFonts w:ascii="Open Sans" w:eastAsia="Open Sans" w:hAnsi="Open Sans" w:cs="Open Sans"/>
          <w:sz w:val="22"/>
          <w:szCs w:val="22"/>
        </w:rPr>
        <w:t xml:space="preserve">, un porcentaje dos puntos inferior al 23% de 2023 y de nuevo igual que el de 2022. Por su parte, </w:t>
      </w:r>
      <w:r>
        <w:rPr>
          <w:rFonts w:ascii="Open Sans" w:eastAsia="Open Sans" w:hAnsi="Open Sans" w:cs="Open Sans"/>
          <w:b/>
          <w:sz w:val="22"/>
          <w:szCs w:val="22"/>
        </w:rPr>
        <w:t>entre los arrendadores únicamente encontramos un 10% de españoles que hayan recibido en herencia la vivienda objeto de la operación</w:t>
      </w:r>
      <w:r>
        <w:rPr>
          <w:rFonts w:ascii="Open Sans" w:eastAsia="Open Sans" w:hAnsi="Open Sans" w:cs="Open Sans"/>
          <w:sz w:val="22"/>
          <w:szCs w:val="22"/>
        </w:rPr>
        <w:t xml:space="preserve"> (en 2023 el porcentaje era del 11%). Estos datos indican claramente que las viviendas recibidas por sucesión tienen más salida por el lado de la venta que del alquiler.</w:t>
      </w:r>
    </w:p>
    <w:p w14:paraId="6365139D" w14:textId="512D515A"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lastRenderedPageBreak/>
        <w:t xml:space="preserve">“Teniendo en cuenta el porcentaje de viviendas heredadas que pasan al mercado de la venta en vez de al alquiler, podrían crearse por parte de la administración, programas específicos de asesoramiento, gestión y captación de las viviendas que salen al mercado para destinarlas al arrendamiento. Sería una vía que podría ser un impulso para ampliar el parque de vivienda que a la larga podría impactar en el equilibrio de los precios”, </w:t>
      </w:r>
      <w:r w:rsidRPr="00B56038">
        <w:rPr>
          <w:rFonts w:ascii="Open Sans" w:eastAsia="Open Sans" w:hAnsi="Open Sans" w:cs="Open Sans"/>
          <w:b/>
          <w:bCs/>
          <w:sz w:val="22"/>
          <w:szCs w:val="22"/>
        </w:rPr>
        <w:t xml:space="preserve">comenta María Matos, directora de Estudios y Portavoz de </w:t>
      </w:r>
      <w:hyperlink r:id="rId9">
        <w:r w:rsidRPr="00B56038">
          <w:rPr>
            <w:rFonts w:ascii="Open Sans" w:eastAsia="Open Sans" w:hAnsi="Open Sans" w:cs="Open Sans"/>
            <w:b/>
            <w:bCs/>
            <w:color w:val="1155CC"/>
            <w:sz w:val="22"/>
            <w:szCs w:val="22"/>
            <w:u w:val="single"/>
          </w:rPr>
          <w:t>Fotocasa</w:t>
        </w:r>
      </w:hyperlink>
      <w:r w:rsidRPr="00B56038">
        <w:rPr>
          <w:rFonts w:ascii="Open Sans" w:eastAsia="Open Sans" w:hAnsi="Open Sans" w:cs="Open Sans"/>
          <w:b/>
          <w:bCs/>
          <w:sz w:val="22"/>
          <w:szCs w:val="22"/>
        </w:rPr>
        <w:t xml:space="preserve">. </w:t>
      </w:r>
    </w:p>
    <w:p w14:paraId="37AE62D9" w14:textId="77777777" w:rsidR="009A2E4C" w:rsidRDefault="009A2E4C">
      <w:pPr>
        <w:pBdr>
          <w:top w:val="nil"/>
          <w:left w:val="nil"/>
          <w:bottom w:val="nil"/>
          <w:right w:val="nil"/>
          <w:between w:val="nil"/>
        </w:pBdr>
        <w:spacing w:line="276" w:lineRule="auto"/>
        <w:jc w:val="both"/>
        <w:rPr>
          <w:rFonts w:ascii="Open Sans Light" w:eastAsia="Open Sans Light" w:hAnsi="Open Sans Light" w:cs="Open Sans Light"/>
          <w:b/>
        </w:rPr>
      </w:pPr>
    </w:p>
    <w:p w14:paraId="3812FF7E" w14:textId="77777777" w:rsidR="009A2E4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Motivos para vender la vivienda heredada</w:t>
      </w:r>
    </w:p>
    <w:p w14:paraId="4BE04463" w14:textId="77777777" w:rsidR="009A2E4C" w:rsidRDefault="009A2E4C">
      <w:pPr>
        <w:spacing w:line="276" w:lineRule="auto"/>
        <w:ind w:right="4"/>
        <w:jc w:val="both"/>
        <w:rPr>
          <w:rFonts w:ascii="Open Sans" w:eastAsia="Open Sans" w:hAnsi="Open Sans" w:cs="Open Sans"/>
          <w:sz w:val="22"/>
          <w:szCs w:val="22"/>
        </w:rPr>
      </w:pPr>
    </w:p>
    <w:p w14:paraId="75AC6BF8"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Existen dos razones fundamentales por las que los herederos ofertantes optan por vender antes de poner en alquiler las viviendas. Por un lado, encontramos </w:t>
      </w:r>
      <w:r>
        <w:rPr>
          <w:rFonts w:ascii="Open Sans" w:eastAsia="Open Sans" w:hAnsi="Open Sans" w:cs="Open Sans"/>
          <w:b/>
          <w:sz w:val="22"/>
          <w:szCs w:val="22"/>
        </w:rPr>
        <w:t>los motivos personales para la necesidad de vender</w:t>
      </w:r>
      <w:r>
        <w:rPr>
          <w:rFonts w:ascii="Open Sans" w:eastAsia="Open Sans" w:hAnsi="Open Sans" w:cs="Open Sans"/>
          <w:sz w:val="22"/>
          <w:szCs w:val="22"/>
        </w:rPr>
        <w:t>, que se aducen en el 37% de los casos. Pese a que este porcentaje crece en cinco puntos en comparación con el año anterior, sigue muy por debajo del 50% que se registró en 2020.</w:t>
      </w:r>
    </w:p>
    <w:p w14:paraId="72B6F969" w14:textId="77777777" w:rsidR="009A2E4C" w:rsidRDefault="009A2E4C">
      <w:pPr>
        <w:spacing w:line="276" w:lineRule="auto"/>
        <w:ind w:right="4"/>
        <w:jc w:val="both"/>
        <w:rPr>
          <w:rFonts w:ascii="Open Sans" w:eastAsia="Open Sans" w:hAnsi="Open Sans" w:cs="Open Sans"/>
          <w:sz w:val="22"/>
          <w:szCs w:val="22"/>
        </w:rPr>
      </w:pPr>
    </w:p>
    <w:p w14:paraId="708B15C5"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Por el contrario, el </w:t>
      </w:r>
      <w:r>
        <w:rPr>
          <w:rFonts w:ascii="Open Sans" w:eastAsia="Open Sans" w:hAnsi="Open Sans" w:cs="Open Sans"/>
          <w:b/>
          <w:sz w:val="22"/>
          <w:szCs w:val="22"/>
        </w:rPr>
        <w:t>evitar complicaciones con el pago del alquiler</w:t>
      </w:r>
      <w:r>
        <w:rPr>
          <w:rFonts w:ascii="Open Sans" w:eastAsia="Open Sans" w:hAnsi="Open Sans" w:cs="Open Sans"/>
          <w:sz w:val="22"/>
          <w:szCs w:val="22"/>
        </w:rPr>
        <w:t xml:space="preserve">, que es el segundo motivo expresado, alcanza el 23% de las respuestas, y si bien es cierto que es un porcentaje inferior al 27% de 2023, está todavía muy por encima del 14% de 2020.  </w:t>
      </w:r>
    </w:p>
    <w:p w14:paraId="22CF24AC" w14:textId="77777777" w:rsidR="009A2E4C" w:rsidRDefault="009A2E4C">
      <w:pPr>
        <w:spacing w:line="276" w:lineRule="auto"/>
        <w:ind w:right="4"/>
        <w:jc w:val="both"/>
        <w:rPr>
          <w:rFonts w:ascii="Open Sans" w:eastAsia="Open Sans" w:hAnsi="Open Sans" w:cs="Open Sans"/>
          <w:sz w:val="22"/>
          <w:szCs w:val="22"/>
        </w:rPr>
      </w:pPr>
    </w:p>
    <w:p w14:paraId="7FBEA8EE"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Tras estas dos razones principales encontramos el hecho de </w:t>
      </w:r>
      <w:r>
        <w:rPr>
          <w:rFonts w:ascii="Open Sans" w:eastAsia="Open Sans" w:hAnsi="Open Sans" w:cs="Open Sans"/>
          <w:b/>
          <w:sz w:val="22"/>
          <w:szCs w:val="22"/>
        </w:rPr>
        <w:t>no querer inquilinos que estropeen la vivienda</w:t>
      </w:r>
      <w:r>
        <w:rPr>
          <w:rFonts w:ascii="Open Sans" w:eastAsia="Open Sans" w:hAnsi="Open Sans" w:cs="Open Sans"/>
          <w:sz w:val="22"/>
          <w:szCs w:val="22"/>
        </w:rPr>
        <w:t xml:space="preserve"> (22%), seguido por </w:t>
      </w:r>
      <w:r>
        <w:rPr>
          <w:rFonts w:ascii="Open Sans" w:eastAsia="Open Sans" w:hAnsi="Open Sans" w:cs="Open Sans"/>
          <w:b/>
          <w:sz w:val="22"/>
          <w:szCs w:val="22"/>
        </w:rPr>
        <w:t>imposibilidad de asumir los costes que comporta la vivienda heredada</w:t>
      </w:r>
      <w:r>
        <w:rPr>
          <w:rFonts w:ascii="Open Sans" w:eastAsia="Open Sans" w:hAnsi="Open Sans" w:cs="Open Sans"/>
          <w:sz w:val="22"/>
          <w:szCs w:val="22"/>
        </w:rPr>
        <w:t xml:space="preserve">, razón argüida por el 16% de los consultados. Otros motivos destacados son que </w:t>
      </w:r>
      <w:r>
        <w:rPr>
          <w:rFonts w:ascii="Open Sans" w:eastAsia="Open Sans" w:hAnsi="Open Sans" w:cs="Open Sans"/>
          <w:b/>
          <w:sz w:val="22"/>
          <w:szCs w:val="22"/>
        </w:rPr>
        <w:t>el alquiler no ofrece mucha rentabilidad</w:t>
      </w:r>
      <w:r>
        <w:rPr>
          <w:rFonts w:ascii="Open Sans" w:eastAsia="Open Sans" w:hAnsi="Open Sans" w:cs="Open Sans"/>
          <w:sz w:val="22"/>
          <w:szCs w:val="22"/>
        </w:rPr>
        <w:t xml:space="preserve"> (12%), </w:t>
      </w:r>
      <w:r>
        <w:rPr>
          <w:rFonts w:ascii="Open Sans" w:eastAsia="Open Sans" w:hAnsi="Open Sans" w:cs="Open Sans"/>
          <w:b/>
          <w:sz w:val="22"/>
          <w:szCs w:val="22"/>
        </w:rPr>
        <w:t>que no existan beneficios fiscales que compensen los riesgos</w:t>
      </w:r>
      <w:r>
        <w:rPr>
          <w:rFonts w:ascii="Open Sans" w:eastAsia="Open Sans" w:hAnsi="Open Sans" w:cs="Open Sans"/>
          <w:sz w:val="22"/>
          <w:szCs w:val="22"/>
        </w:rPr>
        <w:t xml:space="preserve"> (11%, cinco puntos menos que en 2023) y que </w:t>
      </w:r>
      <w:r>
        <w:rPr>
          <w:rFonts w:ascii="Open Sans" w:eastAsia="Open Sans" w:hAnsi="Open Sans" w:cs="Open Sans"/>
          <w:b/>
          <w:sz w:val="22"/>
          <w:szCs w:val="22"/>
        </w:rPr>
        <w:t>es un buen momento porque los precios suben</w:t>
      </w:r>
      <w:r>
        <w:rPr>
          <w:rFonts w:ascii="Open Sans" w:eastAsia="Open Sans" w:hAnsi="Open Sans" w:cs="Open Sans"/>
          <w:sz w:val="22"/>
          <w:szCs w:val="22"/>
        </w:rPr>
        <w:t xml:space="preserve"> (8%, frente al 6% de 2023). Destaca, por su fuerte decrecimiento, el motivo de vender la vivienda heredada por deseo de adquirir otro inmueble, que decae desde el 15% de febrero de 2023 hasta el 6% de doce meses después.</w:t>
      </w:r>
    </w:p>
    <w:p w14:paraId="5063B97B" w14:textId="77777777" w:rsidR="009A2E4C"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383D314C" wp14:editId="1E99080E">
            <wp:extent cx="5754053" cy="3879703"/>
            <wp:effectExtent l="0" t="0" r="0" b="0"/>
            <wp:docPr id="2066816568" name="image3.jpg" descr="Interfaz de usuario gráfica,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nterfaz de usuario gráfica, Gráfico&#10;&#10;Descripción generada automáticamente"/>
                    <pic:cNvPicPr preferRelativeResize="0"/>
                  </pic:nvPicPr>
                  <pic:blipFill>
                    <a:blip r:embed="rId10"/>
                    <a:srcRect l="3032" t="3391" r="3817"/>
                    <a:stretch>
                      <a:fillRect/>
                    </a:stretch>
                  </pic:blipFill>
                  <pic:spPr>
                    <a:xfrm>
                      <a:off x="0" y="0"/>
                      <a:ext cx="5754053" cy="3879703"/>
                    </a:xfrm>
                    <a:prstGeom prst="rect">
                      <a:avLst/>
                    </a:prstGeom>
                    <a:ln/>
                  </pic:spPr>
                </pic:pic>
              </a:graphicData>
            </a:graphic>
          </wp:inline>
        </w:drawing>
      </w:r>
    </w:p>
    <w:p w14:paraId="706D8AC4" w14:textId="77777777" w:rsidR="006D2A92" w:rsidRDefault="006D2A92">
      <w:pPr>
        <w:spacing w:line="276" w:lineRule="auto"/>
        <w:ind w:right="4"/>
        <w:jc w:val="both"/>
        <w:rPr>
          <w:rFonts w:ascii="Open Sans" w:eastAsia="Open Sans" w:hAnsi="Open Sans" w:cs="Open Sans"/>
          <w:sz w:val="22"/>
          <w:szCs w:val="22"/>
        </w:rPr>
      </w:pPr>
    </w:p>
    <w:p w14:paraId="1CCF89D0" w14:textId="7025AD12"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Aunque, en general, los motivos de estos vendedores herederos no difieren mucho de los que esgrimen los vendedores en su conjunto, sí que hay ciertos matices. Así, los herederos señalan comparativamente más </w:t>
      </w:r>
      <w:r>
        <w:rPr>
          <w:rFonts w:ascii="Open Sans" w:eastAsia="Open Sans" w:hAnsi="Open Sans" w:cs="Open Sans"/>
          <w:b/>
          <w:sz w:val="22"/>
          <w:szCs w:val="22"/>
        </w:rPr>
        <w:t>el no querer tener problemas con el pago del alquiler</w:t>
      </w:r>
      <w:r>
        <w:rPr>
          <w:rFonts w:ascii="Open Sans" w:eastAsia="Open Sans" w:hAnsi="Open Sans" w:cs="Open Sans"/>
          <w:sz w:val="22"/>
          <w:szCs w:val="22"/>
        </w:rPr>
        <w:t xml:space="preserve">, mientras que los vendedores en general señalan más </w:t>
      </w:r>
      <w:r>
        <w:rPr>
          <w:rFonts w:ascii="Open Sans" w:eastAsia="Open Sans" w:hAnsi="Open Sans" w:cs="Open Sans"/>
          <w:b/>
          <w:sz w:val="22"/>
          <w:szCs w:val="22"/>
        </w:rPr>
        <w:t>el querer comprarse otra vivienda</w:t>
      </w:r>
      <w:r>
        <w:rPr>
          <w:rFonts w:ascii="Open Sans" w:eastAsia="Open Sans" w:hAnsi="Open Sans" w:cs="Open Sans"/>
          <w:sz w:val="22"/>
          <w:szCs w:val="22"/>
        </w:rPr>
        <w:t>, motivo que es el segundo más citado después de los motivos personales.</w:t>
      </w:r>
    </w:p>
    <w:p w14:paraId="60E6BA24" w14:textId="77777777" w:rsidR="009A2E4C" w:rsidRDefault="009A2E4C">
      <w:pPr>
        <w:spacing w:line="276" w:lineRule="auto"/>
        <w:ind w:right="4"/>
        <w:jc w:val="both"/>
        <w:rPr>
          <w:rFonts w:ascii="Open Sans" w:eastAsia="Open Sans" w:hAnsi="Open Sans" w:cs="Open Sans"/>
          <w:sz w:val="22"/>
          <w:szCs w:val="22"/>
        </w:rPr>
      </w:pPr>
    </w:p>
    <w:p w14:paraId="0E7FDF28"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 lo que se refiere a </w:t>
      </w:r>
      <w:r>
        <w:rPr>
          <w:rFonts w:ascii="Open Sans" w:eastAsia="Open Sans" w:hAnsi="Open Sans" w:cs="Open Sans"/>
          <w:b/>
          <w:sz w:val="22"/>
          <w:szCs w:val="22"/>
        </w:rPr>
        <w:t>las dificultades para la venta</w:t>
      </w:r>
      <w:r>
        <w:rPr>
          <w:rFonts w:ascii="Open Sans" w:eastAsia="Open Sans" w:hAnsi="Open Sans" w:cs="Open Sans"/>
          <w:sz w:val="22"/>
          <w:szCs w:val="22"/>
        </w:rPr>
        <w:t xml:space="preserve"> con las que se topan los herederos vendedores, encabeza la lista la labor de las inmobiliarias, aspecto señalado por el 22%, el mismo porcentaje que en 2023. A continuación, se sitúa el elevado precio, indicado en el 17% de las consultas. En este caso se trata de un porcentaje sensiblemente inferior al de hace un año, cuando también alcanzaba el 22%. Estas dos son también las principales dificultades para los vendedores en general, aunque en porcentajes superiores (24% y 25%, respectivamente).</w:t>
      </w:r>
    </w:p>
    <w:p w14:paraId="5AA0C078" w14:textId="77777777" w:rsidR="009A2E4C" w:rsidRDefault="009A2E4C">
      <w:pPr>
        <w:spacing w:line="276" w:lineRule="auto"/>
        <w:ind w:right="4"/>
        <w:jc w:val="both"/>
        <w:rPr>
          <w:rFonts w:ascii="Open Sans" w:eastAsia="Open Sans" w:hAnsi="Open Sans" w:cs="Open Sans"/>
          <w:sz w:val="22"/>
          <w:szCs w:val="22"/>
        </w:rPr>
      </w:pPr>
    </w:p>
    <w:p w14:paraId="6404AB9C"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La tercera complicación que se expone es </w:t>
      </w:r>
      <w:r>
        <w:rPr>
          <w:rFonts w:ascii="Open Sans" w:eastAsia="Open Sans" w:hAnsi="Open Sans" w:cs="Open Sans"/>
          <w:b/>
          <w:sz w:val="22"/>
          <w:szCs w:val="22"/>
        </w:rPr>
        <w:t>la escasa disponibilidad de tiempo para enseñar la vivienda</w:t>
      </w:r>
      <w:r>
        <w:rPr>
          <w:rFonts w:ascii="Open Sans" w:eastAsia="Open Sans" w:hAnsi="Open Sans" w:cs="Open Sans"/>
          <w:sz w:val="22"/>
          <w:szCs w:val="22"/>
        </w:rPr>
        <w:t>, circunstancia que es reseñada en el 13% de las ocasiones. Le siguen la ubicación de la vivienda, con un 12%, y la elevada cantidad de ofertas recibidas, con un 11%.</w:t>
      </w:r>
    </w:p>
    <w:p w14:paraId="22386EB8" w14:textId="77777777" w:rsidR="009A2E4C" w:rsidRDefault="009A2E4C">
      <w:pPr>
        <w:spacing w:line="276" w:lineRule="auto"/>
        <w:ind w:right="4"/>
        <w:jc w:val="both"/>
        <w:rPr>
          <w:rFonts w:ascii="Open Sans" w:eastAsia="Open Sans" w:hAnsi="Open Sans" w:cs="Open Sans"/>
          <w:sz w:val="22"/>
          <w:szCs w:val="22"/>
        </w:rPr>
      </w:pPr>
    </w:p>
    <w:p w14:paraId="69FC43A9"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Una dificultad que se desinfla con respecto a los años anteriores es la que tiene que ver con </w:t>
      </w:r>
      <w:r>
        <w:rPr>
          <w:rFonts w:ascii="Open Sans" w:eastAsia="Open Sans" w:hAnsi="Open Sans" w:cs="Open Sans"/>
          <w:b/>
          <w:sz w:val="22"/>
          <w:szCs w:val="22"/>
        </w:rPr>
        <w:t>la desconfianza sobre los posibles inquilinos</w:t>
      </w:r>
      <w:r>
        <w:rPr>
          <w:rFonts w:ascii="Open Sans" w:eastAsia="Open Sans" w:hAnsi="Open Sans" w:cs="Open Sans"/>
          <w:sz w:val="22"/>
          <w:szCs w:val="22"/>
        </w:rPr>
        <w:t>, que cae a un 3% después de haber alcanzado en 2023 el 11%.</w:t>
      </w:r>
    </w:p>
    <w:p w14:paraId="178AFC8B" w14:textId="77777777" w:rsidR="009A2E4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Tres grandes motivos para alquilar la vivienda heredada</w:t>
      </w:r>
    </w:p>
    <w:p w14:paraId="4A072D13" w14:textId="77777777" w:rsidR="009A2E4C" w:rsidRDefault="009A2E4C">
      <w:pPr>
        <w:spacing w:line="276" w:lineRule="auto"/>
        <w:ind w:right="4"/>
        <w:jc w:val="both"/>
        <w:rPr>
          <w:rFonts w:ascii="Open Sans" w:eastAsia="Open Sans" w:hAnsi="Open Sans" w:cs="Open Sans"/>
          <w:sz w:val="22"/>
          <w:szCs w:val="22"/>
        </w:rPr>
      </w:pPr>
    </w:p>
    <w:p w14:paraId="1058FDCF"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Las razones fundamentales para alquilar en lugar de vender la vivienda heredada se apoyan en tres argumentos: </w:t>
      </w:r>
      <w:r>
        <w:rPr>
          <w:rFonts w:ascii="Open Sans" w:eastAsia="Open Sans" w:hAnsi="Open Sans" w:cs="Open Sans"/>
          <w:b/>
          <w:sz w:val="22"/>
          <w:szCs w:val="22"/>
        </w:rPr>
        <w:t>es una fuente de ingresos (56%); preferir que esté ocupada (46%) y la rentabilidad que ofrece el alquiler (36%).</w:t>
      </w:r>
    </w:p>
    <w:p w14:paraId="410DA1C0" w14:textId="77777777" w:rsidR="009A2E4C" w:rsidRDefault="009A2E4C">
      <w:pPr>
        <w:spacing w:line="276" w:lineRule="auto"/>
        <w:ind w:right="4"/>
        <w:jc w:val="both"/>
        <w:rPr>
          <w:rFonts w:ascii="Open Sans" w:eastAsia="Open Sans" w:hAnsi="Open Sans" w:cs="Open Sans"/>
          <w:sz w:val="22"/>
          <w:szCs w:val="22"/>
        </w:rPr>
      </w:pPr>
    </w:p>
    <w:p w14:paraId="43031B64"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 los tres casos se aprecia un significativo incremento respecto al año anterior, especialmente en el primero de los motivos, que pasa del 45% de 2023 al 56% de doce meses después. Este porcentaje es incluso superior al 51% de 2022. </w:t>
      </w:r>
    </w:p>
    <w:p w14:paraId="693EA098" w14:textId="77777777" w:rsidR="009A2E4C" w:rsidRDefault="009A2E4C">
      <w:pPr>
        <w:spacing w:line="276" w:lineRule="auto"/>
        <w:ind w:right="4"/>
        <w:jc w:val="both"/>
        <w:rPr>
          <w:rFonts w:ascii="Open Sans" w:eastAsia="Open Sans" w:hAnsi="Open Sans" w:cs="Open Sans"/>
          <w:sz w:val="22"/>
          <w:szCs w:val="22"/>
        </w:rPr>
      </w:pPr>
    </w:p>
    <w:p w14:paraId="22A3DC2F"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La segunda razón para alquilar (es </w:t>
      </w:r>
      <w:r>
        <w:rPr>
          <w:rFonts w:ascii="Open Sans" w:eastAsia="Open Sans" w:hAnsi="Open Sans" w:cs="Open Sans"/>
          <w:b/>
          <w:sz w:val="22"/>
          <w:szCs w:val="22"/>
        </w:rPr>
        <w:t>preferible que esté ocupada</w:t>
      </w:r>
      <w:r>
        <w:rPr>
          <w:rFonts w:ascii="Open Sans" w:eastAsia="Open Sans" w:hAnsi="Open Sans" w:cs="Open Sans"/>
          <w:sz w:val="22"/>
          <w:szCs w:val="22"/>
        </w:rPr>
        <w:t xml:space="preserve">) crece en ocho puntos porcentuales, ya que en 2023 la cifra se quedó en el 38%. Pese a este incremento, todavía está lejos del 50% anotado dos años antes. </w:t>
      </w:r>
    </w:p>
    <w:p w14:paraId="0342BF4F" w14:textId="77777777" w:rsidR="009A2E4C" w:rsidRDefault="009A2E4C">
      <w:pPr>
        <w:spacing w:line="276" w:lineRule="auto"/>
        <w:ind w:right="4"/>
        <w:jc w:val="both"/>
        <w:rPr>
          <w:rFonts w:ascii="Open Sans" w:eastAsia="Open Sans" w:hAnsi="Open Sans" w:cs="Open Sans"/>
          <w:sz w:val="22"/>
          <w:szCs w:val="22"/>
        </w:rPr>
      </w:pPr>
    </w:p>
    <w:p w14:paraId="32B1F113" w14:textId="77777777"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 cuanto al tercer motivo, el de </w:t>
      </w:r>
      <w:r>
        <w:rPr>
          <w:rFonts w:ascii="Open Sans" w:eastAsia="Open Sans" w:hAnsi="Open Sans" w:cs="Open Sans"/>
          <w:b/>
          <w:sz w:val="22"/>
          <w:szCs w:val="22"/>
        </w:rPr>
        <w:t>la rentabilidad</w:t>
      </w:r>
      <w:r>
        <w:rPr>
          <w:rFonts w:ascii="Open Sans" w:eastAsia="Open Sans" w:hAnsi="Open Sans" w:cs="Open Sans"/>
          <w:sz w:val="22"/>
          <w:szCs w:val="22"/>
        </w:rPr>
        <w:t>, sube del 31% al 36%, acercándose así al 39% que se alcanzó en febrero de 2022.</w:t>
      </w:r>
    </w:p>
    <w:p w14:paraId="5B36EA4A" w14:textId="77777777" w:rsidR="006D2A92" w:rsidRDefault="006D2A92">
      <w:pPr>
        <w:spacing w:line="276" w:lineRule="auto"/>
        <w:ind w:right="4"/>
        <w:jc w:val="both"/>
        <w:rPr>
          <w:rFonts w:ascii="Open Sans" w:eastAsia="Open Sans" w:hAnsi="Open Sans" w:cs="Open Sans"/>
          <w:sz w:val="22"/>
          <w:szCs w:val="22"/>
        </w:rPr>
      </w:pPr>
    </w:p>
    <w:p w14:paraId="6F7A224B" w14:textId="77777777" w:rsidR="009A2E4C" w:rsidRDefault="00000000">
      <w:pPr>
        <w:spacing w:line="276" w:lineRule="auto"/>
        <w:ind w:right="4"/>
        <w:jc w:val="both"/>
        <w:rPr>
          <w:rFonts w:ascii="Open Sans" w:eastAsia="Open Sans" w:hAnsi="Open Sans" w:cs="Open Sans"/>
          <w:sz w:val="22"/>
          <w:szCs w:val="22"/>
        </w:rPr>
      </w:pPr>
      <w:r>
        <w:rPr>
          <w:noProof/>
        </w:rPr>
        <w:drawing>
          <wp:inline distT="0" distB="0" distL="0" distR="0" wp14:anchorId="6FD6B396" wp14:editId="1AB46BAB">
            <wp:extent cx="5754053" cy="4126538"/>
            <wp:effectExtent l="0" t="0" r="0" b="0"/>
            <wp:docPr id="2066816566" name="image4.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Imagen que contiene Gráfico&#10;&#10;Descripción generada automáticamente"/>
                    <pic:cNvPicPr preferRelativeResize="0"/>
                  </pic:nvPicPr>
                  <pic:blipFill>
                    <a:blip r:embed="rId11"/>
                    <a:srcRect l="5549" r="3867"/>
                    <a:stretch>
                      <a:fillRect/>
                    </a:stretch>
                  </pic:blipFill>
                  <pic:spPr>
                    <a:xfrm>
                      <a:off x="0" y="0"/>
                      <a:ext cx="5754053" cy="4126538"/>
                    </a:xfrm>
                    <a:prstGeom prst="rect">
                      <a:avLst/>
                    </a:prstGeom>
                    <a:ln/>
                  </pic:spPr>
                </pic:pic>
              </a:graphicData>
            </a:graphic>
          </wp:inline>
        </w:drawing>
      </w:r>
    </w:p>
    <w:p w14:paraId="3B829786" w14:textId="77777777" w:rsidR="009A2E4C" w:rsidRDefault="009A2E4C">
      <w:pPr>
        <w:spacing w:line="276" w:lineRule="auto"/>
        <w:ind w:right="4"/>
        <w:jc w:val="both"/>
        <w:rPr>
          <w:rFonts w:ascii="Open Sans" w:eastAsia="Open Sans" w:hAnsi="Open Sans" w:cs="Open Sans"/>
          <w:sz w:val="22"/>
          <w:szCs w:val="22"/>
        </w:rPr>
      </w:pPr>
    </w:p>
    <w:p w14:paraId="4270F150" w14:textId="77777777" w:rsidR="006D2A92" w:rsidRDefault="006D2A92">
      <w:pPr>
        <w:spacing w:line="276" w:lineRule="auto"/>
        <w:ind w:right="4"/>
        <w:jc w:val="both"/>
        <w:rPr>
          <w:rFonts w:ascii="Open Sans" w:eastAsia="Open Sans" w:hAnsi="Open Sans" w:cs="Open Sans"/>
          <w:sz w:val="22"/>
          <w:szCs w:val="22"/>
        </w:rPr>
      </w:pPr>
    </w:p>
    <w:p w14:paraId="0125A8FA" w14:textId="77777777" w:rsidR="006D2A92" w:rsidRDefault="006D2A92">
      <w:pPr>
        <w:spacing w:line="276" w:lineRule="auto"/>
        <w:ind w:right="4"/>
        <w:jc w:val="both"/>
        <w:rPr>
          <w:rFonts w:ascii="Open Sans" w:eastAsia="Open Sans" w:hAnsi="Open Sans" w:cs="Open Sans"/>
          <w:sz w:val="22"/>
          <w:szCs w:val="22"/>
        </w:rPr>
      </w:pPr>
    </w:p>
    <w:p w14:paraId="1BFBC853" w14:textId="01E67510" w:rsidR="009A2E4C"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lastRenderedPageBreak/>
        <w:t xml:space="preserve">Si comparamos el arrendador heredero con el conjunto de los arrendadores, observamos que el podio de motivos para alquilar coincide, si bien la segunda posición, en este caso, </w:t>
      </w:r>
      <w:r w:rsidRPr="008D0479">
        <w:rPr>
          <w:rFonts w:ascii="Open Sans" w:eastAsia="Open Sans" w:hAnsi="Open Sans" w:cs="Open Sans"/>
          <w:b/>
          <w:bCs/>
          <w:sz w:val="22"/>
          <w:szCs w:val="22"/>
        </w:rPr>
        <w:t>la ocupa la rentabilidad que ofrece el alquiler</w:t>
      </w:r>
      <w:r>
        <w:rPr>
          <w:rFonts w:ascii="Open Sans" w:eastAsia="Open Sans" w:hAnsi="Open Sans" w:cs="Open Sans"/>
          <w:sz w:val="22"/>
          <w:szCs w:val="22"/>
        </w:rPr>
        <w:t>. También destaca el hecho de que el peso de la fuente de ingresos es muy superior en los arrendadores en general (64%) que en los herederos arrendadores (56%).</w:t>
      </w:r>
    </w:p>
    <w:p w14:paraId="2540C70F" w14:textId="77777777" w:rsidR="009A2E4C" w:rsidRDefault="009A2E4C">
      <w:pPr>
        <w:spacing w:line="276" w:lineRule="auto"/>
        <w:ind w:right="4"/>
        <w:jc w:val="both"/>
        <w:rPr>
          <w:rFonts w:ascii="Open Sans" w:eastAsia="Open Sans" w:hAnsi="Open Sans" w:cs="Open Sans"/>
          <w:sz w:val="22"/>
          <w:szCs w:val="22"/>
        </w:rPr>
      </w:pPr>
    </w:p>
    <w:p w14:paraId="4121590D" w14:textId="77777777" w:rsidR="009A2E4C" w:rsidRDefault="00000000">
      <w:pPr>
        <w:spacing w:line="276" w:lineRule="auto"/>
        <w:ind w:right="4"/>
        <w:jc w:val="both"/>
        <w:rPr>
          <w:rFonts w:ascii="Open Sans" w:eastAsia="Open Sans" w:hAnsi="Open Sans" w:cs="Open Sans"/>
          <w:b/>
          <w:sz w:val="22"/>
          <w:szCs w:val="22"/>
        </w:rPr>
      </w:pPr>
      <w:r>
        <w:rPr>
          <w:rFonts w:ascii="Open Sans" w:eastAsia="Open Sans" w:hAnsi="Open Sans" w:cs="Open Sans"/>
          <w:sz w:val="22"/>
          <w:szCs w:val="22"/>
        </w:rPr>
        <w:t>En lo que corresponde al principal freno de los herederos arrendadores a la hora de alquilar la vivienda, prima la desconfianza sobre los posibles inquilinos (43%), seguido de la disponibilidad de tiempo para enseñar la vivienda (13%), la labor de inmobiliarias y agencias y la elevada cantidad de ofertas (11% en ambos casos). De estas razones, llama la atención la reducción que experimenta la atribuida a la acción de inmobiliarias y agencias, que cae en solo un año del 24% al 11%, nada menos que trece puntos porcentuales, regresando así a los valores de febrero de 2022.</w:t>
      </w:r>
    </w:p>
    <w:p w14:paraId="37620FF4" w14:textId="77777777" w:rsidR="009A2E4C" w:rsidRDefault="009A2E4C">
      <w:pPr>
        <w:spacing w:line="276" w:lineRule="auto"/>
        <w:ind w:right="4"/>
        <w:jc w:val="both"/>
        <w:rPr>
          <w:rFonts w:ascii="Open Sans" w:eastAsia="Open Sans" w:hAnsi="Open Sans" w:cs="Open Sans"/>
          <w:b/>
          <w:sz w:val="22"/>
          <w:szCs w:val="22"/>
        </w:rPr>
      </w:pPr>
    </w:p>
    <w:p w14:paraId="647502A1" w14:textId="77777777" w:rsidR="009A2E4C" w:rsidRDefault="009A2E4C">
      <w:pPr>
        <w:spacing w:line="276" w:lineRule="auto"/>
        <w:ind w:right="4"/>
        <w:jc w:val="both"/>
        <w:rPr>
          <w:rFonts w:ascii="Open Sans" w:eastAsia="Open Sans" w:hAnsi="Open Sans" w:cs="Open Sans"/>
          <w:b/>
          <w:sz w:val="22"/>
          <w:szCs w:val="22"/>
        </w:rPr>
      </w:pPr>
    </w:p>
    <w:p w14:paraId="77F2C3C2" w14:textId="77777777" w:rsidR="009A2E4C" w:rsidRDefault="009A2E4C">
      <w:pPr>
        <w:spacing w:line="276" w:lineRule="auto"/>
        <w:ind w:right="4"/>
        <w:jc w:val="both"/>
        <w:rPr>
          <w:rFonts w:ascii="Open Sans" w:eastAsia="Open Sans" w:hAnsi="Open Sans" w:cs="Open Sans"/>
          <w:b/>
          <w:sz w:val="22"/>
          <w:szCs w:val="22"/>
        </w:rPr>
      </w:pPr>
    </w:p>
    <w:p w14:paraId="374CF18C" w14:textId="77777777" w:rsidR="009A2E4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DDB5C4E" w14:textId="77777777" w:rsidR="009A2E4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370EB04" w14:textId="77777777" w:rsidR="009A2E4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4">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1DF4A14B" w14:textId="77777777" w:rsidR="009A2E4C" w:rsidRDefault="00000000">
      <w:pPr>
        <w:shd w:val="clear" w:color="auto" w:fill="FFFFFF"/>
        <w:spacing w:before="280" w:after="280" w:line="276" w:lineRule="auto"/>
        <w:jc w:val="both"/>
        <w:rPr>
          <w:rFonts w:ascii="Open Sans" w:eastAsia="Open Sans" w:hAnsi="Open Sans" w:cs="Open Sans"/>
          <w:sz w:val="22"/>
          <w:szCs w:val="22"/>
        </w:rPr>
      </w:pPr>
      <w:hyperlink r:id="rId15">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4CDC6D7F" w14:textId="77777777" w:rsidR="009A2E4C" w:rsidRDefault="009A2E4C">
      <w:pPr>
        <w:spacing w:line="276" w:lineRule="auto"/>
        <w:jc w:val="right"/>
        <w:rPr>
          <w:rFonts w:ascii="Open Sans Light" w:eastAsia="Open Sans Light" w:hAnsi="Open Sans Light" w:cs="Open Sans Light"/>
          <w:b/>
          <w:color w:val="303AB2"/>
        </w:rPr>
      </w:pPr>
    </w:p>
    <w:p w14:paraId="3F618444" w14:textId="77777777" w:rsidR="009A2E4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1B1C0A75" w14:textId="77777777" w:rsidR="009A2E4C"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DC9F79C" w14:textId="77777777" w:rsidR="009A2E4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w:t>
      </w:r>
      <w:r>
        <w:rPr>
          <w:rFonts w:ascii="Open Sans" w:eastAsia="Open Sans" w:hAnsi="Open Sans" w:cs="Open Sans"/>
          <w:sz w:val="22"/>
          <w:szCs w:val="22"/>
        </w:rPr>
        <w:lastRenderedPageBreak/>
        <w:t>otorgando una nueva oportunidad a quienes la están buscando y dando a las cosas una segunda vida.</w:t>
      </w:r>
    </w:p>
    <w:p w14:paraId="682CCBA0" w14:textId="77777777" w:rsidR="009A2E4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198C9C8F" w14:textId="77777777" w:rsidR="009A2E4C"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425ECED9" w14:textId="77777777" w:rsidR="009A2E4C" w:rsidRDefault="009A2E4C">
      <w:pPr>
        <w:spacing w:line="276" w:lineRule="auto"/>
        <w:jc w:val="right"/>
        <w:rPr>
          <w:rFonts w:ascii="Open Sans" w:eastAsia="Open Sans" w:hAnsi="Open Sans" w:cs="Open Sans"/>
        </w:rPr>
      </w:pPr>
    </w:p>
    <w:p w14:paraId="4A323DD0" w14:textId="77777777" w:rsidR="009A2E4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47A2C62" w14:textId="77777777" w:rsidR="009A2E4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E055A95" w14:textId="77777777" w:rsidR="009A2E4C"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0E70DBB3" w14:textId="77777777" w:rsidR="009A2E4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AA92624" w14:textId="77777777" w:rsidR="009A2E4C" w:rsidRDefault="009A2E4C">
      <w:pPr>
        <w:spacing w:line="276" w:lineRule="auto"/>
        <w:rPr>
          <w:rFonts w:ascii="Open Sans Light" w:eastAsia="Open Sans Light" w:hAnsi="Open Sans Light" w:cs="Open Sans Light"/>
          <w:b/>
          <w:color w:val="303AB2"/>
          <w:sz w:val="22"/>
          <w:szCs w:val="22"/>
        </w:rPr>
      </w:pPr>
    </w:p>
    <w:p w14:paraId="6628EAD3" w14:textId="77777777" w:rsidR="009A2E4C" w:rsidRDefault="009A2E4C">
      <w:pPr>
        <w:spacing w:line="276" w:lineRule="auto"/>
        <w:rPr>
          <w:rFonts w:ascii="Open Sans Light" w:eastAsia="Open Sans Light" w:hAnsi="Open Sans Light" w:cs="Open Sans Light"/>
          <w:b/>
          <w:color w:val="303AB2"/>
          <w:sz w:val="22"/>
          <w:szCs w:val="22"/>
        </w:rPr>
      </w:pPr>
    </w:p>
    <w:p w14:paraId="4AC57FE3" w14:textId="77777777" w:rsidR="009A2E4C"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15C7FC23" w14:textId="77777777" w:rsidR="009A2E4C"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342087EF" w14:textId="77777777" w:rsidR="009A2E4C" w:rsidRDefault="00000000">
      <w:pPr>
        <w:shd w:val="clear" w:color="auto" w:fill="FFFFFF"/>
        <w:ind w:right="-433"/>
        <w:rPr>
          <w:rFonts w:ascii="Open Sans" w:eastAsia="Open Sans" w:hAnsi="Open Sans" w:cs="Open Sans"/>
          <w:b/>
          <w:sz w:val="22"/>
          <w:szCs w:val="22"/>
        </w:rPr>
      </w:pPr>
      <w:hyperlink r:id="rId24">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5F0B9EA9" w14:textId="77777777" w:rsidR="009A2E4C" w:rsidRPr="00B56038" w:rsidRDefault="00000000">
      <w:pPr>
        <w:shd w:val="clear" w:color="auto" w:fill="FFFFFF"/>
        <w:ind w:right="-433"/>
        <w:rPr>
          <w:rFonts w:ascii="Open Sans" w:eastAsia="Open Sans" w:hAnsi="Open Sans" w:cs="Open Sans"/>
          <w:sz w:val="22"/>
          <w:szCs w:val="22"/>
          <w:lang w:val="en-US"/>
        </w:rPr>
      </w:pPr>
      <w:r w:rsidRPr="00B56038">
        <w:rPr>
          <w:rFonts w:ascii="Open Sans" w:eastAsia="Open Sans" w:hAnsi="Open Sans" w:cs="Open Sans"/>
          <w:sz w:val="22"/>
          <w:szCs w:val="22"/>
          <w:lang w:val="en-US"/>
        </w:rPr>
        <w:t>663 35 69 75 </w:t>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r w:rsidRPr="00B56038">
        <w:rPr>
          <w:rFonts w:ascii="Open Sans" w:eastAsia="Open Sans" w:hAnsi="Open Sans" w:cs="Open Sans"/>
          <w:sz w:val="22"/>
          <w:szCs w:val="22"/>
          <w:lang w:val="en-US"/>
        </w:rPr>
        <w:tab/>
      </w:r>
    </w:p>
    <w:p w14:paraId="5BD29422" w14:textId="77777777" w:rsidR="009A2E4C" w:rsidRPr="00B56038" w:rsidRDefault="00000000">
      <w:pPr>
        <w:shd w:val="clear" w:color="auto" w:fill="FFFFFF"/>
        <w:ind w:right="-433"/>
        <w:rPr>
          <w:color w:val="222222"/>
          <w:sz w:val="22"/>
          <w:szCs w:val="22"/>
          <w:lang w:val="en-US"/>
        </w:rPr>
      </w:pPr>
      <w:r w:rsidRPr="00B56038">
        <w:rPr>
          <w:color w:val="222222"/>
          <w:sz w:val="22"/>
          <w:szCs w:val="22"/>
          <w:lang w:val="en-US"/>
        </w:rPr>
        <w:tab/>
      </w:r>
      <w:r w:rsidRPr="00B56038">
        <w:rPr>
          <w:color w:val="222222"/>
          <w:sz w:val="22"/>
          <w:szCs w:val="22"/>
          <w:lang w:val="en-US"/>
        </w:rPr>
        <w:tab/>
        <w:t xml:space="preserve">     </w:t>
      </w:r>
    </w:p>
    <w:p w14:paraId="3889B4EB" w14:textId="77777777" w:rsidR="009A2E4C" w:rsidRPr="00B56038" w:rsidRDefault="00000000">
      <w:pPr>
        <w:shd w:val="clear" w:color="auto" w:fill="FFFFFF"/>
        <w:ind w:right="-433"/>
        <w:rPr>
          <w:rFonts w:ascii="Open Sans" w:eastAsia="Open Sans" w:hAnsi="Open Sans" w:cs="Open Sans"/>
          <w:b/>
          <w:sz w:val="22"/>
          <w:szCs w:val="22"/>
          <w:lang w:val="en-US"/>
        </w:rPr>
      </w:pPr>
      <w:r w:rsidRPr="00B56038">
        <w:rPr>
          <w:rFonts w:ascii="Open Sans" w:eastAsia="Open Sans" w:hAnsi="Open Sans" w:cs="Open Sans"/>
          <w:b/>
          <w:sz w:val="22"/>
          <w:szCs w:val="22"/>
          <w:lang w:val="en-US"/>
        </w:rPr>
        <w:t>Judit Campillos</w:t>
      </w:r>
    </w:p>
    <w:p w14:paraId="15EE69AD" w14:textId="77777777" w:rsidR="009A2E4C" w:rsidRPr="00B56038" w:rsidRDefault="00000000">
      <w:pPr>
        <w:shd w:val="clear" w:color="auto" w:fill="FFFFFF"/>
        <w:ind w:right="-433"/>
        <w:rPr>
          <w:rFonts w:ascii="Open Sans" w:eastAsia="Open Sans" w:hAnsi="Open Sans" w:cs="Open Sans"/>
          <w:b/>
          <w:sz w:val="22"/>
          <w:szCs w:val="22"/>
          <w:lang w:val="en-US"/>
        </w:rPr>
      </w:pPr>
      <w:r w:rsidRPr="00B56038">
        <w:rPr>
          <w:rFonts w:ascii="Open Sans" w:eastAsia="Open Sans" w:hAnsi="Open Sans" w:cs="Open Sans"/>
          <w:color w:val="0000FF"/>
          <w:sz w:val="22"/>
          <w:szCs w:val="22"/>
          <w:u w:val="single"/>
          <w:lang w:val="en-US"/>
        </w:rPr>
        <w:t>jcampillos</w:t>
      </w:r>
      <w:hyperlink r:id="rId25">
        <w:r w:rsidRPr="00B56038">
          <w:rPr>
            <w:rFonts w:ascii="Open Sans" w:eastAsia="Open Sans" w:hAnsi="Open Sans" w:cs="Open Sans"/>
            <w:color w:val="0000FF"/>
            <w:sz w:val="22"/>
            <w:szCs w:val="22"/>
            <w:u w:val="single"/>
            <w:lang w:val="en-US"/>
          </w:rPr>
          <w:t>@ll</w:t>
        </w:r>
      </w:hyperlink>
      <w:r w:rsidRPr="00B56038">
        <w:rPr>
          <w:rFonts w:ascii="Open Sans" w:eastAsia="Open Sans" w:hAnsi="Open Sans" w:cs="Open Sans"/>
          <w:color w:val="0000FF"/>
          <w:sz w:val="22"/>
          <w:szCs w:val="22"/>
          <w:u w:val="single"/>
          <w:lang w:val="en-US"/>
        </w:rPr>
        <w:t>yc.global</w:t>
      </w:r>
      <w:r w:rsidRPr="00B56038">
        <w:rPr>
          <w:rFonts w:ascii="Open Sans" w:eastAsia="Open Sans" w:hAnsi="Open Sans" w:cs="Open Sans"/>
          <w:color w:val="0000FF"/>
          <w:sz w:val="22"/>
          <w:szCs w:val="22"/>
          <w:lang w:val="en-US"/>
        </w:rPr>
        <w:tab/>
      </w:r>
      <w:r w:rsidRPr="00B56038">
        <w:rPr>
          <w:rFonts w:ascii="Open Sans" w:eastAsia="Open Sans" w:hAnsi="Open Sans" w:cs="Open Sans"/>
          <w:color w:val="0000FF"/>
          <w:sz w:val="22"/>
          <w:szCs w:val="22"/>
          <w:lang w:val="en-US"/>
        </w:rPr>
        <w:tab/>
      </w:r>
    </w:p>
    <w:p w14:paraId="7658BE34" w14:textId="77777777" w:rsidR="009A2E4C" w:rsidRDefault="00000000">
      <w:pPr>
        <w:shd w:val="clear" w:color="auto" w:fill="FFFFFF"/>
        <w:ind w:right="-433"/>
        <w:rPr>
          <w:rFonts w:ascii="Open Sans" w:eastAsia="Open Sans" w:hAnsi="Open Sans" w:cs="Open Sans"/>
          <w:sz w:val="22"/>
          <w:szCs w:val="22"/>
        </w:rPr>
      </w:pPr>
      <w:r>
        <w:rPr>
          <w:rFonts w:ascii="Open Sans" w:eastAsia="Open Sans" w:hAnsi="Open Sans" w:cs="Open Sans"/>
          <w:sz w:val="22"/>
          <w:szCs w:val="22"/>
        </w:rPr>
        <w:t>699 13 91 53</w:t>
      </w:r>
    </w:p>
    <w:p w14:paraId="4585BF1C" w14:textId="77777777" w:rsidR="009A2E4C" w:rsidRDefault="009A2E4C">
      <w:pPr>
        <w:rPr>
          <w:rFonts w:ascii="Open Sans" w:eastAsia="Open Sans" w:hAnsi="Open Sans" w:cs="Open Sans"/>
          <w:color w:val="30302E"/>
          <w:sz w:val="22"/>
          <w:szCs w:val="22"/>
          <w:highlight w:val="white"/>
        </w:rPr>
      </w:pPr>
    </w:p>
    <w:p w14:paraId="37017681" w14:textId="77777777" w:rsidR="009A2E4C"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4E2C0AD4" w14:textId="77777777" w:rsidR="009A2E4C" w:rsidRDefault="00000000">
      <w:pPr>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alicia.salvatella@llyc.global</w:t>
        </w:r>
      </w:hyperlink>
    </w:p>
    <w:p w14:paraId="0AA84A4D" w14:textId="77777777" w:rsidR="009A2E4C"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753712EF" w14:textId="77777777" w:rsidR="009A2E4C" w:rsidRDefault="009A2E4C">
      <w:pPr>
        <w:shd w:val="clear" w:color="auto" w:fill="FFFFFF"/>
        <w:rPr>
          <w:rFonts w:ascii="Open Sans" w:eastAsia="Open Sans" w:hAnsi="Open Sans" w:cs="Open Sans"/>
          <w:color w:val="000000"/>
          <w:sz w:val="22"/>
          <w:szCs w:val="22"/>
        </w:rPr>
      </w:pPr>
    </w:p>
    <w:p w14:paraId="5CDE460C" w14:textId="77777777" w:rsidR="009A2E4C" w:rsidRDefault="009A2E4C">
      <w:pPr>
        <w:shd w:val="clear" w:color="auto" w:fill="FFFFFF"/>
        <w:rPr>
          <w:rFonts w:ascii="Open Sans" w:eastAsia="Open Sans" w:hAnsi="Open Sans" w:cs="Open Sans"/>
          <w:color w:val="000000"/>
          <w:sz w:val="22"/>
          <w:szCs w:val="22"/>
        </w:rPr>
      </w:pPr>
    </w:p>
    <w:p w14:paraId="56321180" w14:textId="77777777" w:rsidR="009A2E4C" w:rsidRDefault="009A2E4C">
      <w:pPr>
        <w:spacing w:line="276" w:lineRule="auto"/>
        <w:jc w:val="center"/>
        <w:rPr>
          <w:rFonts w:ascii="Open Sans" w:eastAsia="Open Sans" w:hAnsi="Open Sans" w:cs="Open Sans"/>
          <w:color w:val="000000"/>
          <w:sz w:val="21"/>
          <w:szCs w:val="21"/>
        </w:rPr>
      </w:pPr>
    </w:p>
    <w:sectPr w:rsidR="009A2E4C">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6DE0E" w14:textId="77777777" w:rsidR="00850DBC" w:rsidRDefault="00850DBC">
      <w:r>
        <w:separator/>
      </w:r>
    </w:p>
  </w:endnote>
  <w:endnote w:type="continuationSeparator" w:id="0">
    <w:p w14:paraId="29944D75" w14:textId="77777777" w:rsidR="00850DBC" w:rsidRDefault="00850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E59976B-56BC-4F05-9AF0-2854CF4FB4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2A5FCB-E964-42F4-846C-3872F078210F}"/>
    <w:embedBold r:id="rId3" w:fontKey="{3941917B-11CF-45B5-8EA7-B67465ED6D3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7ED5E4C-3593-4FDD-A445-48479F679D1A}"/>
    <w:embedItalic r:id="rId5" w:fontKey="{690DD8A3-8C89-4CCB-8182-17ADB9875F55}"/>
  </w:font>
  <w:font w:name="Cambria">
    <w:panose1 w:val="02040503050406030204"/>
    <w:charset w:val="00"/>
    <w:family w:val="roman"/>
    <w:pitch w:val="variable"/>
    <w:sig w:usb0="E00006FF" w:usb1="420024FF" w:usb2="02000000" w:usb3="00000000" w:csb0="0000019F" w:csb1="00000000"/>
    <w:embedRegular r:id="rId6" w:fontKey="{E182B929-9A0B-4D49-9EBD-0F4C3536FE8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49F3E01-EFE3-48E7-9D39-00E77DA7BDA0}"/>
    <w:embedBold r:id="rId8" w:fontKey="{3387612A-5D5F-4F3E-95EB-BF73087A2FDA}"/>
    <w:embedBoldItalic r:id="rId9" w:fontKey="{6351AD44-6571-4633-9F0A-7B801A18E02D}"/>
  </w:font>
  <w:font w:name="Open Sans Light">
    <w:charset w:val="00"/>
    <w:family w:val="swiss"/>
    <w:pitch w:val="variable"/>
    <w:sig w:usb0="E00002EF" w:usb1="4000205B" w:usb2="00000028" w:usb3="00000000" w:csb0="0000019F" w:csb1="00000000"/>
    <w:embedRegular r:id="rId10" w:fontKey="{881798E2-3B49-4D48-A9AD-9C10FD839F90}"/>
    <w:embedBold r:id="rId11" w:fontKey="{046A35C0-33DC-4E6A-8565-56424D2619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C0798" w14:textId="77777777" w:rsidR="009A2E4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DE92D56" wp14:editId="457CE261">
          <wp:simplePos x="0" y="0"/>
          <wp:positionH relativeFrom="column">
            <wp:posOffset>-1068057</wp:posOffset>
          </wp:positionH>
          <wp:positionV relativeFrom="paragraph">
            <wp:posOffset>174608</wp:posOffset>
          </wp:positionV>
          <wp:extent cx="7670550" cy="451315"/>
          <wp:effectExtent l="0" t="0" r="0" b="0"/>
          <wp:wrapNone/>
          <wp:docPr id="20668165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F9623" w14:textId="77777777" w:rsidR="00850DBC" w:rsidRDefault="00850DBC">
      <w:r>
        <w:separator/>
      </w:r>
    </w:p>
  </w:footnote>
  <w:footnote w:type="continuationSeparator" w:id="0">
    <w:p w14:paraId="6F77294E" w14:textId="77777777" w:rsidR="00850DBC" w:rsidRDefault="00850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DC0D88"/>
    <w:multiLevelType w:val="multilevel"/>
    <w:tmpl w:val="7C96F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150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E4C"/>
    <w:rsid w:val="00295C9F"/>
    <w:rsid w:val="00382FC8"/>
    <w:rsid w:val="006D2A92"/>
    <w:rsid w:val="00837D07"/>
    <w:rsid w:val="00850DBC"/>
    <w:rsid w:val="008D0479"/>
    <w:rsid w:val="009A2E4C"/>
    <w:rsid w:val="009F2DB1"/>
    <w:rsid w:val="00B56038"/>
    <w:rsid w:val="00D62D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9FBCD"/>
  <w15:docId w15:val="{5AF44054-EF42-47B4-968B-F94E867B7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infojobs.net/" TargetMode="External"/><Relationship Id="rId26" Type="http://schemas.openxmlformats.org/officeDocument/2006/relationships/hyperlink" Target="mailto:alicia.salvatella@llyc.global" TargetMode="External"/><Relationship Id="rId3" Type="http://schemas.openxmlformats.org/officeDocument/2006/relationships/styles" Target="styles.xml"/><Relationship Id="rId21"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habitaclia.com/"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s://www.fotocasa.es/es/quienes-somos/" TargetMode="External"/><Relationship Id="rId23" Type="http://schemas.openxmlformats.org/officeDocument/2006/relationships/hyperlink" Target="mailto:comunicacion@fotocasa.es"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adevinta.com/" TargetMode="External"/><Relationship Id="rId22" Type="http://schemas.openxmlformats.org/officeDocument/2006/relationships/hyperlink" Target="http://adevint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PFj4pJ/MkOu49ykOSarcJ8dzw==">CgMxLjAyCWguMnM4ZXlvMTgAciExbGJtNGRvbWJzbkthZlNiOXlvd1RaMXE3TEc5cDZ0SGM=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1521</Words>
  <Characters>8370</Characters>
  <Application>Microsoft Office Word</Application>
  <DocSecurity>0</DocSecurity>
  <Lines>69</Lines>
  <Paragraphs>19</Paragraphs>
  <ScaleCrop>false</ScaleCrop>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2024-02-06T13:46:00Z</dcterms:created>
  <dcterms:modified xsi:type="dcterms:W3CDTF">2024-06-19T06:22:00Z</dcterms:modified>
</cp:coreProperties>
</file>