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ms-office.chartcolorstyle+xml" PartName="/word/charts/colors1.xml"/>
  <Override ContentType="application/vnd.openxmlformats-officedocument.drawingml.chart+xml" PartName="/word/charts/chart1.xml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themeOverride+xml" PartName="/word/theme/themeOverride1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ms-office.chartstyle+xml" PartName="/word/charts/style1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ind w:right="-574"/>
        <w:rPr/>
      </w:pPr>
      <w:r w:rsidDel="00000000" w:rsidR="00000000" w:rsidRPr="00000000">
        <w:rPr>
          <w:rFonts w:ascii="National" w:cs="National" w:eastAsia="National" w:hAnsi="National"/>
          <w:color w:val="303ab2"/>
          <w:sz w:val="36"/>
          <w:szCs w:val="36"/>
          <w:rtl w:val="0"/>
        </w:rPr>
        <w:t xml:space="preserve">Agrupar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-1080133</wp:posOffset>
            </wp:positionH>
            <wp:positionV relativeFrom="paragraph">
              <wp:posOffset>-447672</wp:posOffset>
            </wp:positionV>
            <wp:extent cx="7581265" cy="1019175"/>
            <wp:effectExtent b="0" l="0" r="0" t="0"/>
            <wp:wrapNone/>
            <wp:docPr id="18868572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right="-574"/>
        <w:jc w:val="right"/>
        <w:rPr>
          <w:rFonts w:ascii="National" w:cs="National" w:eastAsia="National" w:hAnsi="National"/>
          <w:color w:val="303ab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right="-574"/>
        <w:jc w:val="right"/>
        <w:rPr>
          <w:rFonts w:ascii="National" w:cs="National" w:eastAsia="National" w:hAnsi="National"/>
          <w:color w:val="303ab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-574"/>
        <w:rPr>
          <w:rFonts w:ascii="National" w:cs="National" w:eastAsia="National" w:hAnsi="National"/>
          <w:color w:val="303ab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ind w:right="-574"/>
        <w:jc w:val="center"/>
        <w:rPr>
          <w:rFonts w:ascii="National" w:cs="National" w:eastAsia="National" w:hAnsi="National"/>
          <w:b w:val="1"/>
          <w:color w:val="1dbdc5"/>
          <w:sz w:val="34"/>
          <w:szCs w:val="34"/>
        </w:rPr>
      </w:pPr>
      <w:r w:rsidDel="00000000" w:rsidR="00000000" w:rsidRPr="00000000">
        <w:rPr>
          <w:rFonts w:ascii="National" w:cs="National" w:eastAsia="National" w:hAnsi="National"/>
          <w:b w:val="1"/>
          <w:color w:val="1dbdc5"/>
          <w:sz w:val="34"/>
          <w:szCs w:val="34"/>
          <w:rtl w:val="0"/>
        </w:rPr>
        <w:t xml:space="preserve">SEGUNDO TRIMESTRE 2024: VIVIENDA EN ALQUILER</w:t>
      </w:r>
    </w:p>
    <w:p w:rsidR="00000000" w:rsidDel="00000000" w:rsidP="00000000" w:rsidRDefault="00000000" w:rsidRPr="00000000" w14:paraId="00000006">
      <w:pPr>
        <w:spacing w:line="276" w:lineRule="auto"/>
        <w:ind w:right="-574"/>
        <w:jc w:val="center"/>
        <w:rPr>
          <w:rFonts w:ascii="National" w:cs="National" w:eastAsia="National" w:hAnsi="National"/>
          <w:b w:val="1"/>
          <w:color w:val="303ab2"/>
          <w:sz w:val="46"/>
          <w:szCs w:val="46"/>
        </w:rPr>
      </w:pPr>
      <w:r w:rsidDel="00000000" w:rsidR="00000000" w:rsidRPr="00000000">
        <w:rPr>
          <w:rFonts w:ascii="National" w:cs="National" w:eastAsia="National" w:hAnsi="National"/>
          <w:b w:val="1"/>
          <w:color w:val="303ab2"/>
          <w:sz w:val="46"/>
          <w:szCs w:val="46"/>
          <w:rtl w:val="0"/>
        </w:rPr>
        <w:t xml:space="preserve">El precio del alquiler sube un 2,3% trimestral y un 9% interanual en junio en España </w:t>
      </w:r>
    </w:p>
    <w:p w:rsidR="00000000" w:rsidDel="00000000" w:rsidP="00000000" w:rsidRDefault="00000000" w:rsidRPr="00000000" w14:paraId="00000007">
      <w:pPr>
        <w:ind w:right="-574"/>
        <w:rPr>
          <w:rFonts w:ascii="National" w:cs="National" w:eastAsia="National" w:hAnsi="National"/>
          <w:b w:val="1"/>
          <w:color w:val="303ab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right="-574" w:hanging="360"/>
        <w:jc w:val="both"/>
        <w:rPr>
          <w:rFonts w:ascii="Open Sans" w:cs="Open Sans" w:eastAsia="Open Sans" w:hAnsi="Open Sans"/>
          <w:color w:val="303ab2"/>
        </w:rPr>
      </w:pPr>
      <w:r w:rsidDel="00000000" w:rsidR="00000000" w:rsidRPr="00000000">
        <w:rPr>
          <w:rFonts w:ascii="Open Sans" w:cs="Open Sans" w:eastAsia="Open Sans" w:hAnsi="Open Sans"/>
          <w:color w:val="303ab2"/>
          <w:rtl w:val="0"/>
        </w:rPr>
        <w:t xml:space="preserve">Es el segundo incremento trimestral más alto detectado en este periodo en los últimos siete años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right="-574" w:hanging="360"/>
        <w:jc w:val="both"/>
        <w:rPr>
          <w:rFonts w:ascii="Open Sans" w:cs="Open Sans" w:eastAsia="Open Sans" w:hAnsi="Open Sans"/>
          <w:color w:val="303ab2"/>
        </w:rPr>
      </w:pPr>
      <w:bookmarkStart w:colFirst="0" w:colLast="0" w:name="_heading=h.gjdgxs" w:id="0"/>
      <w:bookmarkEnd w:id="0"/>
      <w:r w:rsidDel="00000000" w:rsidR="00000000" w:rsidRPr="00000000">
        <w:rPr>
          <w:rFonts w:ascii="Open Sans" w:cs="Open Sans" w:eastAsia="Open Sans" w:hAnsi="Open Sans"/>
          <w:color w:val="303ab2"/>
          <w:rtl w:val="0"/>
        </w:rPr>
        <w:t xml:space="preserve">El precio de la vivienda interanual se sitúa en junio en 12,65 euros/m</w:t>
      </w:r>
      <w:r w:rsidDel="00000000" w:rsidR="00000000" w:rsidRPr="00000000">
        <w:rPr>
          <w:rFonts w:ascii="Open Sans" w:cs="Open Sans" w:eastAsia="Open Sans" w:hAnsi="Open Sans"/>
          <w:color w:val="303ab2"/>
          <w:vertAlign w:val="superscript"/>
          <w:rtl w:val="0"/>
        </w:rPr>
        <w:t xml:space="preserve">2 </w:t>
      </w:r>
      <w:r w:rsidDel="00000000" w:rsidR="00000000" w:rsidRPr="00000000">
        <w:rPr>
          <w:rFonts w:ascii="Open Sans" w:cs="Open Sans" w:eastAsia="Open Sans" w:hAnsi="Open Sans"/>
          <w:color w:val="303ab2"/>
          <w:rtl w:val="0"/>
        </w:rPr>
        <w:t xml:space="preserve">al mes en junio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right="-574" w:hanging="360"/>
        <w:jc w:val="both"/>
        <w:rPr>
          <w:rFonts w:ascii="Open Sans" w:cs="Open Sans" w:eastAsia="Open Sans" w:hAnsi="Open Sans"/>
          <w:color w:val="303ab2"/>
        </w:rPr>
      </w:pPr>
      <w:r w:rsidDel="00000000" w:rsidR="00000000" w:rsidRPr="00000000">
        <w:rPr>
          <w:rFonts w:ascii="Open Sans" w:cs="Open Sans" w:eastAsia="Open Sans" w:hAnsi="Open Sans"/>
          <w:color w:val="303ab2"/>
          <w:rtl w:val="0"/>
        </w:rPr>
        <w:t xml:space="preserve">El precio del alquiler toca techo en 12 comunidades autónomas, en 27 provincias y en el 54% de las ciudades analizadas</w:t>
      </w:r>
    </w:p>
    <w:p w:rsidR="00000000" w:rsidDel="00000000" w:rsidP="00000000" w:rsidRDefault="00000000" w:rsidRPr="00000000" w14:paraId="0000000B">
      <w:pPr>
        <w:spacing w:line="276" w:lineRule="auto"/>
        <w:ind w:right="-574"/>
        <w:rPr>
          <w:rFonts w:ascii="Open Sans" w:cs="Open Sans" w:eastAsia="Open Sans" w:hAnsi="Open Sans"/>
          <w:color w:val="303ab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ind w:right="-574"/>
        <w:rPr>
          <w:rFonts w:ascii="Open Sans" w:cs="Open Sans" w:eastAsia="Open Sans" w:hAnsi="Open Sans"/>
          <w:color w:val="303ab2"/>
        </w:rPr>
      </w:pPr>
      <w:r w:rsidDel="00000000" w:rsidR="00000000" w:rsidRPr="00000000">
        <w:rPr>
          <w:rFonts w:ascii="Open Sans" w:cs="Open Sans" w:eastAsia="Open Sans" w:hAnsi="Open Sans"/>
          <w:color w:val="303ab2"/>
          <w:rtl w:val="0"/>
        </w:rPr>
        <w:t xml:space="preserve">Madrid, 16 de julio de 2024</w:t>
      </w:r>
    </w:p>
    <w:p w:rsidR="00000000" w:rsidDel="00000000" w:rsidP="00000000" w:rsidRDefault="00000000" w:rsidRPr="00000000" w14:paraId="0000000D">
      <w:pPr>
        <w:spacing w:line="276" w:lineRule="auto"/>
        <w:ind w:right="-574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ind w:right="-574"/>
        <w:jc w:val="both"/>
        <w:rPr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En los primeros seis meses España ha experimentado variaciones positivas en el precio de la vivienda en alquiler, y en concreto, cierra el segundo trimestre del año 2024 con un incremento trimestral del 2,3% y uno interanual del 9%, según los datos del Índice Inmobiliario </w:t>
      </w:r>
      <w:hyperlink r:id="rId8">
        <w:r w:rsidDel="00000000" w:rsidR="00000000" w:rsidRPr="00000000">
          <w:rPr>
            <w:rFonts w:ascii="Open Sans" w:cs="Open Sans" w:eastAsia="Open Sans" w:hAnsi="Open Sans"/>
            <w:color w:val="0000ff"/>
            <w:u w:val="single"/>
            <w:rtl w:val="0"/>
          </w:rPr>
          <w:t xml:space="preserve">Fotocasa</w:t>
        </w:r>
      </w:hyperlink>
      <w:r w:rsidDel="00000000" w:rsidR="00000000" w:rsidRPr="00000000">
        <w:rPr>
          <w:rFonts w:ascii="Open Sans" w:cs="Open Sans" w:eastAsia="Open Sans" w:hAnsi="Open Sans"/>
          <w:b w:val="1"/>
          <w:color w:val="0000ff"/>
          <w:u w:val="single"/>
          <w:rtl w:val="0"/>
        </w:rPr>
        <w:t xml:space="preserve">.</w:t>
      </w:r>
      <w:r w:rsidDel="00000000" w:rsidR="00000000" w:rsidRPr="00000000">
        <w:rPr>
          <w:rFonts w:ascii="Open Sans" w:cs="Open Sans" w:eastAsia="Open Sans" w:hAnsi="Open Sans"/>
          <w:color w:val="0000ff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Estos incrementos detectados en junio sitúan el precio de la vivienda en alquiler en 12,65 euros por metro cuadrado al mes (€/m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ind w:right="-574"/>
        <w:jc w:val="center"/>
        <w:rPr>
          <w:rFonts w:ascii="Open Sans" w:cs="Open Sans" w:eastAsia="Open Sans" w:hAnsi="Open Sans"/>
          <w:b w:val="1"/>
          <w:color w:val="000000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sz w:val="28"/>
          <w:szCs w:val="28"/>
          <w:rtl w:val="0"/>
        </w:rPr>
        <w:t xml:space="preserve">Variación trimestral e interanual en el segundo trimestre por años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ind w:right="-574"/>
        <w:jc w:val="center"/>
        <w:rPr>
          <w:rFonts w:ascii="Open Sans" w:cs="Open Sans" w:eastAsia="Open Sans" w:hAnsi="Open Sans"/>
          <w:color w:val="000000"/>
        </w:rPr>
      </w:pPr>
      <w:r w:rsidDel="00000000" w:rsidR="00000000" w:rsidRPr="00000000">
        <w:rPr/>
        <w:drawing>
          <wp:inline distB="0" distT="0" distL="0" distR="0">
            <wp:extent cx="5463540" cy="2583180"/>
            <wp:docPr id="1886857210" name=""/>
            <a:graphic>
              <a:graphicData uri="http://schemas.openxmlformats.org/drawingml/2006/chart">
                <c:chart r:id="rId9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ind w:right="-574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“El precio del alquiler continúa con subidas abultadas y con un ritmo de encarecimiento significativo, debido al desequilibrio entre oferta y demanda. En estos momentos, la demanda es intensa con proyecciones de crecimiento y la oferta disponible se contrae paulatinamente. La problemática se va haciendo cada vez más grande. Para frenar esta desestructuración se necesita más vivienda en alquiler mediante la promoción, impulsar la rehabilitación y la cesión de viviendas, reforzar la seguridad jurídica y la certidumbre regulatoria y crear una política territorial de descentralización de oportunidades para que la demanda no solo se aglutine en los grandes núcleos urbanos”, explica María Matos, directora de Estudios y portavoz de </w:t>
      </w:r>
      <w:hyperlink r:id="rId10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Fotocasa</w:t>
        </w:r>
      </w:hyperlink>
      <w:r w:rsidDel="00000000" w:rsidR="00000000" w:rsidRPr="00000000">
        <w:rPr>
          <w:rFonts w:ascii="Open Sans" w:cs="Open Sans" w:eastAsia="Open Sans" w:hAnsi="Open Sans"/>
          <w:rtl w:val="0"/>
        </w:rPr>
        <w:t xml:space="preserve">. </w:t>
      </w:r>
    </w:p>
    <w:p w:rsidR="00000000" w:rsidDel="00000000" w:rsidP="00000000" w:rsidRDefault="00000000" w:rsidRPr="00000000" w14:paraId="00000013">
      <w:pPr>
        <w:spacing w:line="276" w:lineRule="auto"/>
        <w:ind w:right="-574"/>
        <w:jc w:val="center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rtl w:val="0"/>
        </w:rPr>
        <w:t xml:space="preserve">En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cuanto a las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rtl w:val="0"/>
        </w:rPr>
        <w:t xml:space="preserve">CCAA, este segundo trimestre de 2024 se presenta con 15 subidas trimestrales y 17 interanuales.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Las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autonomías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con incrementos trimestrales son: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Cantabria (13,8%), Región de Murcia (10,2%), Madrid (7,6%), Asturias (6,6%), Galicia (6,3%), Extremadura (6,0%), País Vasco (4,9%), Cataluña (4,7%), Comunitat Valenciana (4,2%), Aragón (3,2%), Baleares (3,1%), Canarias (3,1%), Castilla y León (2,8%), Castilla-La Mancha (1,7%) y Andalucía (0,8%).</w:t>
      </w:r>
    </w:p>
    <w:p w:rsidR="00000000" w:rsidDel="00000000" w:rsidP="00000000" w:rsidRDefault="00000000" w:rsidRPr="00000000" w14:paraId="00000015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ind w:right="-574"/>
        <w:jc w:val="center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sz w:val="28"/>
          <w:szCs w:val="28"/>
          <w:rtl w:val="0"/>
        </w:rPr>
        <w:t xml:space="preserve">Variación trimestral del precio del alquiler por CCAA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ind w:right="-574"/>
        <w:jc w:val="center"/>
        <w:rPr>
          <w:rFonts w:ascii="Open Sans Light" w:cs="Open Sans Light" w:eastAsia="Open Sans Light" w:hAnsi="Open Sans Light"/>
          <w:b w:val="1"/>
          <w:color w:val="303ab2"/>
          <w:sz w:val="28"/>
          <w:szCs w:val="28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sz w:val="28"/>
          <w:szCs w:val="28"/>
        </w:rPr>
        <w:drawing>
          <wp:inline distB="0" distT="0" distL="0" distR="0">
            <wp:extent cx="5396230" cy="4105910"/>
            <wp:effectExtent b="0" l="0" r="0" t="0"/>
            <wp:docPr descr="Imagen que contiene Gráfico&#10;&#10;Descripción generada automáticamente" id="1886857212" name="image1.png"/>
            <a:graphic>
              <a:graphicData uri="http://schemas.openxmlformats.org/drawingml/2006/picture">
                <pic:pic>
                  <pic:nvPicPr>
                    <pic:cNvPr descr="Imagen que contiene Gráfico&#10;&#10;Descripción generada automáticamente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1059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En cuanto al ranking de precios por comunidades,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rtl w:val="0"/>
        </w:rPr>
        <w:t xml:space="preserve">Madrid y Baleares, ocupan los primeros puestos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, y superan la barrera de los 18,00 €/m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, en concreto se paga por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Madrid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con 19,71 €/m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mes, y Baleares con 18,09 €/m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mes.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rtl w:val="0"/>
        </w:rPr>
        <w:t xml:space="preserve">Ambas comunidades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alcanzan máximos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, superando los precios de los registros históricos del Índice </w:t>
      </w:r>
      <w:hyperlink r:id="rId12">
        <w:r w:rsidDel="00000000" w:rsidR="00000000" w:rsidRPr="00000000">
          <w:rPr>
            <w:rFonts w:ascii="Open Sans" w:cs="Open Sans" w:eastAsia="Open Sans" w:hAnsi="Open Sans"/>
            <w:color w:val="0000ff"/>
            <w:u w:val="single"/>
            <w:rtl w:val="0"/>
          </w:rPr>
          <w:t xml:space="preserve">Fotocasa</w:t>
        </w:r>
      </w:hyperlink>
      <w:r w:rsidDel="00000000" w:rsidR="00000000" w:rsidRPr="00000000">
        <w:rPr>
          <w:rFonts w:ascii="Open Sans" w:cs="Open Sans" w:eastAsia="Open Sans" w:hAnsi="Open Sans"/>
          <w:rtl w:val="0"/>
        </w:rPr>
        <w:t xml:space="preserve">.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Les siguen las comunidades de Cataluña con 17,26 €/m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mes, País Vasco con 16,10 €/m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mes, Canarias con 13,87 €/m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mes, Cantabria con 13,74 €/m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mes, Comunitat Valenciana con 12,43 €/m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mes, Navarra con 11,21 €/m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mes, Andalucía con 10,56 €/m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 y Asturias con 10,35 €/m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mes.</w:t>
      </w:r>
    </w:p>
    <w:p w:rsidR="00000000" w:rsidDel="00000000" w:rsidP="00000000" w:rsidRDefault="00000000" w:rsidRPr="00000000" w14:paraId="00000019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ind w:right="-574"/>
        <w:jc w:val="center"/>
        <w:rPr>
          <w:rFonts w:ascii="Open Sans Light" w:cs="Open Sans Light" w:eastAsia="Open Sans Light" w:hAnsi="Open Sans Light"/>
          <w:b w:val="1"/>
          <w:color w:val="303ab2"/>
          <w:sz w:val="28"/>
          <w:szCs w:val="28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sz w:val="28"/>
          <w:szCs w:val="28"/>
          <w:rtl w:val="0"/>
        </w:rPr>
        <w:t xml:space="preserve">Precio de la vivienda en alquiler en el segundo trimestre por CCAA</w:t>
      </w:r>
    </w:p>
    <w:p w:rsidR="00000000" w:rsidDel="00000000" w:rsidP="00000000" w:rsidRDefault="00000000" w:rsidRPr="00000000" w14:paraId="0000001B">
      <w:pPr>
        <w:spacing w:line="276" w:lineRule="auto"/>
        <w:ind w:right="-574"/>
        <w:jc w:val="center"/>
        <w:rPr>
          <w:rFonts w:ascii="Open Sans Light" w:cs="Open Sans Light" w:eastAsia="Open Sans Light" w:hAnsi="Open Sans Light"/>
          <w:b w:val="1"/>
          <w:color w:val="303ab2"/>
          <w:sz w:val="28"/>
          <w:szCs w:val="28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sz w:val="28"/>
          <w:szCs w:val="28"/>
        </w:rPr>
        <w:drawing>
          <wp:inline distB="0" distT="0" distL="0" distR="0">
            <wp:extent cx="5687142" cy="4002014"/>
            <wp:effectExtent b="0" l="0" r="0" t="0"/>
            <wp:docPr descr="Gráfico, Gráfico de burbujas&#10;&#10;Descripción generada automáticamente" id="1886857214" name="image5.png"/>
            <a:graphic>
              <a:graphicData uri="http://schemas.openxmlformats.org/drawingml/2006/picture">
                <pic:pic>
                  <pic:nvPicPr>
                    <pic:cNvPr descr="Gráfico, Gráfico de burbujas&#10;&#10;Descripción generada automáticamente"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7142" cy="40020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ind w:right="-574"/>
        <w:jc w:val="center"/>
        <w:rPr>
          <w:rFonts w:ascii="Open Sans Light" w:cs="Open Sans Light" w:eastAsia="Open Sans Light" w:hAnsi="Open Sans Light"/>
          <w:b w:val="1"/>
          <w:color w:val="303ab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ind w:right="-574"/>
        <w:jc w:val="center"/>
        <w:rPr>
          <w:rFonts w:ascii="Open Sans Light" w:cs="Open Sans Light" w:eastAsia="Open Sans Light" w:hAnsi="Open Sans Light"/>
          <w:b w:val="1"/>
          <w:color w:val="303ab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76" w:lineRule="auto"/>
        <w:ind w:right="-574"/>
        <w:jc w:val="both"/>
        <w:rPr>
          <w:rFonts w:ascii="Open Sans Light" w:cs="Open Sans Light" w:eastAsia="Open Sans Light" w:hAnsi="Open Sans Light"/>
          <w:b w:val="1"/>
          <w:color w:val="303ab2"/>
          <w:sz w:val="28"/>
          <w:szCs w:val="28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sz w:val="28"/>
          <w:szCs w:val="28"/>
          <w:rtl w:val="0"/>
        </w:rPr>
        <w:t xml:space="preserve">Provincias</w:t>
      </w:r>
    </w:p>
    <w:p w:rsidR="00000000" w:rsidDel="00000000" w:rsidP="00000000" w:rsidRDefault="00000000" w:rsidRPr="00000000" w14:paraId="0000001F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En las provincias, este segundo trimestre de 2024 se presenta con 42 subidas trimestrales y 48 subidas interanuales.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rtl w:val="0"/>
        </w:rPr>
        <w:t xml:space="preserve">Las cuatro provincias que más han incrementado el precio de la vivienda trimestral en este periodo son: Guadalajara (15,7%), Cantabria (13,8%), Jaén (11,8%) y Murcia (10,2%)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. Por otro lado, las provincias menos afectadas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y con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descensos trimestrales son: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Toledo Teruel (-7,1%), Huesca (-4,4%), Valladolid (-3,9%), La Rioja (-3,7%), Navarra (-3,3%), Gipuzkoa (-0,7%) y Burgos (-0,6%).</w:t>
      </w:r>
    </w:p>
    <w:p w:rsidR="00000000" w:rsidDel="00000000" w:rsidP="00000000" w:rsidRDefault="00000000" w:rsidRPr="00000000" w14:paraId="00000020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ind w:right="-574"/>
        <w:jc w:val="center"/>
        <w:rPr>
          <w:rFonts w:ascii="Open Sans Light" w:cs="Open Sans Light" w:eastAsia="Open Sans Light" w:hAnsi="Open Sans Light"/>
          <w:b w:val="1"/>
          <w:color w:val="303ab2"/>
          <w:sz w:val="28"/>
          <w:szCs w:val="28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sz w:val="28"/>
          <w:szCs w:val="28"/>
          <w:rtl w:val="0"/>
        </w:rPr>
        <w:t xml:space="preserve">Variación trimestral en el segundo trimestre por provincia</w:t>
      </w:r>
    </w:p>
    <w:p w:rsidR="00000000" w:rsidDel="00000000" w:rsidP="00000000" w:rsidRDefault="00000000" w:rsidRPr="00000000" w14:paraId="00000022">
      <w:pPr>
        <w:spacing w:line="276" w:lineRule="auto"/>
        <w:ind w:right="-574"/>
        <w:jc w:val="center"/>
        <w:rPr>
          <w:rFonts w:ascii="Open Sans Light" w:cs="Open Sans Light" w:eastAsia="Open Sans Light" w:hAnsi="Open Sans Light"/>
          <w:b w:val="1"/>
          <w:color w:val="303ab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</w:rPr>
        <w:drawing>
          <wp:inline distB="0" distT="0" distL="0" distR="0">
            <wp:extent cx="5720212" cy="4579266"/>
            <wp:effectExtent b="0" l="0" r="0" t="0"/>
            <wp:docPr descr="Imagen que contiene Gráfico&#10;&#10;Descripción generada automáticamente" id="1886857213" name="image4.png"/>
            <a:graphic>
              <a:graphicData uri="http://schemas.openxmlformats.org/drawingml/2006/picture">
                <pic:pic>
                  <pic:nvPicPr>
                    <pic:cNvPr descr="Imagen que contiene Gráfico&#10;&#10;Descripción generada automáticamente"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0212" cy="45792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En cuanto al ranking de precios por provincias,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rtl w:val="0"/>
        </w:rPr>
        <w:t xml:space="preserve">Madrid y Barcelona, ocupan los primeros puestos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y superan la barrera de los 19,00 €/m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mes, en concreto se paga por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Madrid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con 19,71 €/m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 y Barcelona con 19,49 €/m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mes.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rtl w:val="0"/>
        </w:rPr>
        <w:t xml:space="preserve">Ambas provincias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alcanzan máximos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, superando los precios de los registros históricos del Índice </w:t>
      </w:r>
      <w:hyperlink r:id="rId15">
        <w:r w:rsidDel="00000000" w:rsidR="00000000" w:rsidRPr="00000000">
          <w:rPr>
            <w:rFonts w:ascii="Open Sans" w:cs="Open Sans" w:eastAsia="Open Sans" w:hAnsi="Open Sans"/>
            <w:color w:val="0000ff"/>
            <w:u w:val="single"/>
            <w:rtl w:val="0"/>
          </w:rPr>
          <w:t xml:space="preserve">Fotocasa</w:t>
        </w:r>
      </w:hyperlink>
      <w:r w:rsidDel="00000000" w:rsidR="00000000" w:rsidRPr="00000000">
        <w:rPr>
          <w:rFonts w:ascii="Open Sans" w:cs="Open Sans" w:eastAsia="Open Sans" w:hAnsi="Open Sans"/>
          <w:rtl w:val="0"/>
        </w:rPr>
        <w:t xml:space="preserve">. 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Por otro lado, las provincias más económicas son Ciudad Real con 6,09 €/m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 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al mes, Teruel con 6,13 €/m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 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al mes, Jaén con 6,17 €/m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 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al mes, Palencia con 6,86 €/m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 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al mes, Cáceres con 6,88 €/m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 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al mes y Badajoz con 6,95 €/m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 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al mes.</w:t>
      </w:r>
    </w:p>
    <w:p w:rsidR="00000000" w:rsidDel="00000000" w:rsidP="00000000" w:rsidRDefault="00000000" w:rsidRPr="00000000" w14:paraId="00000027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ind w:right="-574"/>
        <w:jc w:val="center"/>
        <w:rPr>
          <w:rFonts w:ascii="Open Sans Light" w:cs="Open Sans Light" w:eastAsia="Open Sans Light" w:hAnsi="Open Sans Light"/>
          <w:b w:val="1"/>
          <w:color w:val="303ab2"/>
          <w:sz w:val="28"/>
          <w:szCs w:val="28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sz w:val="28"/>
          <w:szCs w:val="28"/>
          <w:rtl w:val="0"/>
        </w:rPr>
        <w:t xml:space="preserve">Precio de la vivienda en el segundo trimestre por provincia</w:t>
      </w:r>
    </w:p>
    <w:p w:rsidR="00000000" w:rsidDel="00000000" w:rsidP="00000000" w:rsidRDefault="00000000" w:rsidRPr="00000000" w14:paraId="00000029">
      <w:pPr>
        <w:spacing w:line="276" w:lineRule="auto"/>
        <w:ind w:right="-574"/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5396230" cy="3928110"/>
            <wp:effectExtent b="0" l="0" r="0" t="0"/>
            <wp:docPr descr="Icono&#10;&#10;Descripción generada automáticamente" id="1886857216" name="image2.png"/>
            <a:graphic>
              <a:graphicData uri="http://schemas.openxmlformats.org/drawingml/2006/picture">
                <pic:pic>
                  <pic:nvPicPr>
                    <pic:cNvPr descr="Icono&#10;&#10;Descripción generada automáticamente"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9281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76" w:lineRule="auto"/>
        <w:ind w:right="-574"/>
        <w:jc w:val="both"/>
        <w:rPr>
          <w:rFonts w:ascii="Open Sans Light" w:cs="Open Sans Light" w:eastAsia="Open Sans Light" w:hAnsi="Open Sans Light"/>
          <w:b w:val="1"/>
          <w:color w:val="303ab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sz w:val="28"/>
          <w:szCs w:val="28"/>
          <w:rtl w:val="0"/>
        </w:rPr>
        <w:t xml:space="preserve">Municipios de España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En las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rtl w:val="0"/>
        </w:rPr>
        <w:t xml:space="preserve">ciudades, este segundo trimestre de 2024 se presenta con 89 subidas trimestrales (79%) y 106 subidas interanuales (86%).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Las seis ciudades analizadas por </w:t>
      </w:r>
      <w:hyperlink r:id="rId17">
        <w:r w:rsidDel="00000000" w:rsidR="00000000" w:rsidRPr="00000000">
          <w:rPr>
            <w:rFonts w:ascii="Open Sans" w:cs="Open Sans" w:eastAsia="Open Sans" w:hAnsi="Open Sans"/>
            <w:color w:val="0000ff"/>
            <w:u w:val="single"/>
            <w:rtl w:val="0"/>
          </w:rPr>
          <w:t xml:space="preserve">Fotocasa</w:t>
        </w:r>
      </w:hyperlink>
      <w:r w:rsidDel="00000000" w:rsidR="00000000" w:rsidRPr="00000000">
        <w:rPr>
          <w:rFonts w:ascii="Open Sans" w:cs="Open Sans" w:eastAsia="Open Sans" w:hAnsi="Open Sans"/>
          <w:b w:val="1"/>
          <w:color w:val="0000ff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con el mayor incremento trimestral son Castro-Urdiales (34,7%), El Ejido (25,1%), Sanxenxo (24,6%), Águilas (23,1%), Orihuela (22,8%) y Canet d'En Berenguer (22,1%). Por otro lado, las ciudades con descensos trimestrales de la vivienda superiores al -5% son: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Sanlúcar de Barrameda (-13,9%), Elche / Elx (-8,8%) y Tarragona capital (-8,5%).</w:t>
      </w:r>
    </w:p>
    <w:p w:rsidR="00000000" w:rsidDel="00000000" w:rsidP="00000000" w:rsidRDefault="00000000" w:rsidRPr="00000000" w14:paraId="0000002D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ind w:right="-574"/>
        <w:jc w:val="center"/>
        <w:rPr>
          <w:rFonts w:ascii="Open Sans Light" w:cs="Open Sans Light" w:eastAsia="Open Sans Light" w:hAnsi="Open Sans Light"/>
          <w:b w:val="1"/>
          <w:color w:val="303ab2"/>
          <w:sz w:val="28"/>
          <w:szCs w:val="28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sz w:val="28"/>
          <w:szCs w:val="28"/>
          <w:rtl w:val="0"/>
        </w:rPr>
        <w:t xml:space="preserve">Variación trimestral en el segundo trimestre por capitales de provincias</w:t>
      </w:r>
    </w:p>
    <w:p w:rsidR="00000000" w:rsidDel="00000000" w:rsidP="00000000" w:rsidRDefault="00000000" w:rsidRPr="00000000" w14:paraId="00000035">
      <w:pPr>
        <w:spacing w:line="276" w:lineRule="auto"/>
        <w:ind w:right="-574"/>
        <w:jc w:val="center"/>
        <w:rPr>
          <w:rFonts w:ascii="Open Sans Light" w:cs="Open Sans Light" w:eastAsia="Open Sans Light" w:hAnsi="Open Sans Light"/>
          <w:b w:val="1"/>
          <w:color w:val="303ab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ind w:right="-574"/>
        <w:jc w:val="center"/>
        <w:rPr>
          <w:rFonts w:ascii="Open Sans Light" w:cs="Open Sans Light" w:eastAsia="Open Sans Light" w:hAnsi="Open Sans Light"/>
          <w:b w:val="1"/>
          <w:color w:val="303ab2"/>
          <w:sz w:val="28"/>
          <w:szCs w:val="28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sz w:val="28"/>
          <w:szCs w:val="28"/>
        </w:rPr>
        <w:drawing>
          <wp:inline distB="0" distT="0" distL="0" distR="0">
            <wp:extent cx="5776618" cy="4285220"/>
            <wp:effectExtent b="0" l="0" r="0" t="0"/>
            <wp:docPr descr="Gráfico&#10;&#10;Descripción generada automáticamente" id="1886857215" name="image7.png"/>
            <a:graphic>
              <a:graphicData uri="http://schemas.openxmlformats.org/drawingml/2006/picture">
                <pic:pic>
                  <pic:nvPicPr>
                    <pic:cNvPr descr="Gráfico&#10;&#10;Descripción generada automáticamente"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6618" cy="4285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En cuanto a los precios, las ciudades con el precio del alquiler por encima de los 20 euros el metro cuadrado al mes son: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Calvià con 22,36 €/m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mes, Barcelona capital con 22,19 €/m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mes, Sitges con 21,39 €/m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mes, Madrid capital con 21,03 €/m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mes, San Bartolomé de Tirajana con 20,03 €/m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 y La Moraleja con 20,02 €/m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mes. Por otro lado,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rtl w:val="0"/>
        </w:rPr>
        <w:t xml:space="preserve">las ciudades con el precio del alquiler más económico y que están en torno a los 5,00 €/m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rtl w:val="0"/>
        </w:rPr>
        <w:t xml:space="preserve"> al mes son: Baeza con 4,82 €/m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rtl w:val="0"/>
        </w:rPr>
        <w:t xml:space="preserve"> al mes, Puertollano con 5,13 €/m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rtl w:val="0"/>
        </w:rPr>
        <w:t xml:space="preserve"> al mes, Don Benito con 5,18 €/m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rtl w:val="0"/>
        </w:rPr>
        <w:t xml:space="preserve"> al mes, Martos con 5,36 €/m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rtl w:val="0"/>
        </w:rPr>
        <w:t xml:space="preserve"> al mes y Úbeda con 5,68 €/m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rtl w:val="0"/>
        </w:rPr>
        <w:t xml:space="preserve"> al mes.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ind w:right="-574"/>
        <w:jc w:val="center"/>
        <w:rPr>
          <w:rFonts w:ascii="Open Sans Light" w:cs="Open Sans Light" w:eastAsia="Open Sans Light" w:hAnsi="Open Sans Light"/>
          <w:b w:val="1"/>
          <w:color w:val="303ab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ind w:right="-574"/>
        <w:jc w:val="center"/>
        <w:rPr>
          <w:rFonts w:ascii="Open Sans Light" w:cs="Open Sans Light" w:eastAsia="Open Sans Light" w:hAnsi="Open Sans Light"/>
          <w:b w:val="1"/>
          <w:color w:val="303ab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ind w:right="-574"/>
        <w:jc w:val="center"/>
        <w:rPr>
          <w:rFonts w:ascii="Open Sans Light" w:cs="Open Sans Light" w:eastAsia="Open Sans Light" w:hAnsi="Open Sans Light"/>
          <w:b w:val="1"/>
          <w:color w:val="303ab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ind w:right="-574"/>
        <w:jc w:val="center"/>
        <w:rPr>
          <w:rFonts w:ascii="Open Sans Light" w:cs="Open Sans Light" w:eastAsia="Open Sans Light" w:hAnsi="Open Sans Light"/>
          <w:b w:val="1"/>
          <w:color w:val="303ab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ind w:right="-574"/>
        <w:jc w:val="center"/>
        <w:rPr>
          <w:rFonts w:ascii="Open Sans Light" w:cs="Open Sans Light" w:eastAsia="Open Sans Light" w:hAnsi="Open Sans Light"/>
          <w:b w:val="1"/>
          <w:color w:val="303ab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ind w:right="-574"/>
        <w:jc w:val="center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sz w:val="28"/>
          <w:szCs w:val="28"/>
          <w:rtl w:val="0"/>
        </w:rPr>
        <w:t xml:space="preserve">Precio de la vivienda en el segundo trimestre por capital de provincia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</w:rPr>
        <w:drawing>
          <wp:inline distB="0" distT="0" distL="0" distR="0">
            <wp:extent cx="5616401" cy="4372571"/>
            <wp:effectExtent b="0" l="0" r="0" t="0"/>
            <wp:docPr descr="Gráfico, Icono&#10;&#10;Descripción generada automáticamente" id="1886857217" name="image3.png"/>
            <a:graphic>
              <a:graphicData uri="http://schemas.openxmlformats.org/drawingml/2006/picture">
                <pic:pic>
                  <pic:nvPicPr>
                    <pic:cNvPr descr="Gráfico, Icono&#10;&#10;Descripción generada automáticamente" id="0" name="image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6401" cy="43725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ind w:right="-574"/>
        <w:rPr>
          <w:rFonts w:ascii="Open Sans Light" w:cs="Open Sans Light" w:eastAsia="Open Sans Light" w:hAnsi="Open Sans Light"/>
          <w:b w:val="1"/>
          <w:color w:val="303ab2"/>
          <w:sz w:val="28"/>
          <w:szCs w:val="28"/>
        </w:rPr>
      </w:pPr>
      <w:bookmarkStart w:colFirst="0" w:colLast="0" w:name="_heading=h.30j0zll" w:id="1"/>
      <w:bookmarkEnd w:id="1"/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sz w:val="28"/>
          <w:szCs w:val="28"/>
          <w:rtl w:val="0"/>
        </w:rPr>
        <w:t xml:space="preserve">Distritos de Madrid </w:t>
      </w:r>
    </w:p>
    <w:p w:rsidR="00000000" w:rsidDel="00000000" w:rsidP="00000000" w:rsidRDefault="00000000" w:rsidRPr="00000000" w14:paraId="00000045">
      <w:pPr>
        <w:ind w:right="-574"/>
        <w:rPr>
          <w:rFonts w:ascii="Open Sans Light" w:cs="Open Sans Light" w:eastAsia="Open Sans Light" w:hAnsi="Open Sans Light"/>
          <w:b w:val="1"/>
          <w:color w:val="303ab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En los distritos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rtl w:val="0"/>
        </w:rPr>
        <w:t xml:space="preserve">este segundo trimestre de 2024 se presenta con subidas trimestrales e interanuales positivas en todos los distritos.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Los distritos analizados por </w:t>
      </w:r>
      <w:hyperlink r:id="rId20">
        <w:r w:rsidDel="00000000" w:rsidR="00000000" w:rsidRPr="00000000">
          <w:rPr>
            <w:rFonts w:ascii="Open Sans" w:cs="Open Sans" w:eastAsia="Open Sans" w:hAnsi="Open Sans"/>
            <w:color w:val="0000ff"/>
            <w:u w:val="single"/>
            <w:rtl w:val="0"/>
          </w:rPr>
          <w:t xml:space="preserve">Fotocasa</w:t>
        </w:r>
      </w:hyperlink>
      <w:r w:rsidDel="00000000" w:rsidR="00000000" w:rsidRPr="00000000">
        <w:rPr>
          <w:rFonts w:ascii="Open Sans" w:cs="Open Sans" w:eastAsia="Open Sans" w:hAnsi="Open Sans"/>
          <w:b w:val="1"/>
          <w:color w:val="0000ff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con incrementos son: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Hortaleza</w:t>
        <w:tab/>
        <w:t xml:space="preserve"> (16,9%), Ciudad Lineal (10,9%), Fuencarral - El Pardo (10,1%), Moncloa – Aravaca (9,6%), Arganzuela (8,8%), Carabanchel (8,4%), Chamberí (8,2%), Villaverde (8,1%), Retiro (6,6%), Latina (6,5%), Centro (5,8%), San Blas (5,4%), Tetuán (4,4%) y Puente de Vallecas (3,8%).</w:t>
      </w:r>
    </w:p>
    <w:p w:rsidR="00000000" w:rsidDel="00000000" w:rsidP="00000000" w:rsidRDefault="00000000" w:rsidRPr="00000000" w14:paraId="00000047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En cuanto al ranking de precios por distritos,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rtl w:val="0"/>
        </w:rPr>
        <w:t xml:space="preserve">Chamberí y Centro, ocupan los primeros puestos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, y superan la barrera de los 23,00 €/m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mes, en concreto se paga por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Chamberí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23,86 €/m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 y Centro 23,09 €/m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mes.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rtl w:val="0"/>
        </w:rPr>
        <w:t xml:space="preserve">Ambos distritos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alcanzan máximos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, superando los precios de los registros del Índice </w:t>
      </w:r>
      <w:hyperlink r:id="rId21">
        <w:r w:rsidDel="00000000" w:rsidR="00000000" w:rsidRPr="00000000">
          <w:rPr>
            <w:rFonts w:ascii="Open Sans" w:cs="Open Sans" w:eastAsia="Open Sans" w:hAnsi="Open Sans"/>
            <w:color w:val="0000ff"/>
            <w:u w:val="single"/>
            <w:rtl w:val="0"/>
          </w:rPr>
          <w:t xml:space="preserve">Fotocasa</w:t>
        </w:r>
      </w:hyperlink>
      <w:r w:rsidDel="00000000" w:rsidR="00000000" w:rsidRPr="00000000">
        <w:rPr>
          <w:rFonts w:ascii="Open Sans" w:cs="Open Sans" w:eastAsia="Open Sans" w:hAnsi="Open Sans"/>
          <w:rtl w:val="0"/>
        </w:rPr>
        <w:t xml:space="preserve">. 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Por otro lado, los distritos con los precios más económicos para alquilar una vivienda en la capital son: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Villa de Vallecas con 15,33 €/m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mes, Barajas con 15,37 €/m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 y Vicálvaro con 15,88 €/m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mes.</w:t>
      </w:r>
    </w:p>
    <w:p w:rsidR="00000000" w:rsidDel="00000000" w:rsidP="00000000" w:rsidRDefault="00000000" w:rsidRPr="00000000" w14:paraId="00000049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ind w:right="-574"/>
        <w:rPr>
          <w:rFonts w:ascii="Open Sans Light" w:cs="Open Sans Light" w:eastAsia="Open Sans Light" w:hAnsi="Open Sans Light"/>
          <w:b w:val="1"/>
          <w:color w:val="303ab2"/>
          <w:sz w:val="28"/>
          <w:szCs w:val="28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sz w:val="28"/>
          <w:szCs w:val="28"/>
          <w:rtl w:val="0"/>
        </w:rPr>
        <w:t xml:space="preserve">Distritos de Barcelona </w:t>
      </w:r>
    </w:p>
    <w:p w:rsidR="00000000" w:rsidDel="00000000" w:rsidP="00000000" w:rsidRDefault="00000000" w:rsidRPr="00000000" w14:paraId="0000004B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En los distritos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rtl w:val="0"/>
        </w:rPr>
        <w:t xml:space="preserve">este segundo trimestre de 2024 se presenta con nueve subidas trimestrales y diez subidas interanuales.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Los distritos analizados con incrementos son: Sant Andreu (12,1%), Sants - Montjuïc (11,4%), Eixample (8,4%), Gràcia (4,0%), Horta - Guinardó (2,7%), Sarrià - Sant Gervasi (1,4%), Les Corts (1,4%) y Ciutat Vella (0,7%).</w:t>
      </w:r>
    </w:p>
    <w:p w:rsidR="00000000" w:rsidDel="00000000" w:rsidP="00000000" w:rsidRDefault="00000000" w:rsidRPr="00000000" w14:paraId="0000004D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ind w:right="-574"/>
        <w:jc w:val="both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En cuanto al ranking de precios por distritos,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rtl w:val="0"/>
        </w:rPr>
        <w:t xml:space="preserve">Eixample y Gràcia, ocupan los primeros puestos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, en concreto se paga por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Eixample 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23,23 €/m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 y por Gràcia 22,56 €/m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mes.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rtl w:val="0"/>
        </w:rPr>
        <w:t xml:space="preserve">Ambos distritos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alcanzan máximos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, superando los precios de los registros del Índice </w:t>
      </w:r>
      <w:hyperlink r:id="rId22">
        <w:r w:rsidDel="00000000" w:rsidR="00000000" w:rsidRPr="00000000">
          <w:rPr>
            <w:rFonts w:ascii="Open Sans" w:cs="Open Sans" w:eastAsia="Open Sans" w:hAnsi="Open Sans"/>
            <w:color w:val="0000ff"/>
            <w:u w:val="single"/>
            <w:rtl w:val="0"/>
          </w:rPr>
          <w:t xml:space="preserve">Fotocasa</w:t>
        </w:r>
      </w:hyperlink>
      <w:r w:rsidDel="00000000" w:rsidR="00000000" w:rsidRPr="00000000">
        <w:rPr>
          <w:rFonts w:ascii="Open Sans" w:cs="Open Sans" w:eastAsia="Open Sans" w:hAnsi="Open Sans"/>
          <w:rtl w:val="0"/>
        </w:rPr>
        <w:t xml:space="preserve">. 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Por otro lado, los distritos con los precios más económicos para alquilar una vivienda en Barcelona son: Les Corts con 19,81 €/m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 y Horta - Guinardó con 18,63 €/m</w:t>
      </w:r>
      <w:r w:rsidDel="00000000" w:rsidR="00000000" w:rsidRPr="00000000">
        <w:rPr>
          <w:rFonts w:ascii="Open Sans" w:cs="Open Sans" w:eastAsia="Open Sans" w:hAnsi="Open Sans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color w:val="000000"/>
          <w:rtl w:val="0"/>
        </w:rPr>
        <w:t xml:space="preserve"> al mes.</w:t>
      </w:r>
    </w:p>
    <w:p w:rsidR="00000000" w:rsidDel="00000000" w:rsidP="00000000" w:rsidRDefault="00000000" w:rsidRPr="00000000" w14:paraId="0000004F">
      <w:pPr>
        <w:spacing w:line="276" w:lineRule="auto"/>
        <w:ind w:right="-574"/>
        <w:jc w:val="both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ind w:right="-574"/>
        <w:jc w:val="both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rtl w:val="0"/>
        </w:rPr>
        <w:t xml:space="preserve">TABLAS DE PRECIOS Y DE EVOLUCIONES (9)</w:t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76" w:lineRule="auto"/>
        <w:ind w:right="-574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rtl w:val="0"/>
        </w:rPr>
        <w:t xml:space="preserve">Tabla 1: CCAA de mayor a menor incremento trimestral (jun. 2024)</w:t>
      </w:r>
    </w:p>
    <w:tbl>
      <w:tblPr>
        <w:tblStyle w:val="Table1"/>
        <w:tblW w:w="8867.0" w:type="dxa"/>
        <w:jc w:val="left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A0"/>
      </w:tblPr>
      <w:tblGrid>
        <w:gridCol w:w="2440"/>
        <w:gridCol w:w="2222"/>
        <w:gridCol w:w="2166"/>
        <w:gridCol w:w="2039"/>
        <w:tblGridChange w:id="0">
          <w:tblGrid>
            <w:gridCol w:w="2440"/>
            <w:gridCol w:w="2222"/>
            <w:gridCol w:w="2166"/>
            <w:gridCol w:w="2039"/>
          </w:tblGrid>
        </w:tblGridChange>
      </w:tblGrid>
      <w:tr>
        <w:trPr>
          <w:cantSplit w:val="0"/>
          <w:trHeight w:val="264" w:hRule="atLeast"/>
          <w:tblHeader w:val="0"/>
        </w:trPr>
        <w:tc>
          <w:tcPr>
            <w:shd w:fill="1dbdc5" w:val="clear"/>
            <w:vAlign w:val="center"/>
          </w:tcPr>
          <w:p w:rsidR="00000000" w:rsidDel="00000000" w:rsidP="00000000" w:rsidRDefault="00000000" w:rsidRPr="00000000" w14:paraId="00000052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Comunidad Autónoma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Precio de jun. 2024 (€/m²)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Variación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trimestral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Variación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interanual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58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Cantabria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13,74 €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13,8%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4,4%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5C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Región de Murcia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9,53 €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10,2%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8,4%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60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Madrid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19,71 €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7,6%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18,0%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64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Asturias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10,35 €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6,6%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19,5%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68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Galicia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9,61 €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6,3%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13,5%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6C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Extremadura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6,92 €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6,0%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8,8%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70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País Vasco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16,10 €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4,9%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10,0%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74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Cataluña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17,26 €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4,7%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8,3%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78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Comunitat Valenciana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12,43 €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4,2%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7,8%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7C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Aragón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9,79 €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3,2%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9,6%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80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Baleares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18,09 €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3,1%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5,4%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84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Canarias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13,87 €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3,1%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7,9%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88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Castilla y León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9,05 €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2,8%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8,6%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8C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Castilla-La Mancha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7,07 €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1,7%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14,6%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90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Andalucía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10,56 €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0,8%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7,9%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94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Navarra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11,21 €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-3,3%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97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3,8%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98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La Rioja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8,57 €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-3,7%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3,3%</w:t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9C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España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9D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12,65 €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9E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2,3%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9F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9,0%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76" w:lineRule="auto"/>
        <w:ind w:right="-574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rtl w:val="0"/>
        </w:rPr>
        <w:t xml:space="preserve">Tabla 2: Provincias de mayor a menor incremento trimestral (jun. 2024)</w:t>
      </w:r>
    </w:p>
    <w:tbl>
      <w:tblPr>
        <w:tblStyle w:val="Table2"/>
        <w:tblW w:w="8960.000000000002" w:type="dxa"/>
        <w:jc w:val="left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A0"/>
      </w:tblPr>
      <w:tblGrid>
        <w:gridCol w:w="2270"/>
        <w:gridCol w:w="2191"/>
        <w:gridCol w:w="2398"/>
        <w:gridCol w:w="2101"/>
        <w:tblGridChange w:id="0">
          <w:tblGrid>
            <w:gridCol w:w="2270"/>
            <w:gridCol w:w="2191"/>
            <w:gridCol w:w="2398"/>
            <w:gridCol w:w="2101"/>
          </w:tblGrid>
        </w:tblGridChange>
      </w:tblGrid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center"/>
          </w:tcPr>
          <w:p w:rsidR="00000000" w:rsidDel="00000000" w:rsidP="00000000" w:rsidRDefault="00000000" w:rsidRPr="00000000" w14:paraId="000000A1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Provincia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Precio de jun. 2024 (€/m²)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Variación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trimestral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Variación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interanual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A7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Guadalajara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A8">
            <w:pPr>
              <w:tabs>
                <w:tab w:val="left" w:leader="none" w:pos="1471"/>
              </w:tabs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9,15 €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15,7%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15,8%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AB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Cantabria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AC">
            <w:pPr>
              <w:tabs>
                <w:tab w:val="left" w:leader="none" w:pos="1471"/>
              </w:tabs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13,74 €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13,8%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4,4%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AF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Jaén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B0">
            <w:pPr>
              <w:tabs>
                <w:tab w:val="left" w:leader="none" w:pos="1471"/>
              </w:tabs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6,17 €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11,8%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2,5%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B3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Murcia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B4">
            <w:pPr>
              <w:tabs>
                <w:tab w:val="left" w:leader="none" w:pos="1471"/>
              </w:tabs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9,53 €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10,2%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8,4%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B7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Lugo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B8">
            <w:pPr>
              <w:tabs>
                <w:tab w:val="left" w:leader="none" w:pos="1471"/>
              </w:tabs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7,49 €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9,5%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7,3%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BB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Badajoz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BC">
            <w:pPr>
              <w:tabs>
                <w:tab w:val="left" w:leader="none" w:pos="1471"/>
              </w:tabs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6,95 €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9,3%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BE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5,6%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BF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Zamora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C0">
            <w:pPr>
              <w:tabs>
                <w:tab w:val="left" w:leader="none" w:pos="1471"/>
              </w:tabs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7,04 €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8,6%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15,6%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C3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Castellón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C4">
            <w:pPr>
              <w:tabs>
                <w:tab w:val="left" w:leader="none" w:pos="1471"/>
              </w:tabs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8,84 €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C5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8,6%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C6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8,5%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C7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A Coruña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C8">
            <w:pPr>
              <w:tabs>
                <w:tab w:val="left" w:leader="none" w:pos="1471"/>
              </w:tabs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9,87 €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C9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8,1%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CA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14,8%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CB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Araba - Álava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CC">
            <w:pPr>
              <w:tabs>
                <w:tab w:val="left" w:leader="none" w:pos="1471"/>
              </w:tabs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12,17 €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7,8%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CE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7,3%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CF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Almería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D0">
            <w:pPr>
              <w:tabs>
                <w:tab w:val="left" w:leader="none" w:pos="1471"/>
              </w:tabs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9,20 €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D1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7,7%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D2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2,6%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D3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Madrid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D4">
            <w:pPr>
              <w:tabs>
                <w:tab w:val="left" w:leader="none" w:pos="1471"/>
              </w:tabs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19,71 €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D5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7,6%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D6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18,0%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D7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Huelva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D8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11,37 €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D9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6,8%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DA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c0006"/>
                <w:sz w:val="22"/>
                <w:szCs w:val="22"/>
                <w:rtl w:val="0"/>
              </w:rPr>
              <w:t xml:space="preserve">-5,2%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DB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Asturias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DC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10,35 €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DD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6,6%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DE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19,5%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DF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Bizkaia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E0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15,72 €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E1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6,4%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E2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9,9%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E3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Girona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E4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14,52 €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E5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6,1%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E6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17,4%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E7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Ourense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E8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7,01 €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E9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5,9%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EA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8,7%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EB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Barcelona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EC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19,49 €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ED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5,8%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EE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12,8%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EF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Ávila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F0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7,73 €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F1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5,5%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F2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9,3%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F3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León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F4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7,27 €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F5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5,4%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F6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8,3%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F7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Palencia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F8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6,86 €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F9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5,2%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FA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4,3%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FB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Las Palmas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FC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14,32 €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FD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5,1%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FE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8,2%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0FF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Toledo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00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8,05 €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01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4,8%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02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11,8%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03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Segovia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04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10,75 €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05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4,4%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06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5,9%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07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Granada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08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9,64 €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09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4,2%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0A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5,0%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0B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Zaragoza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0C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10,29 €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0D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4,1%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0E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9,6%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0F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Pontevedra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10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10,66 €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11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4,1%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12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7,0%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13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Alicante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14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11,52 €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15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3,6%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16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6,8%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17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Valencia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18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13,66 €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19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3,3%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1A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10,7%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1B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Tarragona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1C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10,38 €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1D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3,2%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1E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4,3%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1F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Illes Balears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20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18,09 €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21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3,1%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22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5,4%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23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Sevilla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24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12,03 €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25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2,9%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26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12,5%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27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Salamanca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28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9,64 €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29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2,9%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2A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8,7%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2B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Cuenca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2C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7,36 €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2D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2,8%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2E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6,7%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2F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Córdoba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30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7,85 €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31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1,8%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32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1,4%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33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Cádiz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34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10,42 €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35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1,7%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36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2,7%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37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Albacete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38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7,09 €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39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1,6%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3A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8,1%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3B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Cáceres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3C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6,88 €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3D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1,0%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3E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16,2%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3F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Ciudad Real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40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6,09 €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41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1,0%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42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10,7%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43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Lleida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44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8,14 €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45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0,7%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46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7,2%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47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Santa Cruz de Tenerife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48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13,33 €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49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0,6%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4A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7,9%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4B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Málaga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4C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14,70 €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4D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0,2%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4E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6,9%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4F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Burgos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50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8,73 €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51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-0,6%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52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3,8%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53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Gipuzkoa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54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17,88 €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55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-0,7%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56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6,8%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57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Navarra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58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11,21 €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59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-3,3%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5A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3,8%</w:t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5B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La Rioja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5C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8,57 €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5D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-3,7%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5E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3,3%</w:t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5F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Valladolid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60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8,15 €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61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-3,9%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62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3,4%</w:t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63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Huesca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64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8,79 €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65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-4,4%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66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10,2%</w:t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67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Teruel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68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6,13 €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69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-7,1%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6A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6,8%</w:t>
            </w:r>
          </w:p>
        </w:tc>
      </w:tr>
      <w:tr>
        <w:trPr>
          <w:cantSplit w:val="0"/>
          <w:trHeight w:val="272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16B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Soria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6C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8,77 €</w:t>
            </w:r>
          </w:p>
        </w:tc>
        <w:tc>
          <w:tcPr/>
          <w:p w:rsidR="00000000" w:rsidDel="00000000" w:rsidP="00000000" w:rsidRDefault="00000000" w:rsidRPr="00000000" w14:paraId="0000016D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E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-</w:t>
            </w:r>
          </w:p>
        </w:tc>
      </w:tr>
    </w:tbl>
    <w:p w:rsidR="00000000" w:rsidDel="00000000" w:rsidP="00000000" w:rsidRDefault="00000000" w:rsidRPr="00000000" w14:paraId="000001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76" w:lineRule="auto"/>
        <w:ind w:right="-574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rtl w:val="0"/>
        </w:rPr>
        <w:t xml:space="preserve">Tabla 3: Capitales de provincia de mayor a menor incremento (jun. 2024)</w:t>
      </w:r>
    </w:p>
    <w:tbl>
      <w:tblPr>
        <w:tblStyle w:val="Table3"/>
        <w:tblW w:w="9057.0" w:type="dxa"/>
        <w:jc w:val="left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A0"/>
      </w:tblPr>
      <w:tblGrid>
        <w:gridCol w:w="1672"/>
        <w:gridCol w:w="2035"/>
        <w:gridCol w:w="1764"/>
        <w:gridCol w:w="1815"/>
        <w:gridCol w:w="1771"/>
        <w:tblGridChange w:id="0">
          <w:tblGrid>
            <w:gridCol w:w="1672"/>
            <w:gridCol w:w="2035"/>
            <w:gridCol w:w="1764"/>
            <w:gridCol w:w="1815"/>
            <w:gridCol w:w="1771"/>
          </w:tblGrid>
        </w:tblGridChange>
      </w:tblGrid>
      <w:tr>
        <w:trPr>
          <w:cantSplit w:val="0"/>
          <w:trHeight w:val="260" w:hRule="atLeast"/>
          <w:tblHeader w:val="0"/>
        </w:trPr>
        <w:tc>
          <w:tcPr>
            <w:shd w:fill="1dbdc5" w:val="clear"/>
            <w:vAlign w:val="center"/>
          </w:tcPr>
          <w:p w:rsidR="00000000" w:rsidDel="00000000" w:rsidP="00000000" w:rsidRDefault="00000000" w:rsidRPr="00000000" w14:paraId="00000170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Provincia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  <w:vAlign w:val="center"/>
          </w:tcPr>
          <w:p w:rsidR="00000000" w:rsidDel="00000000" w:rsidP="00000000" w:rsidRDefault="00000000" w:rsidRPr="00000000" w14:paraId="00000171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Municipio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172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Precio de jun. 2024 (€/m²)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173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Variación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trimestral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175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Variación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interanual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77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Jaén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8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Jaén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79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7,16 €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7A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12,6%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7B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3,5%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7C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Palencia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D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Palencia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7E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7,57 €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7F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11,8%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80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8,9%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81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Toledo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2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Toledo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83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10,03 €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84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11,0%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85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17,4%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86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A Coruña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7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A Coruña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88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11,72 €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89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7,7%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8A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17,1%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8B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Madrid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C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Madrid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8D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21,03 €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8E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7,0%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8F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14,6%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90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Badajoz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1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Badajoz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92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7,79 €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93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6,4%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94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7,0%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95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Murcia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6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Murcia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97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9,00 €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98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6,1%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99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6,6%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9A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Ciudad Real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B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Ciudad Real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9C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7,90 €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9D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5,6%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9E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39,8%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9F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Cantabria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0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Santander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A1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12,07 €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A2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5,5%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A3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9,8%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A4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Alicante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5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Alicante / Alacant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A6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12,93 €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A7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4,9%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A8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2,8%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A9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Las Palmas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A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Las Palmas de Gran Canaria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AB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14,58 €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AC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4,4%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AD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7,8%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AE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Ourense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F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Ourense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B0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7,35 €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B1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4,3%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B2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12,7%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B3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Castellón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4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Castellón de la Plana / Castelló de la Plana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B5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8,30 €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B6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4,1%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B7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7,4%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B8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Barcelona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9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Barcelona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BA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22,19 €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BB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4,0%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BC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8,2%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BD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Bizkaia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E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Bilbao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BF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16,04 €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C0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3,9%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C1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6,2%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C2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Almería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3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Almería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C4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9,12 €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C5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3,5%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C6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c0006"/>
                <w:sz w:val="22"/>
                <w:szCs w:val="22"/>
                <w:rtl w:val="0"/>
              </w:rPr>
              <w:t xml:space="preserve">-0,4%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C7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Girona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8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Girona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C9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14,66 €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CA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2,9%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CB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22,1%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CC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León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D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León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CE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7,71 €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CF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2,9%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D0">
            <w:pPr>
              <w:jc w:val="center"/>
              <w:rPr>
                <w:rFonts w:ascii="Open Sans" w:cs="Open Sans" w:eastAsia="Open Sans" w:hAnsi="Open Sans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8,6%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D1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Salamanca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2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Salamanca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D3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9,75 €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D4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2,8%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D5">
            <w:pPr>
              <w:jc w:val="center"/>
              <w:rPr>
                <w:rFonts w:ascii="Open Sans" w:cs="Open Sans" w:eastAsia="Open Sans" w:hAnsi="Open Sans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8,0%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D6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Illes Balears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7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Palma de Mallorca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D8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17,98 €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D9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2,6%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DA">
            <w:pPr>
              <w:jc w:val="center"/>
              <w:rPr>
                <w:rFonts w:ascii="Open Sans" w:cs="Open Sans" w:eastAsia="Open Sans" w:hAnsi="Open Sans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11,3%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DB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Córdoba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C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Córdoba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DD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8,43 €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DE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2,6%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DF">
            <w:pPr>
              <w:jc w:val="center"/>
              <w:rPr>
                <w:rFonts w:ascii="Open Sans" w:cs="Open Sans" w:eastAsia="Open Sans" w:hAnsi="Open Sans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3,8%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E0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Valencia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1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Valencia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E2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14,88 €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E3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2,4%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E4">
            <w:pPr>
              <w:jc w:val="center"/>
              <w:rPr>
                <w:rFonts w:ascii="Open Sans" w:cs="Open Sans" w:eastAsia="Open Sans" w:hAnsi="Open Sans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11,8%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E5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Asturias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6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Oviedo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E7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10,09 €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E8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2,2%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E9">
            <w:pPr>
              <w:jc w:val="center"/>
              <w:rPr>
                <w:rFonts w:ascii="Open Sans" w:cs="Open Sans" w:eastAsia="Open Sans" w:hAnsi="Open Sans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12,4%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EA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Zaragoza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B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Zaragoza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EC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10,61 €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ED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2,2%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EE">
            <w:pPr>
              <w:jc w:val="center"/>
              <w:rPr>
                <w:rFonts w:ascii="Open Sans" w:cs="Open Sans" w:eastAsia="Open Sans" w:hAnsi="Open Sans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9,5%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EF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Sevilla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0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Sevilla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F1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12,96 €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F2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2,1%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F3">
            <w:pPr>
              <w:jc w:val="center"/>
              <w:rPr>
                <w:rFonts w:ascii="Open Sans" w:cs="Open Sans" w:eastAsia="Open Sans" w:hAnsi="Open Sans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11,8%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F4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Santa Cruz de Tenerife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5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Santa Cruz de Tenerife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F6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13,10 €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F7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1,9%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F8">
            <w:pPr>
              <w:jc w:val="center"/>
              <w:rPr>
                <w:rFonts w:ascii="Open Sans" w:cs="Open Sans" w:eastAsia="Open Sans" w:hAnsi="Open Sans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18,7%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F9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Huelva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A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Huelva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FB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8,94 €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FC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1,4%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FD">
            <w:pPr>
              <w:jc w:val="center"/>
              <w:rPr>
                <w:rFonts w:ascii="Open Sans" w:cs="Open Sans" w:eastAsia="Open Sans" w:hAnsi="Open Sans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8,1%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1FE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Lugo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F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Lugo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00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7,52 €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01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1,3%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02">
            <w:pPr>
              <w:jc w:val="center"/>
              <w:rPr>
                <w:rFonts w:ascii="Open Sans" w:cs="Open Sans" w:eastAsia="Open Sans" w:hAnsi="Open Sans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13,8%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203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Gipuzkoa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4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Donostia - San Sebastián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05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19,49 €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06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0,8%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07">
            <w:pPr>
              <w:jc w:val="center"/>
              <w:rPr>
                <w:rFonts w:ascii="Open Sans" w:cs="Open Sans" w:eastAsia="Open Sans" w:hAnsi="Open Sans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2,1%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208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Granada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9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Granada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0A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9,82 €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0B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0,6%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0C">
            <w:pPr>
              <w:jc w:val="center"/>
              <w:rPr>
                <w:rFonts w:ascii="Open Sans" w:cs="Open Sans" w:eastAsia="Open Sans" w:hAnsi="Open Sans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4,8%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20D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Málaga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E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Málaga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0F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14,94 €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10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0,3%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11">
            <w:pPr>
              <w:jc w:val="center"/>
              <w:rPr>
                <w:rFonts w:ascii="Open Sans" w:cs="Open Sans" w:eastAsia="Open Sans" w:hAnsi="Open Sans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6,5%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212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La Rioja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3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Logroño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14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8,82 €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15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0,2%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16">
            <w:pPr>
              <w:jc w:val="center"/>
              <w:rPr>
                <w:rFonts w:ascii="Open Sans" w:cs="Open Sans" w:eastAsia="Open Sans" w:hAnsi="Open Sans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5,1%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217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Cádiz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8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Cádiz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19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11,78 €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1A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-0,6%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1B">
            <w:pPr>
              <w:jc w:val="center"/>
              <w:rPr>
                <w:rFonts w:ascii="Open Sans" w:cs="Open Sans" w:eastAsia="Open Sans" w:hAnsi="Open Sans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c0006"/>
                <w:sz w:val="22"/>
                <w:szCs w:val="22"/>
                <w:rtl w:val="0"/>
              </w:rPr>
              <w:t xml:space="preserve">-3,1%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21C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Navarra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D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Pamplona / Iruña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1E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11,70 €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1F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-1,1%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20">
            <w:pPr>
              <w:jc w:val="center"/>
              <w:rPr>
                <w:rFonts w:ascii="Open Sans" w:cs="Open Sans" w:eastAsia="Open Sans" w:hAnsi="Open Sans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3,8%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221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Albacete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2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Albacete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23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7,74 €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24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-1,7%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25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7,9%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226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Pontevedra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7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Pontevedra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28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8,80 €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29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-1,7%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2A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11,5%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22B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Lleida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C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Lleida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2D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8,24 €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2E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-2,8%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2F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3,8%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230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Burgos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1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Burgos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32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9,90 €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33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-2,8%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34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11,1%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235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Cáceres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6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Cáceres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37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7,27 €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38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-4,1%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39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12,5%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23A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Segovia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B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Segovia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3C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11,15 €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3D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-4,1%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3E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2,1%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23F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Valladolid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0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Valladolid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41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8,42 €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42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-4,3%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43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3,4%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244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Tarragona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5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Tarragona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46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10,44 €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47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-8,5%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48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0,5%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249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Araba - Álava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A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Vitoria - Gasteiz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4B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12,89 €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4C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-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4D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9,7%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24E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Huesca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F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Huesca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50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8,82 €</w:t>
            </w:r>
          </w:p>
        </w:tc>
        <w:tc>
          <w:tcPr/>
          <w:p w:rsidR="00000000" w:rsidDel="00000000" w:rsidP="00000000" w:rsidRDefault="00000000" w:rsidRPr="00000000" w14:paraId="00000251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-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52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8,9%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253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Soria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4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Soria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55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8,79 €</w:t>
            </w:r>
          </w:p>
        </w:tc>
        <w:tc>
          <w:tcPr/>
          <w:p w:rsidR="00000000" w:rsidDel="00000000" w:rsidP="00000000" w:rsidRDefault="00000000" w:rsidRPr="00000000" w14:paraId="00000256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-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57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-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258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Ávila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9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Ávila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5A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7,62 €</w:t>
            </w:r>
          </w:p>
        </w:tc>
        <w:tc>
          <w:tcPr/>
          <w:p w:rsidR="00000000" w:rsidDel="00000000" w:rsidP="00000000" w:rsidRDefault="00000000" w:rsidRPr="00000000" w14:paraId="0000025B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-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5C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7,6%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25D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Cuenca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E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Cuenca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5F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7,59 €</w:t>
            </w:r>
          </w:p>
        </w:tc>
        <w:tc>
          <w:tcPr/>
          <w:p w:rsidR="00000000" w:rsidDel="00000000" w:rsidP="00000000" w:rsidRDefault="00000000" w:rsidRPr="00000000" w14:paraId="00000260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-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61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c0006"/>
                <w:sz w:val="22"/>
                <w:szCs w:val="22"/>
                <w:rtl w:val="0"/>
              </w:rPr>
              <w:t xml:space="preserve">-1,8%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1dbdc5" w:val="clear"/>
          </w:tcPr>
          <w:p w:rsidR="00000000" w:rsidDel="00000000" w:rsidP="00000000" w:rsidRDefault="00000000" w:rsidRPr="00000000" w14:paraId="00000262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Zamora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3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Zamora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64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7,50 €</w:t>
            </w:r>
          </w:p>
        </w:tc>
        <w:tc>
          <w:tcPr/>
          <w:p w:rsidR="00000000" w:rsidDel="00000000" w:rsidP="00000000" w:rsidRDefault="00000000" w:rsidRPr="00000000" w14:paraId="00000265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-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66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19,8%</w:t>
            </w:r>
          </w:p>
        </w:tc>
      </w:tr>
    </w:tbl>
    <w:p w:rsidR="00000000" w:rsidDel="00000000" w:rsidP="00000000" w:rsidRDefault="00000000" w:rsidRPr="00000000" w14:paraId="000002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76" w:lineRule="auto"/>
        <w:ind w:right="-574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rtl w:val="0"/>
        </w:rPr>
        <w:t xml:space="preserve">Tabla 4: Ranking de las 10 ciudades de mayor incremento trimestral (jun. 2024)</w:t>
      </w:r>
    </w:p>
    <w:tbl>
      <w:tblPr>
        <w:tblStyle w:val="Table4"/>
        <w:tblW w:w="8973.0" w:type="dxa"/>
        <w:jc w:val="left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A0"/>
      </w:tblPr>
      <w:tblGrid>
        <w:gridCol w:w="1704"/>
        <w:gridCol w:w="2373"/>
        <w:gridCol w:w="1843"/>
        <w:gridCol w:w="1559"/>
        <w:gridCol w:w="1494"/>
        <w:tblGridChange w:id="0">
          <w:tblGrid>
            <w:gridCol w:w="1704"/>
            <w:gridCol w:w="2373"/>
            <w:gridCol w:w="1843"/>
            <w:gridCol w:w="1559"/>
            <w:gridCol w:w="1494"/>
          </w:tblGrid>
        </w:tblGridChange>
      </w:tblGrid>
      <w:tr>
        <w:trPr>
          <w:cantSplit w:val="0"/>
          <w:trHeight w:val="177" w:hRule="atLeast"/>
          <w:tblHeader w:val="0"/>
        </w:trPr>
        <w:tc>
          <w:tcPr>
            <w:shd w:fill="1dbdc5" w:val="clear"/>
            <w:vAlign w:val="center"/>
          </w:tcPr>
          <w:p w:rsidR="00000000" w:rsidDel="00000000" w:rsidP="00000000" w:rsidRDefault="00000000" w:rsidRPr="00000000" w14:paraId="00000268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0"/>
                <w:szCs w:val="20"/>
                <w:rtl w:val="0"/>
              </w:rPr>
              <w:t xml:space="preserve">Provincia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  <w:vAlign w:val="center"/>
          </w:tcPr>
          <w:p w:rsidR="00000000" w:rsidDel="00000000" w:rsidP="00000000" w:rsidRDefault="00000000" w:rsidRPr="00000000" w14:paraId="00000269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0"/>
                <w:szCs w:val="20"/>
                <w:rtl w:val="0"/>
              </w:rPr>
              <w:t xml:space="preserve">Municipio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26A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Precio de jun. 2024 (€/m²)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26B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Variación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trimestral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26D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Variación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interanual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7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26F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Cantabria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70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Castro-Urdiales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71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16,60 €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72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34,7%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73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0,1%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7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274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Almería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75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El Ejido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76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13,40 €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77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25,1%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78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2,4%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7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279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Pontevedra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7A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Sanxenxo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7B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18,16 €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7C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24,6%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7D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12,7%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7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27E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Murcia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7F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Águilas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80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12,69 €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81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23,1%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82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5,8%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7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283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Alicante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84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Orihuela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85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10,24 €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86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22,8%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87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7,5%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7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288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Valencia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89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Canet d'En Berenguer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8A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15,25 €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8B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22,1%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8C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c0006"/>
                <w:sz w:val="22"/>
                <w:szCs w:val="22"/>
                <w:rtl w:val="0"/>
              </w:rPr>
              <w:t xml:space="preserve">-17,2%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7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28D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Cantabria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8E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Torrelavega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8F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10,62 €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90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18,8%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91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-</w:t>
            </w:r>
          </w:p>
        </w:tc>
      </w:tr>
      <w:tr>
        <w:trPr>
          <w:cantSplit w:val="0"/>
          <w:trHeight w:val="177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292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Huelva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93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Punta Umbría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94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14,46 €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95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18,0%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96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c0006"/>
                <w:sz w:val="22"/>
                <w:szCs w:val="22"/>
                <w:rtl w:val="0"/>
              </w:rPr>
              <w:t xml:space="preserve">-8,0%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7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297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Castellón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98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Moncofa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99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10,87 €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9A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14,5%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9B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-</w:t>
            </w:r>
          </w:p>
        </w:tc>
      </w:tr>
      <w:tr>
        <w:trPr>
          <w:cantSplit w:val="0"/>
          <w:trHeight w:val="177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29C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Alicante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9D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Torrevieja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9E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12,50 €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9F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12,8%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A0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12,2%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76" w:lineRule="auto"/>
        <w:ind w:right="-574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rtl w:val="0"/>
        </w:rPr>
        <w:t xml:space="preserve">Tabla 5: Ranking de las 10 ciudades de mayor descenso trimestral (jun. 2024)</w:t>
      </w:r>
    </w:p>
    <w:tbl>
      <w:tblPr>
        <w:tblStyle w:val="Table5"/>
        <w:tblW w:w="9024.0" w:type="dxa"/>
        <w:jc w:val="left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A0"/>
      </w:tblPr>
      <w:tblGrid>
        <w:gridCol w:w="1687"/>
        <w:gridCol w:w="2390"/>
        <w:gridCol w:w="1843"/>
        <w:gridCol w:w="1559"/>
        <w:gridCol w:w="1545"/>
        <w:tblGridChange w:id="0">
          <w:tblGrid>
            <w:gridCol w:w="1687"/>
            <w:gridCol w:w="2390"/>
            <w:gridCol w:w="1843"/>
            <w:gridCol w:w="1559"/>
            <w:gridCol w:w="1545"/>
          </w:tblGrid>
        </w:tblGridChange>
      </w:tblGrid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center"/>
          </w:tcPr>
          <w:p w:rsidR="00000000" w:rsidDel="00000000" w:rsidP="00000000" w:rsidRDefault="00000000" w:rsidRPr="00000000" w14:paraId="000002A2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0"/>
                <w:szCs w:val="20"/>
                <w:rtl w:val="0"/>
              </w:rPr>
              <w:t xml:space="preserve">Provincia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  <w:vAlign w:val="center"/>
          </w:tcPr>
          <w:p w:rsidR="00000000" w:rsidDel="00000000" w:rsidP="00000000" w:rsidRDefault="00000000" w:rsidRPr="00000000" w14:paraId="000002A3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0"/>
                <w:szCs w:val="20"/>
                <w:rtl w:val="0"/>
              </w:rPr>
              <w:t xml:space="preserve">Municipio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2A4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Precio de jun. 2024 (€/m²)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2A5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Variación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trimestral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2A7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Variación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interanual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2A9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Cádiz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AA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Sanlúcar de Barrameda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AB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11,12 €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AC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-13,9%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AD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4,4%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2AE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Alicante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AF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Elche / Elx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B0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7,75 €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B1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-8,8%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B2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3,5%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2B3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Tarragona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B4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Tarragona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B5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10,44 €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B6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-8,5%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B7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0,5%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2B8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Valladolid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B9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Valladolid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BA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8,42 €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BB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-4,3%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BC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3,4%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2BD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Segovia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BE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Segovia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BF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11,15 €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C0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-4,1%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C1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2,1%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2C2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Cáceres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C3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Cáceres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C4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7,27 €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C5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-4,1%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C6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12,5%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2C7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Córdoba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C8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Lucena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C9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7,06 €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CA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-4,1%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CB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17,7%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2CC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Valencia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CD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Sagunto / Sagunt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CE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8,63 €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CF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-2,9%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D0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c0006"/>
                <w:sz w:val="22"/>
                <w:szCs w:val="22"/>
                <w:rtl w:val="0"/>
              </w:rPr>
              <w:t xml:space="preserve">-0,5%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2D1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Burgos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D2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Burgos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D3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9,90 €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D4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-2,8%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D5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11,1%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2D6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Lleida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D7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Lleida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D8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8,24 €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D9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-2,8%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DA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3,8%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76" w:lineRule="auto"/>
        <w:ind w:right="-574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rtl w:val="0"/>
        </w:rPr>
        <w:t xml:space="preserve">Tabla 6: Ranking de las 10 ciudades con mayor precio</w:t>
      </w:r>
    </w:p>
    <w:tbl>
      <w:tblPr>
        <w:tblStyle w:val="Table6"/>
        <w:tblW w:w="9024.0" w:type="dxa"/>
        <w:jc w:val="left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A0"/>
      </w:tblPr>
      <w:tblGrid>
        <w:gridCol w:w="1687"/>
        <w:gridCol w:w="2390"/>
        <w:gridCol w:w="1843"/>
        <w:gridCol w:w="1559"/>
        <w:gridCol w:w="1545"/>
        <w:tblGridChange w:id="0">
          <w:tblGrid>
            <w:gridCol w:w="1687"/>
            <w:gridCol w:w="2390"/>
            <w:gridCol w:w="1843"/>
            <w:gridCol w:w="1559"/>
            <w:gridCol w:w="1545"/>
          </w:tblGrid>
        </w:tblGridChange>
      </w:tblGrid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center"/>
          </w:tcPr>
          <w:p w:rsidR="00000000" w:rsidDel="00000000" w:rsidP="00000000" w:rsidRDefault="00000000" w:rsidRPr="00000000" w14:paraId="000002DC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0"/>
                <w:szCs w:val="20"/>
                <w:rtl w:val="0"/>
              </w:rPr>
              <w:t xml:space="preserve">Provincia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  <w:vAlign w:val="center"/>
          </w:tcPr>
          <w:p w:rsidR="00000000" w:rsidDel="00000000" w:rsidP="00000000" w:rsidRDefault="00000000" w:rsidRPr="00000000" w14:paraId="000002DD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0"/>
                <w:szCs w:val="20"/>
                <w:rtl w:val="0"/>
              </w:rPr>
              <w:t xml:space="preserve">Municipio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2DE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Precio de jun. 2024 (€/m²)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2DF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Variación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0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trimestral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2E1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Variación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2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interanual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2E3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Illes Balears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E4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Calvià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E5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22,36 €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E6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7,6%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E7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0,0%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2E8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Barcelona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E9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Barcelona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EA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22,19 €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EB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4,0%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EC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8,2%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2ED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Barcelona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EE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Sitges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EF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21,39 €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F0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F1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20,4%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2F2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Madrid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F3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Madrid capital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F4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21,03 €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F5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7,0%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F6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14,6%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2F7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Las Palmas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F8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San Bartolomé de Tirajana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F9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20,03 €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FA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FB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2FC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Madrid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FD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La Moraleja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FE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20,02 €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2FF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3,9%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00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01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Barcelona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02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Sant Cugat del Vallès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03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19,71 €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04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5,6%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05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15,6%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06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Cantabria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07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Laredo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08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19,51 €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09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3,3%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0A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1,7%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0B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Gipuzkoa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0C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Donostia - San Sebastián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0D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19,49 €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0E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0,8%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0F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2,1%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10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Barcelona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11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L'Hospitalet de Llobregat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12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19,34 €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13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c0006"/>
                <w:sz w:val="22"/>
                <w:szCs w:val="22"/>
                <w:rtl w:val="0"/>
              </w:rPr>
              <w:t xml:space="preserve">-0,5%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14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12,9%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76" w:lineRule="auto"/>
        <w:ind w:right="-574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rtl w:val="0"/>
        </w:rPr>
        <w:t xml:space="preserve">Tabla 7: Ranking de las 10 ciudades con menor precio</w:t>
      </w:r>
    </w:p>
    <w:tbl>
      <w:tblPr>
        <w:tblStyle w:val="Table7"/>
        <w:tblW w:w="9024.0" w:type="dxa"/>
        <w:jc w:val="left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A0"/>
      </w:tblPr>
      <w:tblGrid>
        <w:gridCol w:w="1687"/>
        <w:gridCol w:w="2390"/>
        <w:gridCol w:w="1843"/>
        <w:gridCol w:w="1559"/>
        <w:gridCol w:w="1545"/>
        <w:tblGridChange w:id="0">
          <w:tblGrid>
            <w:gridCol w:w="1687"/>
            <w:gridCol w:w="2390"/>
            <w:gridCol w:w="1843"/>
            <w:gridCol w:w="1559"/>
            <w:gridCol w:w="1545"/>
          </w:tblGrid>
        </w:tblGridChange>
      </w:tblGrid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center"/>
          </w:tcPr>
          <w:p w:rsidR="00000000" w:rsidDel="00000000" w:rsidP="00000000" w:rsidRDefault="00000000" w:rsidRPr="00000000" w14:paraId="00000316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0"/>
                <w:szCs w:val="20"/>
                <w:rtl w:val="0"/>
              </w:rPr>
              <w:t xml:space="preserve">Provincia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  <w:vAlign w:val="center"/>
          </w:tcPr>
          <w:p w:rsidR="00000000" w:rsidDel="00000000" w:rsidP="00000000" w:rsidRDefault="00000000" w:rsidRPr="00000000" w14:paraId="00000317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0"/>
                <w:szCs w:val="20"/>
                <w:rtl w:val="0"/>
              </w:rPr>
              <w:t xml:space="preserve">Municipio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318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Precio de jun. 2024 (€/m²)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319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Variación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A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trimestral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31B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Variación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C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interanual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1D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Jaén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1E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Baeza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1F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4,82 €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20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-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21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14,2%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22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Ciudad Real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23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Puertollano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24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5,13 €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25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c0006"/>
                <w:sz w:val="22"/>
                <w:szCs w:val="22"/>
                <w:rtl w:val="0"/>
              </w:rPr>
              <w:t xml:space="preserve">-0,4%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26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3,2%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27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Badajoz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28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Don Benito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29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5,18 €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A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2B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9c0006"/>
                <w:sz w:val="22"/>
                <w:szCs w:val="22"/>
                <w:rtl w:val="0"/>
              </w:rPr>
              <w:t xml:space="preserve">-0,6%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2C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Jaén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2D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Martos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2E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5,36 €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F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0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-</w:t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31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Jaén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32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Úbeda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33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5,68 €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4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5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-</w:t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36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Badajoz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37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Almendralejo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38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6,03 €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9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3A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25,4%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3B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Alicante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3C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Elda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3D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6,27 €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E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3F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-</w:t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40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Jaén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41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Linares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42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6,32 €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43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6,2%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44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14,9%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45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Castellón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46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Onda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47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6,33 €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8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49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-</w:t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4A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León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4B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Ponferrada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4C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22"/>
                <w:szCs w:val="22"/>
                <w:rtl w:val="0"/>
              </w:rPr>
              <w:t xml:space="preserve">6,53 €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D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4E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9,4%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76" w:lineRule="auto"/>
        <w:ind w:right="-574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rtl w:val="0"/>
        </w:rPr>
        <w:t xml:space="preserve">Tabla 8: Distritos de Madrid con mayor a menor incremento trimestral (jun. 2024)</w:t>
      </w:r>
    </w:p>
    <w:tbl>
      <w:tblPr>
        <w:tblStyle w:val="Table8"/>
        <w:tblW w:w="9091.0" w:type="dxa"/>
        <w:jc w:val="left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A0"/>
      </w:tblPr>
      <w:tblGrid>
        <w:gridCol w:w="3114"/>
        <w:gridCol w:w="2268"/>
        <w:gridCol w:w="1843"/>
        <w:gridCol w:w="1866"/>
        <w:tblGridChange w:id="0">
          <w:tblGrid>
            <w:gridCol w:w="3114"/>
            <w:gridCol w:w="2268"/>
            <w:gridCol w:w="1843"/>
            <w:gridCol w:w="1866"/>
          </w:tblGrid>
        </w:tblGridChange>
      </w:tblGrid>
      <w:tr>
        <w:trPr>
          <w:cantSplit w:val="0"/>
          <w:trHeight w:val="213" w:hRule="atLeast"/>
          <w:tblHeader w:val="0"/>
        </w:trPr>
        <w:tc>
          <w:tcPr>
            <w:shd w:fill="1dbdc5" w:val="clear"/>
            <w:vAlign w:val="center"/>
          </w:tcPr>
          <w:p w:rsidR="00000000" w:rsidDel="00000000" w:rsidP="00000000" w:rsidRDefault="00000000" w:rsidRPr="00000000" w14:paraId="00000350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0"/>
                <w:szCs w:val="20"/>
                <w:rtl w:val="0"/>
              </w:rPr>
              <w:t xml:space="preserve">Distrito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351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0"/>
                <w:szCs w:val="20"/>
                <w:rtl w:val="0"/>
              </w:rPr>
              <w:t xml:space="preserve">Precio de jun. 2024 (€/m²)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352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0"/>
                <w:szCs w:val="20"/>
                <w:rtl w:val="0"/>
              </w:rPr>
              <w:t xml:space="preserve">Variación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0"/>
                <w:szCs w:val="20"/>
                <w:rtl w:val="0"/>
              </w:rPr>
              <w:t xml:space="preserve">trimestral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354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0"/>
                <w:szCs w:val="20"/>
                <w:rtl w:val="0"/>
              </w:rPr>
              <w:t xml:space="preserve">Variación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0"/>
                <w:szCs w:val="20"/>
                <w:rtl w:val="0"/>
              </w:rPr>
              <w:t xml:space="preserve">interanual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3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56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Hortaleza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57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18,93 €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58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16,9%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59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22,1%</w:t>
            </w:r>
          </w:p>
        </w:tc>
      </w:tr>
      <w:tr>
        <w:trPr>
          <w:cantSplit w:val="0"/>
          <w:trHeight w:val="213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5A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Ciudad Lineal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5B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18,85 €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5C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10,9%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5D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20,8%</w:t>
            </w:r>
          </w:p>
        </w:tc>
      </w:tr>
      <w:tr>
        <w:trPr>
          <w:cantSplit w:val="0"/>
          <w:trHeight w:val="213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5E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Fuencarral - El Pardo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5F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17,48 €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60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10,1%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61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15,8%</w:t>
            </w:r>
          </w:p>
        </w:tc>
      </w:tr>
      <w:tr>
        <w:trPr>
          <w:cantSplit w:val="0"/>
          <w:trHeight w:val="213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62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Moncloa - Aravaca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63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20,99 €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64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9,6%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65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11,9%</w:t>
            </w:r>
          </w:p>
        </w:tc>
      </w:tr>
      <w:tr>
        <w:trPr>
          <w:cantSplit w:val="0"/>
          <w:trHeight w:val="213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66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Arganzuela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67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21,63 €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68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8,8%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69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23,0%</w:t>
            </w:r>
          </w:p>
        </w:tc>
      </w:tr>
      <w:tr>
        <w:trPr>
          <w:cantSplit w:val="0"/>
          <w:trHeight w:val="213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6A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Carabanchel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6B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17,50 €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6C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8,4%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6D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27,6%</w:t>
            </w:r>
          </w:p>
        </w:tc>
      </w:tr>
      <w:tr>
        <w:trPr>
          <w:cantSplit w:val="0"/>
          <w:trHeight w:val="213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6E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Chamberí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6F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23,86 €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70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8,2%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71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10,9%</w:t>
            </w:r>
          </w:p>
        </w:tc>
      </w:tr>
      <w:tr>
        <w:trPr>
          <w:cantSplit w:val="0"/>
          <w:trHeight w:val="213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72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Villaverde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73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16,21 €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74">
            <w:pPr>
              <w:jc w:val="center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8,1%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75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19,5%</w:t>
            </w:r>
          </w:p>
        </w:tc>
      </w:tr>
      <w:tr>
        <w:trPr>
          <w:cantSplit w:val="0"/>
          <w:trHeight w:val="213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76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Retiro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77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21,43 €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78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6,6%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79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10,7%</w:t>
            </w:r>
          </w:p>
        </w:tc>
      </w:tr>
      <w:tr>
        <w:trPr>
          <w:cantSplit w:val="0"/>
          <w:trHeight w:val="213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7A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Latina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7B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17,86 €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7C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6,5%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7D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22,6%</w:t>
            </w:r>
          </w:p>
        </w:tc>
      </w:tr>
      <w:tr>
        <w:trPr>
          <w:cantSplit w:val="0"/>
          <w:trHeight w:val="213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7E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Centro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7F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23,09 €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80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5,8%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81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9,8%</w:t>
            </w:r>
          </w:p>
        </w:tc>
      </w:tr>
      <w:tr>
        <w:trPr>
          <w:cantSplit w:val="0"/>
          <w:trHeight w:val="213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82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San Blas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83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16,18 €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84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5,4%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85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14,0%</w:t>
            </w:r>
          </w:p>
        </w:tc>
      </w:tr>
      <w:tr>
        <w:trPr>
          <w:cantSplit w:val="0"/>
          <w:trHeight w:val="213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86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Tetuán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87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21,83 €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88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4,4%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89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16,0%</w:t>
            </w:r>
          </w:p>
        </w:tc>
      </w:tr>
      <w:tr>
        <w:trPr>
          <w:cantSplit w:val="0"/>
          <w:trHeight w:val="213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8A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Puente de Vallecas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8B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17,51 €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8C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3,8%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8D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19,2%</w:t>
            </w:r>
          </w:p>
        </w:tc>
      </w:tr>
      <w:tr>
        <w:trPr>
          <w:cantSplit w:val="0"/>
          <w:trHeight w:val="213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8E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Chamartín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8F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21,38 €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90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2,8%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91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15,5%</w:t>
            </w:r>
          </w:p>
        </w:tc>
      </w:tr>
      <w:tr>
        <w:trPr>
          <w:cantSplit w:val="0"/>
          <w:trHeight w:val="213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92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Barrio de Salamanca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93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22,80 €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94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1,4%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95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4,1%</w:t>
            </w:r>
          </w:p>
        </w:tc>
      </w:tr>
      <w:tr>
        <w:trPr>
          <w:cantSplit w:val="0"/>
          <w:trHeight w:val="213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96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Vicálvaro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97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15,88 €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98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0,8%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99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3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9A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Usera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9B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17,17 €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9C">
            <w:pPr>
              <w:jc w:val="center"/>
              <w:rPr>
                <w:rFonts w:ascii="Open Sans" w:cs="Open Sans" w:eastAsia="Open Sans" w:hAnsi="Open Sans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9D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11,8%</w:t>
            </w:r>
          </w:p>
        </w:tc>
      </w:tr>
      <w:tr>
        <w:trPr>
          <w:cantSplit w:val="0"/>
          <w:trHeight w:val="213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9E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Barajas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9F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15,37 €</w:t>
            </w:r>
          </w:p>
        </w:tc>
        <w:tc>
          <w:tcPr/>
          <w:p w:rsidR="00000000" w:rsidDel="00000000" w:rsidP="00000000" w:rsidRDefault="00000000" w:rsidRPr="00000000" w14:paraId="000003A0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A1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3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A2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Villa de Vallecas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A3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15,33 €</w:t>
            </w:r>
          </w:p>
        </w:tc>
        <w:tc>
          <w:tcPr/>
          <w:p w:rsidR="00000000" w:rsidDel="00000000" w:rsidP="00000000" w:rsidRDefault="00000000" w:rsidRPr="00000000" w14:paraId="000003A4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A5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13,4%</w:t>
            </w:r>
          </w:p>
        </w:tc>
      </w:tr>
    </w:tbl>
    <w:p w:rsidR="00000000" w:rsidDel="00000000" w:rsidP="00000000" w:rsidRDefault="00000000" w:rsidRPr="00000000" w14:paraId="000003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280" w:line="276" w:lineRule="auto"/>
        <w:ind w:right="-574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rtl w:val="0"/>
        </w:rPr>
        <w:t xml:space="preserve">Tabla 9: Distritos de Barcelona con mayor a menor incremento trimestral (jun. 2024)</w:t>
      </w:r>
    </w:p>
    <w:tbl>
      <w:tblPr>
        <w:tblStyle w:val="Table9"/>
        <w:tblW w:w="9079.0" w:type="dxa"/>
        <w:jc w:val="left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A0"/>
      </w:tblPr>
      <w:tblGrid>
        <w:gridCol w:w="3114"/>
        <w:gridCol w:w="2268"/>
        <w:gridCol w:w="1843"/>
        <w:gridCol w:w="1854"/>
        <w:tblGridChange w:id="0">
          <w:tblGrid>
            <w:gridCol w:w="3114"/>
            <w:gridCol w:w="2268"/>
            <w:gridCol w:w="1843"/>
            <w:gridCol w:w="1854"/>
          </w:tblGrid>
        </w:tblGridChange>
      </w:tblGrid>
      <w:tr>
        <w:trPr>
          <w:cantSplit w:val="0"/>
          <w:trHeight w:val="215" w:hRule="atLeast"/>
          <w:tblHeader w:val="0"/>
        </w:trPr>
        <w:tc>
          <w:tcPr>
            <w:shd w:fill="1dbdc5" w:val="clear"/>
            <w:vAlign w:val="center"/>
          </w:tcPr>
          <w:p w:rsidR="00000000" w:rsidDel="00000000" w:rsidP="00000000" w:rsidRDefault="00000000" w:rsidRPr="00000000" w14:paraId="000003A7">
            <w:pPr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0"/>
                <w:szCs w:val="20"/>
                <w:rtl w:val="0"/>
              </w:rPr>
              <w:t xml:space="preserve">Distrito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3A8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Precio de jun. 2024 (€/m²)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3A9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Variación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A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trimestral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dbdc5" w:val="clear"/>
          </w:tcPr>
          <w:p w:rsidR="00000000" w:rsidDel="00000000" w:rsidP="00000000" w:rsidRDefault="00000000" w:rsidRPr="00000000" w14:paraId="000003AB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Variación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C">
            <w:pPr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interanual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AD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Sant Andreu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AE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20,58 €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AF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12,1%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B0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26,6%</w:t>
            </w:r>
          </w:p>
        </w:tc>
      </w:tr>
      <w:tr>
        <w:trPr>
          <w:cantSplit w:val="0"/>
          <w:trHeight w:val="21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B1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Sants - Montjuïc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B2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22,03 €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B3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11,4%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B4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11,7%</w:t>
            </w:r>
          </w:p>
        </w:tc>
      </w:tr>
      <w:tr>
        <w:trPr>
          <w:cantSplit w:val="0"/>
          <w:trHeight w:val="21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B5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Eixample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B6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23,23 €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B7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8,4%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B8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9,7%</w:t>
            </w:r>
          </w:p>
        </w:tc>
      </w:tr>
      <w:tr>
        <w:trPr>
          <w:cantSplit w:val="0"/>
          <w:trHeight w:val="21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B9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Gràcia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BA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22,56 €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BB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4,0%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BC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6,9%</w:t>
            </w:r>
          </w:p>
        </w:tc>
      </w:tr>
      <w:tr>
        <w:trPr>
          <w:cantSplit w:val="0"/>
          <w:trHeight w:val="21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BD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Horta - Guinardó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BE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18,63 €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BF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2,7%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C0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9,1%</w:t>
            </w:r>
          </w:p>
        </w:tc>
      </w:tr>
      <w:tr>
        <w:trPr>
          <w:cantSplit w:val="0"/>
          <w:trHeight w:val="21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C1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Sarrià - Sant Gervasi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C2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22,23 €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C3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1,4%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C4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6,3%</w:t>
            </w:r>
          </w:p>
        </w:tc>
      </w:tr>
      <w:tr>
        <w:trPr>
          <w:cantSplit w:val="0"/>
          <w:trHeight w:val="21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C5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Les Corts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C6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19,81 €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C7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1,4%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C8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0,1%</w:t>
            </w:r>
          </w:p>
        </w:tc>
      </w:tr>
      <w:tr>
        <w:trPr>
          <w:cantSplit w:val="0"/>
          <w:trHeight w:val="21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C9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Ciutat Vella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CA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22,44 €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CB">
            <w:pPr>
              <w:jc w:val="center"/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  <w:rtl w:val="0"/>
              </w:rPr>
              <w:t xml:space="preserve">0,7%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CC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4,3%</w:t>
            </w:r>
          </w:p>
        </w:tc>
      </w:tr>
      <w:tr>
        <w:trPr>
          <w:cantSplit w:val="0"/>
          <w:trHeight w:val="215" w:hRule="atLeast"/>
          <w:tblHeader w:val="0"/>
        </w:trPr>
        <w:tc>
          <w:tcPr>
            <w:shd w:fill="1dbdc5" w:val="clear"/>
            <w:vAlign w:val="bottom"/>
          </w:tcPr>
          <w:p w:rsidR="00000000" w:rsidDel="00000000" w:rsidP="00000000" w:rsidRDefault="00000000" w:rsidRPr="00000000" w14:paraId="000003CD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sz w:val="22"/>
                <w:szCs w:val="22"/>
                <w:rtl w:val="0"/>
              </w:rPr>
              <w:t xml:space="preserve">Sant Martí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CE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22,21 €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CF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9c0006"/>
                <w:sz w:val="22"/>
                <w:szCs w:val="22"/>
                <w:rtl w:val="0"/>
              </w:rPr>
              <w:t xml:space="preserve">-3,4%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D0">
            <w:pPr>
              <w:jc w:val="center"/>
              <w:rPr>
                <w:rFonts w:ascii="Open Sans" w:cs="Open Sans" w:eastAsia="Open Sans" w:hAnsi="Open Sans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2"/>
                <w:szCs w:val="22"/>
                <w:rtl w:val="0"/>
              </w:rPr>
              <w:t xml:space="preserve">8,8%</w:t>
            </w:r>
          </w:p>
        </w:tc>
      </w:tr>
    </w:tbl>
    <w:p w:rsidR="00000000" w:rsidDel="00000000" w:rsidP="00000000" w:rsidRDefault="00000000" w:rsidRPr="00000000" w14:paraId="000003D1">
      <w:pPr>
        <w:spacing w:line="276" w:lineRule="auto"/>
        <w:ind w:right="-426"/>
        <w:jc w:val="right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rtl w:val="0"/>
        </w:rPr>
        <w:t xml:space="preserve">Sobre Fotocasa</w:t>
      </w:r>
    </w:p>
    <w:p w:rsidR="00000000" w:rsidDel="00000000" w:rsidP="00000000" w:rsidRDefault="00000000" w:rsidRPr="00000000" w14:paraId="000003D2">
      <w:pPr>
        <w:shd w:fill="ffffff" w:val="clear"/>
        <w:spacing w:after="280" w:before="280" w:line="276" w:lineRule="auto"/>
        <w:ind w:right="-426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Portal inmobiliario que cuenta con inmuebles de segunda mano, promociones de obra nueva y viviendas de alquiler. Cada mes genera un tráfico de 34 millones de visitas (75% a través de dispositivos móviles). Mensualmente elabora el </w:t>
      </w:r>
      <w:hyperlink r:id="rId23">
        <w:r w:rsidDel="00000000" w:rsidR="00000000" w:rsidRPr="00000000">
          <w:rPr>
            <w:rFonts w:ascii="Open Sans" w:cs="Open Sans" w:eastAsia="Open Sans" w:hAnsi="Open Sans"/>
            <w:color w:val="0000ff"/>
            <w:sz w:val="22"/>
            <w:szCs w:val="22"/>
            <w:u w:val="single"/>
            <w:rtl w:val="0"/>
          </w:rPr>
          <w:t xml:space="preserve">índice inmobiliario Fotocasa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, un informe de referencia sobre la evolución del precio medio de la vivienda en España, tanto en venta como en alquiler. Toda nuestra información la puedes encontrar en nuestra </w:t>
      </w:r>
      <w:hyperlink r:id="rId24">
        <w:r w:rsidDel="00000000" w:rsidR="00000000" w:rsidRPr="00000000">
          <w:rPr>
            <w:rFonts w:ascii="Open Sans" w:cs="Open Sans" w:eastAsia="Open Sans" w:hAnsi="Open Sans"/>
            <w:color w:val="0000ff"/>
            <w:sz w:val="22"/>
            <w:szCs w:val="22"/>
            <w:u w:val="single"/>
            <w:rtl w:val="0"/>
          </w:rPr>
          <w:t xml:space="preserve">Sala de Prensa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3D3">
      <w:pPr>
        <w:shd w:fill="ffffff" w:val="clear"/>
        <w:spacing w:after="280" w:before="280" w:line="276" w:lineRule="auto"/>
        <w:ind w:right="-426"/>
        <w:jc w:val="both"/>
        <w:rPr>
          <w:rFonts w:ascii="Open Sans" w:cs="Open Sans" w:eastAsia="Open Sans" w:hAnsi="Open Sans"/>
          <w:sz w:val="22"/>
          <w:szCs w:val="22"/>
        </w:rPr>
      </w:pPr>
      <w:bookmarkStart w:colFirst="0" w:colLast="0" w:name="_heading=h.2s8eyo1" w:id="2"/>
      <w:bookmarkEnd w:id="2"/>
      <w:hyperlink r:id="rId25">
        <w:r w:rsidDel="00000000" w:rsidR="00000000" w:rsidRPr="00000000">
          <w:rPr>
            <w:rFonts w:ascii="Open Sans" w:cs="Open Sans" w:eastAsia="Open Sans" w:hAnsi="Open Sans"/>
            <w:b w:val="1"/>
            <w:color w:val="0000ff"/>
            <w:sz w:val="22"/>
            <w:szCs w:val="22"/>
            <w:u w:val="single"/>
            <w:rtl w:val="0"/>
          </w:rPr>
          <w:t xml:space="preserve">Fotocasa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 pertenece a </w:t>
      </w:r>
      <w:hyperlink r:id="rId26">
        <w:r w:rsidDel="00000000" w:rsidR="00000000" w:rsidRPr="00000000">
          <w:rPr>
            <w:rFonts w:ascii="Open Sans" w:cs="Open Sans" w:eastAsia="Open Sans" w:hAnsi="Open Sans"/>
            <w:color w:val="0000ff"/>
            <w:sz w:val="22"/>
            <w:szCs w:val="22"/>
            <w:u w:val="single"/>
            <w:rtl w:val="0"/>
          </w:rPr>
          <w:t xml:space="preserve">Adevinta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, una empresa 100% especializada en Marketplaces digitales y el único “pure player” del sector a nivel mundial. </w:t>
      </w:r>
    </w:p>
    <w:p w:rsidR="00000000" w:rsidDel="00000000" w:rsidP="00000000" w:rsidRDefault="00000000" w:rsidRPr="00000000" w14:paraId="000003D4">
      <w:pPr>
        <w:shd w:fill="ffffff" w:val="clear"/>
        <w:spacing w:after="280" w:before="280" w:line="276" w:lineRule="auto"/>
        <w:ind w:right="-426"/>
        <w:jc w:val="both"/>
        <w:rPr>
          <w:rFonts w:ascii="Open Sans" w:cs="Open Sans" w:eastAsia="Open Sans" w:hAnsi="Open Sans"/>
          <w:sz w:val="22"/>
          <w:szCs w:val="22"/>
        </w:rPr>
      </w:pPr>
      <w:hyperlink r:id="rId27">
        <w:r w:rsidDel="00000000" w:rsidR="00000000" w:rsidRPr="00000000">
          <w:rPr>
            <w:rFonts w:ascii="Open Sans" w:cs="Open Sans" w:eastAsia="Open Sans" w:hAnsi="Open Sans"/>
            <w:color w:val="0000ff"/>
            <w:sz w:val="22"/>
            <w:szCs w:val="22"/>
            <w:u w:val="single"/>
            <w:rtl w:val="0"/>
          </w:rPr>
          <w:t xml:space="preserve">Más información sobre Fotocasa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3D5">
      <w:pPr>
        <w:spacing w:line="276" w:lineRule="auto"/>
        <w:ind w:right="-426"/>
        <w:jc w:val="right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spacing w:line="276" w:lineRule="auto"/>
        <w:ind w:right="-426"/>
        <w:jc w:val="right"/>
        <w:rPr>
          <w:rFonts w:ascii="Open Sans Light" w:cs="Open Sans Light" w:eastAsia="Open Sans Light" w:hAnsi="Open Sans Light"/>
          <w:b w:val="1"/>
          <w:color w:val="303ab2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rtl w:val="0"/>
        </w:rPr>
        <w:t xml:space="preserve">Sobre Adevinta Spain</w:t>
      </w:r>
    </w:p>
    <w:p w:rsidR="00000000" w:rsidDel="00000000" w:rsidP="00000000" w:rsidRDefault="00000000" w:rsidRPr="00000000" w14:paraId="000003D7">
      <w:pPr>
        <w:spacing w:after="200" w:before="143" w:lineRule="auto"/>
        <w:ind w:right="-426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Adevinta Spain es una compañía líder en marketplaces digitales y una de las principales empresas del sector tecnológico del país, con más de 18 millones de usuarios al mes en sus plataformas de los sectores inmobiliario (</w:t>
      </w:r>
      <w:hyperlink r:id="rId28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Fotocasa</w:t>
        </w:r>
      </w:hyperlink>
      <w:r w:rsidDel="00000000" w:rsidR="00000000" w:rsidRPr="00000000">
        <w:rPr>
          <w:rFonts w:ascii="Open Sans" w:cs="Open Sans" w:eastAsia="Open Sans" w:hAnsi="Open Sans"/>
          <w:color w:val="231f2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y</w:t>
      </w:r>
      <w:r w:rsidDel="00000000" w:rsidR="00000000" w:rsidRPr="00000000">
        <w:rPr>
          <w:rFonts w:ascii="Open Sans" w:cs="Open Sans" w:eastAsia="Open Sans" w:hAnsi="Open Sans"/>
          <w:color w:val="231f20"/>
          <w:sz w:val="22"/>
          <w:szCs w:val="22"/>
          <w:rtl w:val="0"/>
        </w:rPr>
        <w:t xml:space="preserve"> </w:t>
      </w:r>
      <w:hyperlink r:id="rId29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habitaclia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), empleo (</w:t>
      </w:r>
      <w:hyperlink r:id="rId30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InfoJobs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), motor (</w:t>
      </w:r>
      <w:hyperlink r:id="rId31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coches.net</w:t>
        </w:r>
      </w:hyperlink>
      <w:r w:rsidDel="00000000" w:rsidR="00000000" w:rsidRPr="00000000">
        <w:rPr>
          <w:rFonts w:ascii="Open Sans" w:cs="Open Sans" w:eastAsia="Open Sans" w:hAnsi="Open Sans"/>
          <w:color w:val="231f2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y</w:t>
      </w:r>
      <w:r w:rsidDel="00000000" w:rsidR="00000000" w:rsidRPr="00000000">
        <w:rPr>
          <w:rFonts w:ascii="Open Sans" w:cs="Open Sans" w:eastAsia="Open Sans" w:hAnsi="Open Sans"/>
          <w:color w:val="231f20"/>
          <w:sz w:val="22"/>
          <w:szCs w:val="22"/>
          <w:rtl w:val="0"/>
        </w:rPr>
        <w:t xml:space="preserve"> </w:t>
      </w:r>
      <w:hyperlink r:id="rId32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motos.net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) y compraventa de artículos de segunda mano (</w:t>
      </w:r>
      <w:hyperlink r:id="rId33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Milanuncios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spacing w:after="200" w:before="143" w:lineRule="auto"/>
        <w:ind w:right="-426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Los negocios de Adevinta han evolucionado del papel al online a lo largo de más de 40 años de trayectoria en España, convirtiéndose en referentes de Internet. La sede de la compañía está en Barcelona y cuenta con una plantilla de 1.200 personas comprometidas con fomentar un cambio positivo en el mundo a través de tecnología innovadora, otorgando una nueva oportunidad a quienes la están buscando y dando a las cosas una segunda vida.</w:t>
      </w:r>
    </w:p>
    <w:p w:rsidR="00000000" w:rsidDel="00000000" w:rsidP="00000000" w:rsidRDefault="00000000" w:rsidRPr="00000000" w14:paraId="000003D9">
      <w:pPr>
        <w:spacing w:after="200" w:before="143" w:lineRule="auto"/>
        <w:ind w:right="-426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Adevinta tiene presencia mundial en 10 países. El conjunto de sus plataformas locales recibe un promedio de 3.000 millones de visitas cada mes. </w:t>
      </w:r>
    </w:p>
    <w:p w:rsidR="00000000" w:rsidDel="00000000" w:rsidP="00000000" w:rsidRDefault="00000000" w:rsidRPr="00000000" w14:paraId="000003DA">
      <w:pPr>
        <w:spacing w:line="276" w:lineRule="auto"/>
        <w:ind w:right="-426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Más información en </w:t>
      </w:r>
      <w:hyperlink r:id="rId34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adevinta.es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spacing w:line="276" w:lineRule="auto"/>
        <w:ind w:right="-426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spacing w:line="276" w:lineRule="auto"/>
        <w:ind w:right="-426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spacing w:line="276" w:lineRule="auto"/>
        <w:ind w:right="-426"/>
        <w:rPr>
          <w:rFonts w:ascii="Open Sans Light" w:cs="Open Sans Light" w:eastAsia="Open Sans Light" w:hAnsi="Open Sans Light"/>
          <w:b w:val="1"/>
          <w:color w:val="303ab2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sz w:val="22"/>
          <w:szCs w:val="22"/>
          <w:rtl w:val="0"/>
        </w:rPr>
        <w:t xml:space="preserve">Departamento Comunicación Fotocasa</w:t>
      </w:r>
    </w:p>
    <w:p w:rsidR="00000000" w:rsidDel="00000000" w:rsidP="00000000" w:rsidRDefault="00000000" w:rsidRPr="00000000" w14:paraId="000003DE">
      <w:pPr>
        <w:shd w:fill="ffffff" w:val="clear"/>
        <w:spacing w:line="276" w:lineRule="auto"/>
        <w:ind w:right="-426"/>
        <w:rPr>
          <w:rFonts w:ascii="Open Sans" w:cs="Open Sans" w:eastAsia="Open Sans" w:hAnsi="Open Sans"/>
          <w:b w:val="1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2"/>
          <w:szCs w:val="22"/>
          <w:rtl w:val="0"/>
        </w:rPr>
        <w:t xml:space="preserve">Anaïs López</w:t>
      </w:r>
    </w:p>
    <w:p w:rsidR="00000000" w:rsidDel="00000000" w:rsidP="00000000" w:rsidRDefault="00000000" w:rsidRPr="00000000" w14:paraId="000003DF">
      <w:pPr>
        <w:shd w:fill="ffffff" w:val="clear"/>
        <w:spacing w:line="276" w:lineRule="auto"/>
        <w:ind w:right="-426"/>
        <w:rPr>
          <w:rFonts w:ascii="Open Sans" w:cs="Open Sans" w:eastAsia="Open Sans" w:hAnsi="Open Sans"/>
          <w:color w:val="0000ff"/>
          <w:sz w:val="22"/>
          <w:szCs w:val="22"/>
          <w:u w:val="single"/>
        </w:rPr>
      </w:pPr>
      <w:hyperlink r:id="rId35">
        <w:r w:rsidDel="00000000" w:rsidR="00000000" w:rsidRPr="00000000">
          <w:rPr>
            <w:rFonts w:ascii="Open Sans" w:cs="Open Sans" w:eastAsia="Open Sans" w:hAnsi="Open Sans"/>
            <w:color w:val="0000ff"/>
            <w:sz w:val="22"/>
            <w:szCs w:val="22"/>
            <w:u w:val="single"/>
            <w:rtl w:val="0"/>
          </w:rPr>
          <w:t xml:space="preserve">comunicacion@fotocasa.es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shd w:fill="ffffff" w:val="clear"/>
        <w:spacing w:line="276" w:lineRule="auto"/>
        <w:ind w:right="-426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2"/>
          <w:szCs w:val="22"/>
          <w:rtl w:val="0"/>
        </w:rPr>
        <w:t xml:space="preserve">620 66 29 26</w:t>
      </w:r>
    </w:p>
    <w:p w:rsidR="00000000" w:rsidDel="00000000" w:rsidP="00000000" w:rsidRDefault="00000000" w:rsidRPr="00000000" w14:paraId="000003E1">
      <w:pPr>
        <w:spacing w:line="276" w:lineRule="auto"/>
        <w:ind w:right="-426"/>
        <w:rPr>
          <w:rFonts w:ascii="Open Sans Light" w:cs="Open Sans Light" w:eastAsia="Open Sans Light" w:hAnsi="Open Sans Light"/>
          <w:b w:val="1"/>
          <w:color w:val="303ab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spacing w:line="276" w:lineRule="auto"/>
        <w:ind w:right="-426"/>
        <w:rPr>
          <w:rFonts w:ascii="Open Sans Light" w:cs="Open Sans Light" w:eastAsia="Open Sans Light" w:hAnsi="Open Sans Light"/>
          <w:b w:val="1"/>
          <w:color w:val="303ab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spacing w:line="276" w:lineRule="auto"/>
        <w:ind w:right="-426"/>
        <w:rPr>
          <w:rFonts w:ascii="Open Sans Light" w:cs="Open Sans Light" w:eastAsia="Open Sans Light" w:hAnsi="Open Sans Light"/>
          <w:b w:val="1"/>
          <w:color w:val="303ab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spacing w:line="276" w:lineRule="auto"/>
        <w:ind w:right="-426"/>
        <w:rPr>
          <w:rFonts w:ascii="Open Sans Light" w:cs="Open Sans Light" w:eastAsia="Open Sans Light" w:hAnsi="Open Sans Light"/>
          <w:b w:val="1"/>
          <w:color w:val="303ab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ind w:right="-426"/>
        <w:rPr>
          <w:rFonts w:ascii="Open Sans Light" w:cs="Open Sans Light" w:eastAsia="Open Sans Light" w:hAnsi="Open Sans Light"/>
          <w:b w:val="1"/>
          <w:color w:val="303ab2"/>
          <w:sz w:val="22"/>
          <w:szCs w:val="22"/>
        </w:rPr>
      </w:pPr>
      <w:r w:rsidDel="00000000" w:rsidR="00000000" w:rsidRPr="00000000">
        <w:rPr>
          <w:rFonts w:ascii="Open Sans Light" w:cs="Open Sans Light" w:eastAsia="Open Sans Light" w:hAnsi="Open Sans Light"/>
          <w:b w:val="1"/>
          <w:color w:val="303ab2"/>
          <w:sz w:val="22"/>
          <w:szCs w:val="22"/>
          <w:rtl w:val="0"/>
        </w:rPr>
        <w:t xml:space="preserve">Llorente y Cuenca    </w:t>
        <w:tab/>
        <w:tab/>
        <w:tab/>
        <w:t xml:space="preserve">       </w:t>
        <w:tab/>
      </w:r>
    </w:p>
    <w:p w:rsidR="00000000" w:rsidDel="00000000" w:rsidP="00000000" w:rsidRDefault="00000000" w:rsidRPr="00000000" w14:paraId="000003E6">
      <w:pPr>
        <w:shd w:fill="ffffff" w:val="clear"/>
        <w:ind w:right="-426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Fanny Merino</w:t>
      </w:r>
    </w:p>
    <w:p w:rsidR="00000000" w:rsidDel="00000000" w:rsidP="00000000" w:rsidRDefault="00000000" w:rsidRPr="00000000" w14:paraId="000003E7">
      <w:pPr>
        <w:shd w:fill="ffffff" w:val="clear"/>
        <w:ind w:right="-426"/>
        <w:rPr>
          <w:rFonts w:ascii="Open Sans" w:cs="Open Sans" w:eastAsia="Open Sans" w:hAnsi="Open Sans"/>
          <w:b w:val="1"/>
          <w:sz w:val="22"/>
          <w:szCs w:val="22"/>
        </w:rPr>
      </w:pPr>
      <w:hyperlink r:id="rId36">
        <w:r w:rsidDel="00000000" w:rsidR="00000000" w:rsidRPr="00000000">
          <w:rPr>
            <w:rFonts w:ascii="Open Sans" w:cs="Open Sans" w:eastAsia="Open Sans" w:hAnsi="Open Sans"/>
            <w:color w:val="0000ff"/>
            <w:sz w:val="22"/>
            <w:szCs w:val="22"/>
            <w:u w:val="single"/>
            <w:rtl w:val="0"/>
          </w:rPr>
          <w:t xml:space="preserve">emerino@</w:t>
        </w:r>
      </w:hyperlink>
      <w:r w:rsidDel="00000000" w:rsidR="00000000" w:rsidRPr="00000000">
        <w:rPr>
          <w:rFonts w:ascii="Open Sans" w:cs="Open Sans" w:eastAsia="Open Sans" w:hAnsi="Open Sans"/>
          <w:color w:val="0000ff"/>
          <w:sz w:val="22"/>
          <w:szCs w:val="22"/>
          <w:u w:val="single"/>
          <w:rtl w:val="0"/>
        </w:rPr>
        <w:t xml:space="preserve">llyc.global</w:t>
      </w:r>
      <w:r w:rsidDel="00000000" w:rsidR="00000000" w:rsidRPr="00000000">
        <w:rPr>
          <w:rFonts w:ascii="Open Sans" w:cs="Open Sans" w:eastAsia="Open Sans" w:hAnsi="Open Sans"/>
          <w:color w:val="0000ff"/>
          <w:sz w:val="22"/>
          <w:szCs w:val="22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shd w:fill="ffffff" w:val="clear"/>
        <w:ind w:right="-426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663 35 69 75 </w:t>
        <w:tab/>
        <w:tab/>
        <w:tab/>
        <w:tab/>
        <w:tab/>
        <w:tab/>
      </w:r>
    </w:p>
    <w:p w:rsidR="00000000" w:rsidDel="00000000" w:rsidP="00000000" w:rsidRDefault="00000000" w:rsidRPr="00000000" w14:paraId="000003E9">
      <w:pPr>
        <w:shd w:fill="ffffff" w:val="clear"/>
        <w:ind w:right="-426"/>
        <w:rPr>
          <w:color w:val="222222"/>
          <w:sz w:val="22"/>
          <w:szCs w:val="22"/>
        </w:rPr>
      </w:pPr>
      <w:r w:rsidDel="00000000" w:rsidR="00000000" w:rsidRPr="00000000">
        <w:rPr>
          <w:color w:val="222222"/>
          <w:sz w:val="22"/>
          <w:szCs w:val="22"/>
          <w:rtl w:val="0"/>
        </w:rPr>
        <w:tab/>
        <w:tab/>
        <w:t xml:space="preserve">     </w:t>
      </w:r>
    </w:p>
    <w:p w:rsidR="00000000" w:rsidDel="00000000" w:rsidP="00000000" w:rsidRDefault="00000000" w:rsidRPr="00000000" w14:paraId="000003EA">
      <w:pPr>
        <w:shd w:fill="ffffff" w:val="clear"/>
        <w:ind w:right="-426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Judit Campillos</w:t>
      </w:r>
    </w:p>
    <w:p w:rsidR="00000000" w:rsidDel="00000000" w:rsidP="00000000" w:rsidRDefault="00000000" w:rsidRPr="00000000" w14:paraId="000003EB">
      <w:pPr>
        <w:shd w:fill="ffffff" w:val="clear"/>
        <w:ind w:right="-426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color w:val="0000ff"/>
          <w:sz w:val="22"/>
          <w:szCs w:val="22"/>
          <w:u w:val="single"/>
          <w:rtl w:val="0"/>
        </w:rPr>
        <w:t xml:space="preserve">jcampillos</w:t>
      </w:r>
      <w:hyperlink r:id="rId37">
        <w:r w:rsidDel="00000000" w:rsidR="00000000" w:rsidRPr="00000000">
          <w:rPr>
            <w:rFonts w:ascii="Open Sans" w:cs="Open Sans" w:eastAsia="Open Sans" w:hAnsi="Open Sans"/>
            <w:color w:val="0000ff"/>
            <w:sz w:val="22"/>
            <w:szCs w:val="22"/>
            <w:u w:val="single"/>
            <w:rtl w:val="0"/>
          </w:rPr>
          <w:t xml:space="preserve">@ll</w:t>
        </w:r>
      </w:hyperlink>
      <w:r w:rsidDel="00000000" w:rsidR="00000000" w:rsidRPr="00000000">
        <w:rPr>
          <w:rFonts w:ascii="Open Sans" w:cs="Open Sans" w:eastAsia="Open Sans" w:hAnsi="Open Sans"/>
          <w:color w:val="0000ff"/>
          <w:sz w:val="22"/>
          <w:szCs w:val="22"/>
          <w:u w:val="single"/>
          <w:rtl w:val="0"/>
        </w:rPr>
        <w:t xml:space="preserve">yc.global</w:t>
      </w:r>
      <w:r w:rsidDel="00000000" w:rsidR="00000000" w:rsidRPr="00000000">
        <w:rPr>
          <w:rFonts w:ascii="Open Sans" w:cs="Open Sans" w:eastAsia="Open Sans" w:hAnsi="Open Sans"/>
          <w:color w:val="0000ff"/>
          <w:sz w:val="22"/>
          <w:szCs w:val="22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shd w:fill="ffffff" w:val="clear"/>
        <w:ind w:right="-426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699 13 91 53</w:t>
      </w:r>
    </w:p>
    <w:p w:rsidR="00000000" w:rsidDel="00000000" w:rsidP="00000000" w:rsidRDefault="00000000" w:rsidRPr="00000000" w14:paraId="000003ED">
      <w:pPr>
        <w:ind w:right="-426"/>
        <w:rPr>
          <w:rFonts w:ascii="Open Sans" w:cs="Open Sans" w:eastAsia="Open Sans" w:hAnsi="Open Sans"/>
          <w:color w:val="30302e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ind w:right="-426"/>
        <w:rPr>
          <w:rFonts w:ascii="Open Sans" w:cs="Open Sans" w:eastAsia="Open Sans" w:hAnsi="Open Sans"/>
          <w:b w:val="1"/>
          <w:color w:val="30302e"/>
          <w:sz w:val="22"/>
          <w:szCs w:val="22"/>
          <w:highlight w:val="whit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30302e"/>
          <w:sz w:val="22"/>
          <w:szCs w:val="22"/>
          <w:highlight w:val="white"/>
          <w:rtl w:val="0"/>
        </w:rPr>
        <w:t xml:space="preserve">Alicia Salvatella</w:t>
      </w:r>
    </w:p>
    <w:p w:rsidR="00000000" w:rsidDel="00000000" w:rsidP="00000000" w:rsidRDefault="00000000" w:rsidRPr="00000000" w14:paraId="000003EF">
      <w:pPr>
        <w:ind w:right="-426"/>
        <w:rPr>
          <w:rFonts w:ascii="Open Sans" w:cs="Open Sans" w:eastAsia="Open Sans" w:hAnsi="Open Sans"/>
          <w:color w:val="0000ff"/>
          <w:sz w:val="22"/>
          <w:szCs w:val="22"/>
          <w:u w:val="single"/>
        </w:rPr>
      </w:pPr>
      <w:hyperlink r:id="rId38">
        <w:r w:rsidDel="00000000" w:rsidR="00000000" w:rsidRPr="00000000">
          <w:rPr>
            <w:rFonts w:ascii="Open Sans" w:cs="Open Sans" w:eastAsia="Open Sans" w:hAnsi="Open Sans"/>
            <w:color w:val="0000ff"/>
            <w:sz w:val="22"/>
            <w:szCs w:val="22"/>
            <w:u w:val="single"/>
            <w:rtl w:val="0"/>
          </w:rPr>
          <w:t xml:space="preserve">alicia.salvatella@llyc.global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ind w:right="-426"/>
        <w:rPr>
          <w:rFonts w:ascii="Open Sans" w:cs="Open Sans" w:eastAsia="Open Sans" w:hAnsi="Open Sans"/>
          <w:color w:val="30302e"/>
          <w:sz w:val="22"/>
          <w:szCs w:val="22"/>
          <w:highlight w:val="white"/>
        </w:rPr>
      </w:pPr>
      <w:r w:rsidDel="00000000" w:rsidR="00000000" w:rsidRPr="00000000">
        <w:rPr>
          <w:rFonts w:ascii="Open Sans" w:cs="Open Sans" w:eastAsia="Open Sans" w:hAnsi="Open Sans"/>
          <w:color w:val="30302e"/>
          <w:sz w:val="22"/>
          <w:szCs w:val="22"/>
          <w:highlight w:val="white"/>
          <w:rtl w:val="0"/>
        </w:rPr>
        <w:t xml:space="preserve">697 65 54 68</w:t>
      </w:r>
    </w:p>
    <w:p w:rsidR="00000000" w:rsidDel="00000000" w:rsidP="00000000" w:rsidRDefault="00000000" w:rsidRPr="00000000" w14:paraId="000003F1">
      <w:pPr>
        <w:shd w:fill="ffffff" w:val="clear"/>
        <w:ind w:right="-426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shd w:fill="ffffff" w:val="clear"/>
        <w:ind w:right="-426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spacing w:line="276" w:lineRule="auto"/>
        <w:ind w:right="-426"/>
        <w:jc w:val="center"/>
        <w:rPr>
          <w:rFonts w:ascii="Open Sans" w:cs="Open Sans" w:eastAsia="Open Sans" w:hAnsi="Open Sans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spacing w:line="276" w:lineRule="auto"/>
        <w:ind w:right="-574"/>
        <w:jc w:val="right"/>
        <w:rPr>
          <w:rFonts w:ascii="Open Sans" w:cs="Open Sans" w:eastAsia="Open Sans" w:hAnsi="Open Sans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sectPr>
      <w:footerReference r:id="rId39" w:type="default"/>
      <w:pgSz w:h="16840" w:w="1190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Courier New"/>
  <w:font w:name="National"/>
  <w:font w:name="Noto Sans Symbols">
    <w:embedRegular w:fontKey="{00000000-0000-0000-0000-000000000000}" r:id="rId1" w:subsetted="0"/>
    <w:embedBold w:fontKey="{00000000-0000-0000-0000-000000000000}" r:id="rId2" w:subsetted="0"/>
  </w:font>
  <w:font w:name="Open Sans Light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3F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F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s-ES_trad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05218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NormalWeb">
    <w:name w:val="Normal (Web)"/>
    <w:basedOn w:val="Normal"/>
    <w:uiPriority w:val="99"/>
    <w:unhideWhenUsed w:val="1"/>
    <w:rsid w:val="00C15353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es-ES_tradnl" w:val="es-ES"/>
    </w:rPr>
  </w:style>
  <w:style w:type="paragraph" w:styleId="Encabezado">
    <w:name w:val="header"/>
    <w:basedOn w:val="Normal"/>
    <w:link w:val="EncabezadoCar"/>
    <w:uiPriority w:val="99"/>
    <w:unhideWhenUsed w:val="1"/>
    <w:rsid w:val="00C15353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C15353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 w:val="1"/>
    <w:rsid w:val="00C15353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C15353"/>
    <w:rPr>
      <w:sz w:val="24"/>
      <w:szCs w:val="24"/>
      <w:lang w:val="es-ES_tradnl"/>
    </w:rPr>
  </w:style>
  <w:style w:type="character" w:styleId="Hipervnculo">
    <w:name w:val="Hyperlink"/>
    <w:basedOn w:val="Fuentedeprrafopredeter"/>
    <w:uiPriority w:val="99"/>
    <w:unhideWhenUsed w:val="1"/>
    <w:rsid w:val="00C15353"/>
    <w:rPr>
      <w:color w:val="0000ff"/>
      <w:u w:val="single"/>
    </w:rPr>
  </w:style>
  <w:style w:type="paragraph" w:styleId="Prrafodelista">
    <w:name w:val="List Paragraph"/>
    <w:basedOn w:val="Normal"/>
    <w:uiPriority w:val="34"/>
    <w:qFormat w:val="1"/>
    <w:rsid w:val="00C15353"/>
    <w:pPr>
      <w:ind w:left="720"/>
      <w:contextualSpacing w:val="1"/>
    </w:pPr>
  </w:style>
  <w:style w:type="table" w:styleId="Tabladecuadrcula5oscura-nfasis11" w:customStyle="1">
    <w:name w:val="Tabla de cuadrícula 5 oscura - Énfasis 11"/>
    <w:basedOn w:val="Tablanormal"/>
    <w:uiPriority w:val="50"/>
    <w:rsid w:val="00C15353"/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d9e2f3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4472c4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4472c4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4472c4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4472c4" w:themeFill="accent1" w:val="clear"/>
      </w:tcPr>
    </w:tblStylePr>
    <w:tblStylePr w:type="band1Vert">
      <w:tblPr/>
      <w:tcPr>
        <w:shd w:color="auto" w:fill="b4c6e7" w:themeFill="accent1" w:themeFillTint="000066" w:val="clear"/>
      </w:tcPr>
    </w:tblStylePr>
    <w:tblStylePr w:type="band1Horz">
      <w:tblPr/>
      <w:tcPr>
        <w:shd w:color="auto" w:fill="b4c6e7" w:themeFill="accent1" w:themeFillTint="000066" w:val="clear"/>
      </w:tcPr>
    </w:tblStyle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C15353"/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C15353"/>
    <w:rPr>
      <w:rFonts w:ascii="Segoe UI" w:cs="Segoe UI" w:hAnsi="Segoe UI"/>
      <w:sz w:val="18"/>
      <w:szCs w:val="18"/>
      <w:lang w:val="es-ES_tradnl"/>
    </w:rPr>
  </w:style>
  <w:style w:type="character" w:styleId="m6445620330082090912gmail-msohyperlink" w:customStyle="1">
    <w:name w:val="m_6445620330082090912gmail-msohyperlink"/>
    <w:basedOn w:val="Fuentedeprrafopredeter"/>
    <w:rsid w:val="00C15353"/>
  </w:style>
  <w:style w:type="table" w:styleId="Tablaconcuadrcula5oscura-nfasis3">
    <w:name w:val="Grid Table 5 Dark Accent 3"/>
    <w:basedOn w:val="Tablanormal"/>
    <w:uiPriority w:val="50"/>
    <w:rsid w:val="00C15353"/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eded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a5a5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a5a5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5a5a5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5a5a5" w:themeFill="accent3" w:val="clear"/>
      </w:tcPr>
    </w:tblStylePr>
    <w:tblStylePr w:type="band1Vert">
      <w:tblPr/>
      <w:tcPr>
        <w:shd w:color="auto" w:fill="dbdbdb" w:themeFill="accent3" w:themeFillTint="000066" w:val="clear"/>
      </w:tcPr>
    </w:tblStylePr>
    <w:tblStylePr w:type="band1Horz">
      <w:tblPr/>
      <w:tcPr>
        <w:shd w:color="auto" w:fill="dbdbdb" w:themeFill="accent3" w:themeFillTint="000066" w:val="clear"/>
      </w:tcPr>
    </w:tblStyle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0A5EA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0A5EAA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0A5EAA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0A5EAA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0A5EAA"/>
    <w:rPr>
      <w:b w:val="1"/>
      <w:bCs w:val="1"/>
      <w:sz w:val="20"/>
      <w:szCs w:val="20"/>
      <w:lang w:val="es-ES_tradnl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ededed" w:val="clear"/>
    </w:tcPr>
    <w:tblStylePr w:type="firstRow">
      <w:rPr>
        <w:b w:val="1"/>
        <w:color w:val="ffffff"/>
      </w:rPr>
      <w:tblPr/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a5a5a5" w:val="clear"/>
      </w:tcPr>
    </w:tblStylePr>
    <w:tblStylePr w:type="lastRow">
      <w:rPr>
        <w:b w:val="1"/>
        <w:color w:val="ffffff"/>
      </w:rPr>
      <w:tblPr/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a5a5a5" w:val="clear"/>
      </w:tcPr>
    </w:tblStylePr>
    <w:tblStylePr w:type="firstCol">
      <w:rPr>
        <w:b w:val="1"/>
        <w:color w:val="ffffff"/>
      </w:rPr>
      <w:tblPr/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space="0" w:sz="0" w:val="nil"/>
        </w:tcBorders>
        <w:shd w:color="auto" w:fill="a5a5a5" w:val="clear"/>
      </w:tcPr>
    </w:tblStylePr>
    <w:tblStylePr w:type="lastCol">
      <w:rPr>
        <w:b w:val="1"/>
        <w:color w:val="ffffff"/>
      </w:rPr>
      <w:tblPr/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space="0" w:sz="0" w:val="nil"/>
        </w:tcBorders>
        <w:shd w:color="auto" w:fill="a5a5a5" w:val="clear"/>
      </w:tcPr>
    </w:tblStylePr>
    <w:tblStylePr w:type="band1Vert">
      <w:tblPr/>
      <w:tcPr>
        <w:shd w:color="auto" w:fill="dbdbdb" w:val="clear"/>
      </w:tcPr>
    </w:tblStylePr>
    <w:tblStylePr w:type="band1Horz">
      <w:tblPr/>
      <w:tcPr>
        <w:shd w:color="auto" w:fill="dbdbdb" w:val="clear"/>
      </w:tcPr>
    </w:tblStyle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ededed" w:val="clear"/>
    </w:tcPr>
    <w:tblStylePr w:type="firstRow">
      <w:rPr>
        <w:b w:val="1"/>
        <w:color w:val="ffffff"/>
      </w:rPr>
      <w:tblPr/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a5a5a5" w:val="clear"/>
      </w:tcPr>
    </w:tblStylePr>
    <w:tblStylePr w:type="lastRow">
      <w:rPr>
        <w:b w:val="1"/>
        <w:color w:val="ffffff"/>
      </w:rPr>
      <w:tblPr/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a5a5a5" w:val="clear"/>
      </w:tcPr>
    </w:tblStylePr>
    <w:tblStylePr w:type="firstCol">
      <w:rPr>
        <w:b w:val="1"/>
        <w:color w:val="ffffff"/>
      </w:rPr>
      <w:tblPr/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space="0" w:sz="0" w:val="nil"/>
        </w:tcBorders>
        <w:shd w:color="auto" w:fill="a5a5a5" w:val="clear"/>
      </w:tcPr>
    </w:tblStylePr>
    <w:tblStylePr w:type="lastCol">
      <w:rPr>
        <w:b w:val="1"/>
        <w:color w:val="ffffff"/>
      </w:rPr>
      <w:tblPr/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space="0" w:sz="0" w:val="nil"/>
        </w:tcBorders>
        <w:shd w:color="auto" w:fill="a5a5a5" w:val="clear"/>
      </w:tcPr>
    </w:tblStylePr>
    <w:tblStylePr w:type="band1Vert">
      <w:tblPr/>
      <w:tcPr>
        <w:shd w:color="auto" w:fill="dbdbdb" w:val="clear"/>
      </w:tcPr>
    </w:tblStylePr>
    <w:tblStylePr w:type="band1Horz">
      <w:tblPr/>
      <w:tcPr>
        <w:shd w:color="auto" w:fill="dbdbdb" w:val="clear"/>
      </w:tcPr>
    </w:tblStyle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ededed" w:val="clear"/>
    </w:tcPr>
    <w:tblStylePr w:type="firstRow">
      <w:rPr>
        <w:b w:val="1"/>
        <w:color w:val="ffffff"/>
      </w:rPr>
      <w:tblPr/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a5a5a5" w:val="clear"/>
      </w:tcPr>
    </w:tblStylePr>
    <w:tblStylePr w:type="lastRow">
      <w:rPr>
        <w:b w:val="1"/>
        <w:color w:val="ffffff"/>
      </w:rPr>
      <w:tblPr/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a5a5a5" w:val="clear"/>
      </w:tcPr>
    </w:tblStylePr>
    <w:tblStylePr w:type="firstCol">
      <w:rPr>
        <w:b w:val="1"/>
        <w:color w:val="ffffff"/>
      </w:rPr>
      <w:tblPr/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space="0" w:sz="0" w:val="nil"/>
        </w:tcBorders>
        <w:shd w:color="auto" w:fill="a5a5a5" w:val="clear"/>
      </w:tcPr>
    </w:tblStylePr>
    <w:tblStylePr w:type="lastCol">
      <w:rPr>
        <w:b w:val="1"/>
        <w:color w:val="ffffff"/>
      </w:rPr>
      <w:tblPr/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space="0" w:sz="0" w:val="nil"/>
        </w:tcBorders>
        <w:shd w:color="auto" w:fill="a5a5a5" w:val="clear"/>
      </w:tcPr>
    </w:tblStylePr>
    <w:tblStylePr w:type="band1Vert">
      <w:tblPr/>
      <w:tcPr>
        <w:shd w:color="auto" w:fill="dbdbdb" w:val="clear"/>
      </w:tcPr>
    </w:tblStylePr>
    <w:tblStylePr w:type="band1Horz">
      <w:tblPr/>
      <w:tcPr>
        <w:shd w:color="auto" w:fill="dbdbdb" w:val="clear"/>
      </w:tcPr>
    </w:tblStyle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ededed" w:val="clear"/>
    </w:tcPr>
    <w:tblStylePr w:type="firstRow">
      <w:rPr>
        <w:b w:val="1"/>
        <w:color w:val="ffffff"/>
      </w:rPr>
      <w:tblPr/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a5a5a5" w:val="clear"/>
      </w:tcPr>
    </w:tblStylePr>
    <w:tblStylePr w:type="lastRow">
      <w:rPr>
        <w:b w:val="1"/>
        <w:color w:val="ffffff"/>
      </w:rPr>
      <w:tblPr/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a5a5a5" w:val="clear"/>
      </w:tcPr>
    </w:tblStylePr>
    <w:tblStylePr w:type="firstCol">
      <w:rPr>
        <w:b w:val="1"/>
        <w:color w:val="ffffff"/>
      </w:rPr>
      <w:tblPr/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space="0" w:sz="0" w:val="nil"/>
        </w:tcBorders>
        <w:shd w:color="auto" w:fill="a5a5a5" w:val="clear"/>
      </w:tcPr>
    </w:tblStylePr>
    <w:tblStylePr w:type="lastCol">
      <w:rPr>
        <w:b w:val="1"/>
        <w:color w:val="ffffff"/>
      </w:rPr>
      <w:tblPr/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space="0" w:sz="0" w:val="nil"/>
        </w:tcBorders>
        <w:shd w:color="auto" w:fill="a5a5a5" w:val="clear"/>
      </w:tcPr>
    </w:tblStylePr>
    <w:tblStylePr w:type="band1Vert">
      <w:tblPr/>
      <w:tcPr>
        <w:shd w:color="auto" w:fill="dbdbdb" w:val="clear"/>
      </w:tcPr>
    </w:tblStylePr>
    <w:tblStylePr w:type="band1Horz">
      <w:tblPr/>
      <w:tcPr>
        <w:shd w:color="auto" w:fill="dbdbdb" w:val="clear"/>
      </w:tcPr>
    </w:tblStyle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ededed" w:val="clear"/>
    </w:tcPr>
    <w:tblStylePr w:type="firstRow">
      <w:rPr>
        <w:b w:val="1"/>
        <w:color w:val="ffffff"/>
      </w:rPr>
      <w:tblPr/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a5a5a5" w:val="clear"/>
      </w:tcPr>
    </w:tblStylePr>
    <w:tblStylePr w:type="lastRow">
      <w:rPr>
        <w:b w:val="1"/>
        <w:color w:val="ffffff"/>
      </w:rPr>
      <w:tblPr/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a5a5a5" w:val="clear"/>
      </w:tcPr>
    </w:tblStylePr>
    <w:tblStylePr w:type="firstCol">
      <w:rPr>
        <w:b w:val="1"/>
        <w:color w:val="ffffff"/>
      </w:rPr>
      <w:tblPr/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space="0" w:sz="0" w:val="nil"/>
        </w:tcBorders>
        <w:shd w:color="auto" w:fill="a5a5a5" w:val="clear"/>
      </w:tcPr>
    </w:tblStylePr>
    <w:tblStylePr w:type="lastCol">
      <w:rPr>
        <w:b w:val="1"/>
        <w:color w:val="ffffff"/>
      </w:rPr>
      <w:tblPr/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space="0" w:sz="0" w:val="nil"/>
        </w:tcBorders>
        <w:shd w:color="auto" w:fill="a5a5a5" w:val="clear"/>
      </w:tcPr>
    </w:tblStylePr>
    <w:tblStylePr w:type="band1Vert">
      <w:tblPr/>
      <w:tcPr>
        <w:shd w:color="auto" w:fill="dbdbdb" w:val="clear"/>
      </w:tcPr>
    </w:tblStylePr>
    <w:tblStylePr w:type="band1Horz">
      <w:tblPr/>
      <w:tcPr>
        <w:shd w:color="auto" w:fill="dbdbdb" w:val="clear"/>
      </w:tcPr>
    </w:tblStyle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ededed" w:val="clear"/>
    </w:tcPr>
    <w:tblStylePr w:type="firstRow">
      <w:rPr>
        <w:b w:val="1"/>
        <w:color w:val="ffffff"/>
      </w:rPr>
      <w:tblPr/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a5a5a5" w:val="clear"/>
      </w:tcPr>
    </w:tblStylePr>
    <w:tblStylePr w:type="lastRow">
      <w:rPr>
        <w:b w:val="1"/>
        <w:color w:val="ffffff"/>
      </w:rPr>
      <w:tblPr/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a5a5a5" w:val="clear"/>
      </w:tcPr>
    </w:tblStylePr>
    <w:tblStylePr w:type="firstCol">
      <w:rPr>
        <w:b w:val="1"/>
        <w:color w:val="ffffff"/>
      </w:rPr>
      <w:tblPr/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space="0" w:sz="0" w:val="nil"/>
        </w:tcBorders>
        <w:shd w:color="auto" w:fill="a5a5a5" w:val="clear"/>
      </w:tcPr>
    </w:tblStylePr>
    <w:tblStylePr w:type="lastCol">
      <w:rPr>
        <w:b w:val="1"/>
        <w:color w:val="ffffff"/>
      </w:rPr>
      <w:tblPr/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space="0" w:sz="0" w:val="nil"/>
        </w:tcBorders>
        <w:shd w:color="auto" w:fill="a5a5a5" w:val="clear"/>
      </w:tcPr>
    </w:tblStylePr>
    <w:tblStylePr w:type="band1Vert">
      <w:tblPr/>
      <w:tcPr>
        <w:shd w:color="auto" w:fill="dbdbdb" w:val="clear"/>
      </w:tcPr>
    </w:tblStylePr>
    <w:tblStylePr w:type="band1Horz">
      <w:tblPr/>
      <w:tcPr>
        <w:shd w:color="auto" w:fill="dbdbdb" w:val="clear"/>
      </w:tcPr>
    </w:tblStyle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ededed" w:val="clear"/>
    </w:tcPr>
    <w:tblStylePr w:type="firstRow">
      <w:rPr>
        <w:b w:val="1"/>
        <w:color w:val="ffffff"/>
      </w:rPr>
      <w:tblPr/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a5a5a5" w:val="clear"/>
      </w:tcPr>
    </w:tblStylePr>
    <w:tblStylePr w:type="lastRow">
      <w:rPr>
        <w:b w:val="1"/>
        <w:color w:val="ffffff"/>
      </w:rPr>
      <w:tblPr/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a5a5a5" w:val="clear"/>
      </w:tcPr>
    </w:tblStylePr>
    <w:tblStylePr w:type="firstCol">
      <w:rPr>
        <w:b w:val="1"/>
        <w:color w:val="ffffff"/>
      </w:rPr>
      <w:tblPr/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space="0" w:sz="0" w:val="nil"/>
        </w:tcBorders>
        <w:shd w:color="auto" w:fill="a5a5a5" w:val="clear"/>
      </w:tcPr>
    </w:tblStylePr>
    <w:tblStylePr w:type="lastCol">
      <w:rPr>
        <w:b w:val="1"/>
        <w:color w:val="ffffff"/>
      </w:rPr>
      <w:tblPr/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space="0" w:sz="0" w:val="nil"/>
        </w:tcBorders>
        <w:shd w:color="auto" w:fill="a5a5a5" w:val="clear"/>
      </w:tcPr>
    </w:tblStylePr>
    <w:tblStylePr w:type="band1Vert">
      <w:tblPr/>
      <w:tcPr>
        <w:shd w:color="auto" w:fill="dbdbdb" w:val="clear"/>
      </w:tcPr>
    </w:tblStylePr>
    <w:tblStylePr w:type="band1Horz">
      <w:tblPr/>
      <w:tcPr>
        <w:shd w:color="auto" w:fill="dbdbdb" w:val="clear"/>
      </w:tcPr>
    </w:tblStyle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ededed" w:val="clear"/>
    </w:tcPr>
    <w:tblStylePr w:type="firstRow">
      <w:rPr>
        <w:b w:val="1"/>
        <w:color w:val="ffffff"/>
      </w:rPr>
      <w:tblPr/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a5a5a5" w:val="clear"/>
      </w:tcPr>
    </w:tblStylePr>
    <w:tblStylePr w:type="lastRow">
      <w:rPr>
        <w:b w:val="1"/>
        <w:color w:val="ffffff"/>
      </w:rPr>
      <w:tblPr/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a5a5a5" w:val="clear"/>
      </w:tcPr>
    </w:tblStylePr>
    <w:tblStylePr w:type="firstCol">
      <w:rPr>
        <w:b w:val="1"/>
        <w:color w:val="ffffff"/>
      </w:rPr>
      <w:tblPr/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space="0" w:sz="0" w:val="nil"/>
        </w:tcBorders>
        <w:shd w:color="auto" w:fill="a5a5a5" w:val="clear"/>
      </w:tcPr>
    </w:tblStylePr>
    <w:tblStylePr w:type="lastCol">
      <w:rPr>
        <w:b w:val="1"/>
        <w:color w:val="ffffff"/>
      </w:rPr>
      <w:tblPr/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space="0" w:sz="0" w:val="nil"/>
        </w:tcBorders>
        <w:shd w:color="auto" w:fill="a5a5a5" w:val="clear"/>
      </w:tcPr>
    </w:tblStylePr>
    <w:tblStylePr w:type="band1Vert">
      <w:tblPr/>
      <w:tcPr>
        <w:shd w:color="auto" w:fill="dbdbdb" w:val="clear"/>
      </w:tcPr>
    </w:tblStylePr>
    <w:tblStylePr w:type="band1Horz">
      <w:tblPr/>
      <w:tcPr>
        <w:shd w:color="auto" w:fill="dbdbdb" w:val="clear"/>
      </w:tcPr>
    </w:tblStyle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color="auto" w:fill="ededed" w:val="clear"/>
    </w:tcPr>
    <w:tblStylePr w:type="firstRow">
      <w:rPr>
        <w:b w:val="1"/>
        <w:color w:val="ffffff"/>
      </w:rPr>
      <w:tblPr/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a5a5a5" w:val="clear"/>
      </w:tcPr>
    </w:tblStylePr>
    <w:tblStylePr w:type="lastRow">
      <w:rPr>
        <w:b w:val="1"/>
        <w:color w:val="ffffff"/>
      </w:rPr>
      <w:tblPr/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space="0" w:sz="0" w:val="nil"/>
          <w:insideV w:space="0" w:sz="0" w:val="nil"/>
        </w:tcBorders>
        <w:shd w:color="auto" w:fill="a5a5a5" w:val="clear"/>
      </w:tcPr>
    </w:tblStylePr>
    <w:tblStylePr w:type="firstCol">
      <w:rPr>
        <w:b w:val="1"/>
        <w:color w:val="ffffff"/>
      </w:rPr>
      <w:tblPr/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space="0" w:sz="0" w:val="nil"/>
        </w:tcBorders>
        <w:shd w:color="auto" w:fill="a5a5a5" w:val="clear"/>
      </w:tcPr>
    </w:tblStylePr>
    <w:tblStylePr w:type="lastCol">
      <w:rPr>
        <w:b w:val="1"/>
        <w:color w:val="ffffff"/>
      </w:rPr>
      <w:tblPr/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space="0" w:sz="0" w:val="nil"/>
        </w:tcBorders>
        <w:shd w:color="auto" w:fill="a5a5a5" w:val="clear"/>
      </w:tcPr>
    </w:tblStylePr>
    <w:tblStylePr w:type="band1Vert">
      <w:tblPr/>
      <w:tcPr>
        <w:shd w:color="auto" w:fill="dbdbdb" w:val="clear"/>
      </w:tcPr>
    </w:tblStylePr>
    <w:tblStylePr w:type="band1Horz">
      <w:tblPr/>
      <w:tcPr>
        <w:shd w:color="auto" w:fill="dbdbdb" w:val="clear"/>
      </w:tcPr>
    </w:tblStyle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deded" w:val="clear"/>
    </w:tcPr>
    <w:tblStylePr w:type="band1Horz">
      <w:tcPr>
        <w:shd w:fill="dbdbdb" w:val="clear"/>
      </w:tcPr>
    </w:tblStylePr>
    <w:tblStylePr w:type="band1Vert">
      <w:tcPr>
        <w:shd w:fill="dbdbdb" w:val="clear"/>
      </w:tcPr>
    </w:tblStylePr>
    <w:tblStylePr w:type="firstCol">
      <w:rPr>
        <w:b w:val="1"/>
        <w:color w:val="ffffff"/>
      </w:rPr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color="000000" w:space="0" w:sz="0" w:val="nil"/>
        </w:tcBorders>
        <w:shd w:fill="a5a5a5" w:val="clear"/>
      </w:tcPr>
    </w:tblStylePr>
    <w:tblStylePr w:type="firstRow">
      <w:rPr>
        <w:b w:val="1"/>
        <w:color w:val="ffffff"/>
      </w:rPr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color="000000" w:space="0" w:sz="0" w:val="nil"/>
          <w:insideV w:color="000000" w:space="0" w:sz="0" w:val="nil"/>
        </w:tcBorders>
        <w:shd w:fill="a5a5a5" w:val="clear"/>
      </w:tcPr>
    </w:tblStylePr>
    <w:tblStylePr w:type="lastCol">
      <w:rPr>
        <w:b w:val="1"/>
        <w:color w:val="ffffff"/>
      </w:rPr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color="000000" w:space="0" w:sz="0" w:val="nil"/>
        </w:tcBorders>
        <w:shd w:fill="a5a5a5" w:val="clear"/>
      </w:tcPr>
    </w:tblStylePr>
    <w:tblStylePr w:type="lastRow">
      <w:rPr>
        <w:b w:val="1"/>
        <w:color w:val="ffffff"/>
      </w:rPr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color="000000" w:space="0" w:sz="0" w:val="nil"/>
          <w:insideV w:color="000000" w:space="0" w:sz="0" w:val="nil"/>
        </w:tcBorders>
        <w:shd w:fill="a5a5a5" w:val="clear"/>
      </w:tcPr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deded" w:val="clear"/>
    </w:tcPr>
    <w:tblStylePr w:type="band1Horz">
      <w:tcPr>
        <w:shd w:fill="dbdbdb" w:val="clear"/>
      </w:tcPr>
    </w:tblStylePr>
    <w:tblStylePr w:type="band1Vert">
      <w:tcPr>
        <w:shd w:fill="dbdbdb" w:val="clear"/>
      </w:tcPr>
    </w:tblStylePr>
    <w:tblStylePr w:type="firstCol">
      <w:rPr>
        <w:b w:val="1"/>
        <w:color w:val="ffffff"/>
      </w:rPr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color="000000" w:space="0" w:sz="0" w:val="nil"/>
        </w:tcBorders>
        <w:shd w:fill="a5a5a5" w:val="clear"/>
      </w:tcPr>
    </w:tblStylePr>
    <w:tblStylePr w:type="firstRow">
      <w:rPr>
        <w:b w:val="1"/>
        <w:color w:val="ffffff"/>
      </w:rPr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color="000000" w:space="0" w:sz="0" w:val="nil"/>
          <w:insideV w:color="000000" w:space="0" w:sz="0" w:val="nil"/>
        </w:tcBorders>
        <w:shd w:fill="a5a5a5" w:val="clear"/>
      </w:tcPr>
    </w:tblStylePr>
    <w:tblStylePr w:type="lastCol">
      <w:rPr>
        <w:b w:val="1"/>
        <w:color w:val="ffffff"/>
      </w:rPr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color="000000" w:space="0" w:sz="0" w:val="nil"/>
        </w:tcBorders>
        <w:shd w:fill="a5a5a5" w:val="clear"/>
      </w:tcPr>
    </w:tblStylePr>
    <w:tblStylePr w:type="lastRow">
      <w:rPr>
        <w:b w:val="1"/>
        <w:color w:val="ffffff"/>
      </w:rPr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color="000000" w:space="0" w:sz="0" w:val="nil"/>
          <w:insideV w:color="000000" w:space="0" w:sz="0" w:val="nil"/>
        </w:tcBorders>
        <w:shd w:fill="a5a5a5" w:val="clear"/>
      </w:tcPr>
    </w:tblStyle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deded" w:val="clear"/>
    </w:tcPr>
    <w:tblStylePr w:type="band1Horz">
      <w:tcPr>
        <w:shd w:fill="dbdbdb" w:val="clear"/>
      </w:tcPr>
    </w:tblStylePr>
    <w:tblStylePr w:type="band1Vert">
      <w:tcPr>
        <w:shd w:fill="dbdbdb" w:val="clear"/>
      </w:tcPr>
    </w:tblStylePr>
    <w:tblStylePr w:type="firstCol">
      <w:rPr>
        <w:b w:val="1"/>
        <w:color w:val="ffffff"/>
      </w:rPr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color="000000" w:space="0" w:sz="0" w:val="nil"/>
        </w:tcBorders>
        <w:shd w:fill="a5a5a5" w:val="clear"/>
      </w:tcPr>
    </w:tblStylePr>
    <w:tblStylePr w:type="firstRow">
      <w:rPr>
        <w:b w:val="1"/>
        <w:color w:val="ffffff"/>
      </w:rPr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color="000000" w:space="0" w:sz="0" w:val="nil"/>
          <w:insideV w:color="000000" w:space="0" w:sz="0" w:val="nil"/>
        </w:tcBorders>
        <w:shd w:fill="a5a5a5" w:val="clear"/>
      </w:tcPr>
    </w:tblStylePr>
    <w:tblStylePr w:type="lastCol">
      <w:rPr>
        <w:b w:val="1"/>
        <w:color w:val="ffffff"/>
      </w:rPr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color="000000" w:space="0" w:sz="0" w:val="nil"/>
        </w:tcBorders>
        <w:shd w:fill="a5a5a5" w:val="clear"/>
      </w:tcPr>
    </w:tblStylePr>
    <w:tblStylePr w:type="lastRow">
      <w:rPr>
        <w:b w:val="1"/>
        <w:color w:val="ffffff"/>
      </w:rPr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color="000000" w:space="0" w:sz="0" w:val="nil"/>
          <w:insideV w:color="000000" w:space="0" w:sz="0" w:val="nil"/>
        </w:tcBorders>
        <w:shd w:fill="a5a5a5" w:val="clear"/>
      </w:tcPr>
    </w:tblStyle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deded" w:val="clear"/>
    </w:tcPr>
    <w:tblStylePr w:type="band1Horz">
      <w:tcPr>
        <w:shd w:fill="dbdbdb" w:val="clear"/>
      </w:tcPr>
    </w:tblStylePr>
    <w:tblStylePr w:type="band1Vert">
      <w:tcPr>
        <w:shd w:fill="dbdbdb" w:val="clear"/>
      </w:tcPr>
    </w:tblStylePr>
    <w:tblStylePr w:type="firstCol">
      <w:rPr>
        <w:b w:val="1"/>
        <w:color w:val="ffffff"/>
      </w:rPr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color="000000" w:space="0" w:sz="0" w:val="nil"/>
        </w:tcBorders>
        <w:shd w:fill="a5a5a5" w:val="clear"/>
      </w:tcPr>
    </w:tblStylePr>
    <w:tblStylePr w:type="firstRow">
      <w:rPr>
        <w:b w:val="1"/>
        <w:color w:val="ffffff"/>
      </w:rPr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color="000000" w:space="0" w:sz="0" w:val="nil"/>
          <w:insideV w:color="000000" w:space="0" w:sz="0" w:val="nil"/>
        </w:tcBorders>
        <w:shd w:fill="a5a5a5" w:val="clear"/>
      </w:tcPr>
    </w:tblStylePr>
    <w:tblStylePr w:type="lastCol">
      <w:rPr>
        <w:b w:val="1"/>
        <w:color w:val="ffffff"/>
      </w:rPr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color="000000" w:space="0" w:sz="0" w:val="nil"/>
        </w:tcBorders>
        <w:shd w:fill="a5a5a5" w:val="clear"/>
      </w:tcPr>
    </w:tblStylePr>
    <w:tblStylePr w:type="lastRow">
      <w:rPr>
        <w:b w:val="1"/>
        <w:color w:val="ffffff"/>
      </w:rPr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color="000000" w:space="0" w:sz="0" w:val="nil"/>
          <w:insideV w:color="000000" w:space="0" w:sz="0" w:val="nil"/>
        </w:tcBorders>
        <w:shd w:fill="a5a5a5" w:val="clear"/>
      </w:tcPr>
    </w:tblStyle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deded" w:val="clear"/>
    </w:tcPr>
    <w:tblStylePr w:type="band1Horz">
      <w:tcPr>
        <w:shd w:fill="dbdbdb" w:val="clear"/>
      </w:tcPr>
    </w:tblStylePr>
    <w:tblStylePr w:type="band1Vert">
      <w:tcPr>
        <w:shd w:fill="dbdbdb" w:val="clear"/>
      </w:tcPr>
    </w:tblStylePr>
    <w:tblStylePr w:type="firstCol">
      <w:rPr>
        <w:b w:val="1"/>
        <w:color w:val="ffffff"/>
      </w:rPr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color="000000" w:space="0" w:sz="0" w:val="nil"/>
        </w:tcBorders>
        <w:shd w:fill="a5a5a5" w:val="clear"/>
      </w:tcPr>
    </w:tblStylePr>
    <w:tblStylePr w:type="firstRow">
      <w:rPr>
        <w:b w:val="1"/>
        <w:color w:val="ffffff"/>
      </w:rPr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color="000000" w:space="0" w:sz="0" w:val="nil"/>
          <w:insideV w:color="000000" w:space="0" w:sz="0" w:val="nil"/>
        </w:tcBorders>
        <w:shd w:fill="a5a5a5" w:val="clear"/>
      </w:tcPr>
    </w:tblStylePr>
    <w:tblStylePr w:type="lastCol">
      <w:rPr>
        <w:b w:val="1"/>
        <w:color w:val="ffffff"/>
      </w:rPr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color="000000" w:space="0" w:sz="0" w:val="nil"/>
        </w:tcBorders>
        <w:shd w:fill="a5a5a5" w:val="clear"/>
      </w:tcPr>
    </w:tblStylePr>
    <w:tblStylePr w:type="lastRow">
      <w:rPr>
        <w:b w:val="1"/>
        <w:color w:val="ffffff"/>
      </w:rPr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color="000000" w:space="0" w:sz="0" w:val="nil"/>
          <w:insideV w:color="000000" w:space="0" w:sz="0" w:val="nil"/>
        </w:tcBorders>
        <w:shd w:fill="a5a5a5" w:val="clear"/>
      </w:tcPr>
    </w:tblStyle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deded" w:val="clear"/>
    </w:tcPr>
    <w:tblStylePr w:type="band1Horz">
      <w:tcPr>
        <w:shd w:fill="dbdbdb" w:val="clear"/>
      </w:tcPr>
    </w:tblStylePr>
    <w:tblStylePr w:type="band1Vert">
      <w:tcPr>
        <w:shd w:fill="dbdbdb" w:val="clear"/>
      </w:tcPr>
    </w:tblStylePr>
    <w:tblStylePr w:type="firstCol">
      <w:rPr>
        <w:b w:val="1"/>
        <w:color w:val="ffffff"/>
      </w:rPr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color="000000" w:space="0" w:sz="0" w:val="nil"/>
        </w:tcBorders>
        <w:shd w:fill="a5a5a5" w:val="clear"/>
      </w:tcPr>
    </w:tblStylePr>
    <w:tblStylePr w:type="firstRow">
      <w:rPr>
        <w:b w:val="1"/>
        <w:color w:val="ffffff"/>
      </w:rPr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color="000000" w:space="0" w:sz="0" w:val="nil"/>
          <w:insideV w:color="000000" w:space="0" w:sz="0" w:val="nil"/>
        </w:tcBorders>
        <w:shd w:fill="a5a5a5" w:val="clear"/>
      </w:tcPr>
    </w:tblStylePr>
    <w:tblStylePr w:type="lastCol">
      <w:rPr>
        <w:b w:val="1"/>
        <w:color w:val="ffffff"/>
      </w:rPr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color="000000" w:space="0" w:sz="0" w:val="nil"/>
        </w:tcBorders>
        <w:shd w:fill="a5a5a5" w:val="clear"/>
      </w:tcPr>
    </w:tblStylePr>
    <w:tblStylePr w:type="lastRow">
      <w:rPr>
        <w:b w:val="1"/>
        <w:color w:val="ffffff"/>
      </w:rPr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color="000000" w:space="0" w:sz="0" w:val="nil"/>
          <w:insideV w:color="000000" w:space="0" w:sz="0" w:val="nil"/>
        </w:tcBorders>
        <w:shd w:fill="a5a5a5" w:val="clear"/>
      </w:tcPr>
    </w:tblStyle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deded" w:val="clear"/>
    </w:tcPr>
    <w:tblStylePr w:type="band1Horz">
      <w:tcPr>
        <w:shd w:fill="dbdbdb" w:val="clear"/>
      </w:tcPr>
    </w:tblStylePr>
    <w:tblStylePr w:type="band1Vert">
      <w:tcPr>
        <w:shd w:fill="dbdbdb" w:val="clear"/>
      </w:tcPr>
    </w:tblStylePr>
    <w:tblStylePr w:type="firstCol">
      <w:rPr>
        <w:b w:val="1"/>
        <w:color w:val="ffffff"/>
      </w:rPr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color="000000" w:space="0" w:sz="0" w:val="nil"/>
        </w:tcBorders>
        <w:shd w:fill="a5a5a5" w:val="clear"/>
      </w:tcPr>
    </w:tblStylePr>
    <w:tblStylePr w:type="firstRow">
      <w:rPr>
        <w:b w:val="1"/>
        <w:color w:val="ffffff"/>
      </w:rPr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color="000000" w:space="0" w:sz="0" w:val="nil"/>
          <w:insideV w:color="000000" w:space="0" w:sz="0" w:val="nil"/>
        </w:tcBorders>
        <w:shd w:fill="a5a5a5" w:val="clear"/>
      </w:tcPr>
    </w:tblStylePr>
    <w:tblStylePr w:type="lastCol">
      <w:rPr>
        <w:b w:val="1"/>
        <w:color w:val="ffffff"/>
      </w:rPr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color="000000" w:space="0" w:sz="0" w:val="nil"/>
        </w:tcBorders>
        <w:shd w:fill="a5a5a5" w:val="clear"/>
      </w:tcPr>
    </w:tblStylePr>
    <w:tblStylePr w:type="lastRow">
      <w:rPr>
        <w:b w:val="1"/>
        <w:color w:val="ffffff"/>
      </w:rPr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color="000000" w:space="0" w:sz="0" w:val="nil"/>
          <w:insideV w:color="000000" w:space="0" w:sz="0" w:val="nil"/>
        </w:tcBorders>
        <w:shd w:fill="a5a5a5" w:val="clear"/>
      </w:tcPr>
    </w:tblStyle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deded" w:val="clear"/>
    </w:tcPr>
    <w:tblStylePr w:type="band1Horz">
      <w:tcPr>
        <w:shd w:fill="dbdbdb" w:val="clear"/>
      </w:tcPr>
    </w:tblStylePr>
    <w:tblStylePr w:type="band1Vert">
      <w:tcPr>
        <w:shd w:fill="dbdbdb" w:val="clear"/>
      </w:tcPr>
    </w:tblStylePr>
    <w:tblStylePr w:type="firstCol">
      <w:rPr>
        <w:b w:val="1"/>
        <w:color w:val="ffffff"/>
      </w:rPr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color="000000" w:space="0" w:sz="0" w:val="nil"/>
        </w:tcBorders>
        <w:shd w:fill="a5a5a5" w:val="clear"/>
      </w:tcPr>
    </w:tblStylePr>
    <w:tblStylePr w:type="firstRow">
      <w:rPr>
        <w:b w:val="1"/>
        <w:color w:val="ffffff"/>
      </w:rPr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color="000000" w:space="0" w:sz="0" w:val="nil"/>
          <w:insideV w:color="000000" w:space="0" w:sz="0" w:val="nil"/>
        </w:tcBorders>
        <w:shd w:fill="a5a5a5" w:val="clear"/>
      </w:tcPr>
    </w:tblStylePr>
    <w:tblStylePr w:type="lastCol">
      <w:rPr>
        <w:b w:val="1"/>
        <w:color w:val="ffffff"/>
      </w:rPr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color="000000" w:space="0" w:sz="0" w:val="nil"/>
        </w:tcBorders>
        <w:shd w:fill="a5a5a5" w:val="clear"/>
      </w:tcPr>
    </w:tblStylePr>
    <w:tblStylePr w:type="lastRow">
      <w:rPr>
        <w:b w:val="1"/>
        <w:color w:val="ffffff"/>
      </w:rPr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color="000000" w:space="0" w:sz="0" w:val="nil"/>
          <w:insideV w:color="000000" w:space="0" w:sz="0" w:val="nil"/>
        </w:tcBorders>
        <w:shd w:fill="a5a5a5" w:val="clear"/>
      </w:tcPr>
    </w:tblStyle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ededed" w:val="clear"/>
    </w:tcPr>
    <w:tblStylePr w:type="band1Horz">
      <w:tcPr>
        <w:shd w:fill="dbdbdb" w:val="clear"/>
      </w:tcPr>
    </w:tblStylePr>
    <w:tblStylePr w:type="band1Vert">
      <w:tcPr>
        <w:shd w:fill="dbdbdb" w:val="clear"/>
      </w:tcPr>
    </w:tblStylePr>
    <w:tblStylePr w:type="firstCol">
      <w:rPr>
        <w:b w:val="1"/>
        <w:color w:val="ffffff"/>
      </w:rPr>
      <w:tcPr>
        <w:tcBorders>
          <w:top w:color="ffffff" w:space="0" w:sz="4" w:val="single"/>
          <w:left w:color="ffffff" w:space="0" w:sz="4" w:val="single"/>
          <w:bottom w:color="ffffff" w:space="0" w:sz="4" w:val="single"/>
          <w:insideV w:color="000000" w:space="0" w:sz="0" w:val="nil"/>
        </w:tcBorders>
        <w:shd w:fill="a5a5a5" w:val="clear"/>
      </w:tcPr>
    </w:tblStylePr>
    <w:tblStylePr w:type="firstRow">
      <w:rPr>
        <w:b w:val="1"/>
        <w:color w:val="ffffff"/>
      </w:rPr>
      <w:tcPr>
        <w:tcBorders>
          <w:top w:color="ffffff" w:space="0" w:sz="4" w:val="single"/>
          <w:left w:color="ffffff" w:space="0" w:sz="4" w:val="single"/>
          <w:right w:color="ffffff" w:space="0" w:sz="4" w:val="single"/>
          <w:insideH w:color="000000" w:space="0" w:sz="0" w:val="nil"/>
          <w:insideV w:color="000000" w:space="0" w:sz="0" w:val="nil"/>
        </w:tcBorders>
        <w:shd w:fill="a5a5a5" w:val="clear"/>
      </w:tcPr>
    </w:tblStylePr>
    <w:tblStylePr w:type="lastCol">
      <w:rPr>
        <w:b w:val="1"/>
        <w:color w:val="ffffff"/>
      </w:rPr>
      <w:tcPr>
        <w:tcBorders>
          <w:top w:color="ffffff" w:space="0" w:sz="4" w:val="single"/>
          <w:bottom w:color="ffffff" w:space="0" w:sz="4" w:val="single"/>
          <w:right w:color="ffffff" w:space="0" w:sz="4" w:val="single"/>
          <w:insideV w:color="000000" w:space="0" w:sz="0" w:val="nil"/>
        </w:tcBorders>
        <w:shd w:fill="a5a5a5" w:val="clear"/>
      </w:tcPr>
    </w:tblStylePr>
    <w:tblStylePr w:type="lastRow">
      <w:rPr>
        <w:b w:val="1"/>
        <w:color w:val="ffffff"/>
      </w:rPr>
      <w:tcPr>
        <w:tcBorders>
          <w:left w:color="ffffff" w:space="0" w:sz="4" w:val="single"/>
          <w:bottom w:color="ffffff" w:space="0" w:sz="4" w:val="single"/>
          <w:right w:color="ffffff" w:space="0" w:sz="4" w:val="single"/>
          <w:insideH w:color="000000" w:space="0" w:sz="0" w:val="nil"/>
          <w:insideV w:color="000000" w:space="0" w:sz="0" w:val="nil"/>
        </w:tcBorders>
        <w:shd w:fill="a5a5a5" w:val="clear"/>
      </w:tcPr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fotocasa.es" TargetMode="External"/><Relationship Id="rId22" Type="http://schemas.openxmlformats.org/officeDocument/2006/relationships/hyperlink" Target="https://www.fotocasa.es" TargetMode="External"/><Relationship Id="rId21" Type="http://schemas.openxmlformats.org/officeDocument/2006/relationships/hyperlink" Target="https://www.fotocasa.es" TargetMode="External"/><Relationship Id="rId24" Type="http://schemas.openxmlformats.org/officeDocument/2006/relationships/hyperlink" Target="http://prensa.fotocasa.es" TargetMode="External"/><Relationship Id="rId23" Type="http://schemas.openxmlformats.org/officeDocument/2006/relationships/hyperlink" Target="https://www.fotocasa.es/indice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chart" Target="charts/chart1.xml"/><Relationship Id="rId26" Type="http://schemas.openxmlformats.org/officeDocument/2006/relationships/hyperlink" Target="https://www.adevinta.com/" TargetMode="External"/><Relationship Id="rId25" Type="http://schemas.openxmlformats.org/officeDocument/2006/relationships/hyperlink" Target="http://www.fotocasa.es/" TargetMode="External"/><Relationship Id="rId28" Type="http://schemas.openxmlformats.org/officeDocument/2006/relationships/hyperlink" Target="https://www.fotocasa.es/es/" TargetMode="External"/><Relationship Id="rId27" Type="http://schemas.openxmlformats.org/officeDocument/2006/relationships/hyperlink" Target="https://www.fotocasa.es/es/quienes-somos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www.habitaclia.com/" TargetMode="External"/><Relationship Id="rId7" Type="http://schemas.openxmlformats.org/officeDocument/2006/relationships/image" Target="media/image6.png"/><Relationship Id="rId8" Type="http://schemas.openxmlformats.org/officeDocument/2006/relationships/hyperlink" Target="https://www.fotocasa.es" TargetMode="External"/><Relationship Id="rId31" Type="http://schemas.openxmlformats.org/officeDocument/2006/relationships/hyperlink" Target="https://www.coches.net/" TargetMode="External"/><Relationship Id="rId30" Type="http://schemas.openxmlformats.org/officeDocument/2006/relationships/hyperlink" Target="https://www.infojobs.net/" TargetMode="External"/><Relationship Id="rId11" Type="http://schemas.openxmlformats.org/officeDocument/2006/relationships/image" Target="media/image1.png"/><Relationship Id="rId33" Type="http://schemas.openxmlformats.org/officeDocument/2006/relationships/hyperlink" Target="https://www.milanuncios.com/" TargetMode="External"/><Relationship Id="rId10" Type="http://schemas.openxmlformats.org/officeDocument/2006/relationships/hyperlink" Target="https://www.fotocasa.es/es/" TargetMode="External"/><Relationship Id="rId32" Type="http://schemas.openxmlformats.org/officeDocument/2006/relationships/hyperlink" Target="https://motos.coches.net/" TargetMode="External"/><Relationship Id="rId13" Type="http://schemas.openxmlformats.org/officeDocument/2006/relationships/image" Target="media/image5.png"/><Relationship Id="rId35" Type="http://schemas.openxmlformats.org/officeDocument/2006/relationships/hyperlink" Target="mailto:comunicacion@fotocasa.es" TargetMode="External"/><Relationship Id="rId12" Type="http://schemas.openxmlformats.org/officeDocument/2006/relationships/hyperlink" Target="https://www.fotocasa.es" TargetMode="External"/><Relationship Id="rId34" Type="http://schemas.openxmlformats.org/officeDocument/2006/relationships/hyperlink" Target="http://adevinta.es" TargetMode="External"/><Relationship Id="rId15" Type="http://schemas.openxmlformats.org/officeDocument/2006/relationships/hyperlink" Target="https://www.fotocasa.es" TargetMode="External"/><Relationship Id="rId37" Type="http://schemas.openxmlformats.org/officeDocument/2006/relationships/hyperlink" Target="mailto:emerino@llorenteycuenca.com" TargetMode="External"/><Relationship Id="rId14" Type="http://schemas.openxmlformats.org/officeDocument/2006/relationships/image" Target="media/image4.png"/><Relationship Id="rId36" Type="http://schemas.openxmlformats.org/officeDocument/2006/relationships/hyperlink" Target="mailto:emerino@llorenteycuenca.com" TargetMode="External"/><Relationship Id="rId17" Type="http://schemas.openxmlformats.org/officeDocument/2006/relationships/hyperlink" Target="https://www.fotocasa.es" TargetMode="External"/><Relationship Id="rId39" Type="http://schemas.openxmlformats.org/officeDocument/2006/relationships/footer" Target="footer1.xml"/><Relationship Id="rId16" Type="http://schemas.openxmlformats.org/officeDocument/2006/relationships/image" Target="media/image2.png"/><Relationship Id="rId38" Type="http://schemas.openxmlformats.org/officeDocument/2006/relationships/hyperlink" Target="mailto:alicia.salvatella@llyc.global" TargetMode="External"/><Relationship Id="rId19" Type="http://schemas.openxmlformats.org/officeDocument/2006/relationships/image" Target="media/image3.png"/><Relationship Id="rId1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OpenSansLight-regular.ttf"/><Relationship Id="rId4" Type="http://schemas.openxmlformats.org/officeDocument/2006/relationships/font" Target="fonts/OpenSansLight-bold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OpenSansLight-italic.ttf"/><Relationship Id="rId6" Type="http://schemas.openxmlformats.org/officeDocument/2006/relationships/font" Target="fonts/OpenSansLight-boldItalic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charts/_rels/chart1.xml.rels><?xml version="1.0" encoding="UTF-8" standalone="yes"?><Relationships xmlns="http://schemas.openxmlformats.org/package/2006/relationships"><Relationship Id="rId1" Type="http://schemas.microsoft.com/office/2011/relationships/chartStyle" Target="style1.xml"/><Relationship Id="rId2" Type="http://schemas.microsoft.com/office/2011/relationships/chartColorStyle" Target="colors1.xml"/><Relationship Id="rId3" Type="http://schemas.openxmlformats.org/officeDocument/2006/relationships/themeOverride" Target="../theme/themeOverride1.xml"/><Relationship Id="rId4" Type="http://schemas.openxmlformats.org/officeDocument/2006/relationships/oleObject" Target="file:///I:\Mi%20unidad\01-SCHIBSTED\03-NOTAS%20DE%20PRENSA\02-ALQUILER\2024\05-JUNIO\PRENSA%20ALQUILER%20JUN-2024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ivotFmts>
      <c:pivotFmt>
        <c:idx val="0"/>
        <c:spPr>
          <a:solidFill>
            <a:schemeClr val="accent5">
              <a:lumMod val="40000"/>
              <a:lumOff val="60000"/>
            </a:schemeClr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rgbClr val="61C2C7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</c:ext>
          </c:extLst>
        </c:dLbl>
      </c:pivotFmt>
      <c:pivotFmt>
        <c:idx val="2"/>
        <c:spPr>
          <a:solidFill>
            <a:schemeClr val="accent5">
              <a:lumMod val="75000"/>
            </a:schemeClr>
          </a:solidFill>
          <a:ln cap="rnd">
            <a:solidFill>
              <a:schemeClr val="accent5">
                <a:lumMod val="75000"/>
              </a:schemeClr>
            </a:solidFill>
          </a:ln>
          <a:effectLst/>
          <a:scene3d>
            <a:camera prst="orthographicFront"/>
            <a:lightRig rig="threePt" dir="t"/>
          </a:scene3d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3423245171276671E-2"/>
                  <c:h val="0.12885840854129021"/>
                </c:manualLayout>
              </c15:layout>
            </c:ext>
          </c:extLst>
        </c:dLbl>
      </c:pivotFmt>
      <c:pivotFmt>
        <c:idx val="4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3423245171276671E-2"/>
                  <c:h val="0.11946614470988752"/>
                </c:manualLayout>
              </c15:layout>
            </c:ext>
          </c:extLst>
        </c:dLbl>
      </c:pivotFmt>
      <c:pivotFmt>
        <c:idx val="5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3423245171276671E-2"/>
                  <c:h val="0.12885840854129024"/>
                </c:manualLayout>
              </c15:layout>
            </c:ext>
          </c:extLst>
        </c:dLbl>
      </c:pivotFmt>
      <c:pivotFmt>
        <c:idx val="6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3423245171276671E-2"/>
                  <c:h val="0.11633539009941996"/>
                </c:manualLayout>
              </c15:layout>
            </c:ext>
          </c:extLst>
        </c:dLbl>
      </c:pivotFmt>
      <c:pivotFmt>
        <c:idx val="7"/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dLbl>
          <c:idx val="0"/>
          <c:numFmt formatCode="#,##0.0\ &quot;%&quot;" sourceLinked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7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1"/>
          <c:showVal val="1"/>
          <c:showCatName val="1"/>
          <c:showSerName val="1"/>
          <c:showPercent val="1"/>
          <c:showBubbleSize val="1"/>
          <c:extLst>
            <c:ext xmlns:c15="http://schemas.microsoft.com/office/drawing/2012/chart" uri="{CE6537A1-D6FC-4f65-9D91-7224C49458BB}"/>
          </c:extLst>
        </c:dLbl>
      </c:pivotFmt>
      <c:pivotFmt>
        <c:idx val="9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9132221471931705E-2"/>
                  <c:h val="0.11579751872236264"/>
                </c:manualLayout>
              </c15:layout>
            </c:ext>
          </c:extLst>
        </c:dLbl>
      </c:pivotFmt>
      <c:pivotFmt>
        <c:idx val="10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8.3122831284244206E-2"/>
                  <c:h val="0.13317993013091828"/>
                </c:manualLayout>
              </c15:layout>
            </c:ext>
          </c:extLst>
        </c:dLbl>
      </c:pivotFmt>
      <c:pivotFmt>
        <c:idx val="11"/>
        <c:dLbl>
          <c:idx val="0"/>
          <c:spPr>
            <a:solidFill>
              <a:srgbClr val="61C2C7"/>
            </a:solidFill>
            <a:ln>
              <a:noFill/>
            </a:ln>
            <a:effectLst/>
          </c:spPr>
          <c:txPr>
            <a:bodyPr rot="0" spcFirstLastPara="1" vertOverflow="clip" horzOverflow="clip" vert="horz" wrap="square" lIns="36576" tIns="18288" rIns="36576" bIns="18288" anchor="ctr" anchorCtr="1">
              <a:spAutoFit/>
            </a:bodyPr>
            <a:lstStyle/>
            <a:p>
              <a:pPr>
                <a:defRPr sz="700" b="1" i="0" u="none" strike="noStrike" kern="1200" baseline="0">
                  <a:solidFill>
                    <a:schemeClr val="bg1"/>
                  </a:solidFill>
                  <a:latin typeface="Open Sans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>
              <c15:spPr xmlns:c15="http://schemas.microsoft.com/office/drawing/2012/chart">
                <a:prstGeom prst="flowChartConnector">
                  <a:avLst/>
                </a:prstGeom>
                <a:noFill/>
                <a:ln>
                  <a:noFill/>
                </a:ln>
              </c15:spPr>
              <c15:layout>
                <c:manualLayout>
                  <c:w val="7.7136916565775454E-2"/>
                  <c:h val="0.12970344784920718"/>
                </c:manualLayout>
              </c15:layout>
            </c:ext>
          </c:extLst>
        </c:dLbl>
      </c:pivotFmt>
    </c:pivotFmts>
    <c:plotArea>
      <c:layout>
        <c:manualLayout>
          <c:layoutTarget val="inner"/>
          <c:xMode val="edge"/>
          <c:yMode val="edge"/>
          <c:x val="3.0742143301076452E-2"/>
          <c:y val="9.5479632934260761E-2"/>
          <c:w val="0.94885678271547336"/>
          <c:h val="0.614212471616492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'ccaa tablas'!$C$20</c:f>
              <c:strCache>
                <c:ptCount val="1"/>
                <c:pt idx="0">
                  <c:v>  % trimestral</c:v>
                </c:pt>
              </c:strCache>
            </c:strRef>
          </c:tx>
          <c:spPr>
            <a:solidFill>
              <a:srgbClr val="61C2C7"/>
            </a:solidFill>
            <a:ln>
              <a:noFill/>
            </a:ln>
            <a:effectLst/>
          </c:spPr>
          <c:invertIfNegative val="0"/>
          <c:dLbls>
            <c:spPr>
              <a:solidFill>
                <a:srgbClr val="61C2C7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Open Sans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ellipse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'ccaa tablas'!$B$25:$B$31</c:f>
              <c:strCache>
                <c:ptCount val="7"/>
                <c:pt idx="0">
                  <c:v>  T2                           2018</c:v>
                </c:pt>
                <c:pt idx="1">
                  <c:v>  T2                             2019</c:v>
                </c:pt>
                <c:pt idx="2">
                  <c:v>  T2                           2020</c:v>
                </c:pt>
                <c:pt idx="3">
                  <c:v>  T2                             2021</c:v>
                </c:pt>
                <c:pt idx="4">
                  <c:v>  T2                             2022</c:v>
                </c:pt>
                <c:pt idx="5">
                  <c:v>  T2                             2023</c:v>
                </c:pt>
                <c:pt idx="6">
                  <c:v>  T2                             2024</c:v>
                </c:pt>
              </c:strCache>
            </c:strRef>
          </c:cat>
          <c:val>
            <c:numRef>
              <c:f>'ccaa tablas'!$C$25:$C$31</c:f>
              <c:numCache>
                <c:formatCode>0.0%</c:formatCode>
                <c:ptCount val="7"/>
                <c:pt idx="0">
                  <c:v>1.380042462845019E-2</c:v>
                </c:pt>
                <c:pt idx="1">
                  <c:v>6.0851926977688138E-3</c:v>
                </c:pt>
                <c:pt idx="2">
                  <c:v>-1.8450184501844625E-3</c:v>
                </c:pt>
                <c:pt idx="3">
                  <c:v>-9.5693779904304185E-4</c:v>
                </c:pt>
                <c:pt idx="4">
                  <c:v>5.5080721747388421E-2</c:v>
                </c:pt>
                <c:pt idx="5">
                  <c:v>5.1948051948050838E-3</c:v>
                </c:pt>
                <c:pt idx="6">
                  <c:v>2.3462783171521111E-2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73-4488-9C5D-B40A53447069}"/>
            </c:ext>
          </c:extLst>
        </c:ser>
        <c:ser>
          <c:idx val="1"/>
          <c:order val="1"/>
          <c:tx>
            <c:strRef>
              <c:f>'ccaa tablas'!$D$20</c:f>
              <c:strCache>
                <c:ptCount val="1"/>
                <c:pt idx="0">
                  <c:v> % interanual</c:v>
                </c:pt>
              </c:strCache>
            </c:strRef>
          </c:tx>
          <c:spPr>
            <a:solidFill>
              <a:srgbClr val="5B9BD5">
                <a:lumMod val="75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8.3138457750332219E-3"/>
                  <c:y val="-4.63956669525741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73-4488-9C5D-B40A53447069}"/>
                </c:ext>
              </c:extLst>
            </c:dLbl>
            <c:dLbl>
              <c:idx val="3"/>
              <c:layout>
                <c:manualLayout>
                  <c:x val="-3.7589828961839857E-3"/>
                  <c:y val="-7.01645829074643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C73-4488-9C5D-B40A53447069}"/>
                </c:ext>
              </c:extLst>
            </c:dLbl>
            <c:dLbl>
              <c:idx val="4"/>
              <c:layout>
                <c:manualLayout>
                  <c:x val="6.79117147707979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C73-4488-9C5D-B40A534470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Open Sans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'ccaa tablas'!$B$25:$B$31</c:f>
              <c:strCache>
                <c:ptCount val="7"/>
                <c:pt idx="0">
                  <c:v>  T2                           2018</c:v>
                </c:pt>
                <c:pt idx="1">
                  <c:v>  T2                             2019</c:v>
                </c:pt>
                <c:pt idx="2">
                  <c:v>  T2                           2020</c:v>
                </c:pt>
                <c:pt idx="3">
                  <c:v>  T2                             2021</c:v>
                </c:pt>
                <c:pt idx="4">
                  <c:v>  T2                             2022</c:v>
                </c:pt>
                <c:pt idx="5">
                  <c:v>  T2                             2023</c:v>
                </c:pt>
                <c:pt idx="6">
                  <c:v>  T2                             2024</c:v>
                </c:pt>
              </c:strCache>
            </c:strRef>
          </c:cat>
          <c:val>
            <c:numRef>
              <c:f>'ccaa tablas'!$D$25:$D$31</c:f>
              <c:numCache>
                <c:formatCode>0.0%</c:formatCode>
                <c:ptCount val="7"/>
                <c:pt idx="0">
                  <c:v>0.15477629987908118</c:v>
                </c:pt>
                <c:pt idx="1">
                  <c:v>3.8743455497382118E-2</c:v>
                </c:pt>
                <c:pt idx="2">
                  <c:v>9.0725806451612934E-2</c:v>
                </c:pt>
                <c:pt idx="3">
                  <c:v>-3.5120147874306909E-2</c:v>
                </c:pt>
                <c:pt idx="4">
                  <c:v>6.417624521072797E-2</c:v>
                </c:pt>
                <c:pt idx="5">
                  <c:v>4.5004500450045004E-2</c:v>
                </c:pt>
                <c:pt idx="6">
                  <c:v>8.9577950043066401E-2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C73-4488-9C5D-B40A534470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3"/>
        <c:axId val="714532111"/>
        <c:axId val="1020150815"/>
      </c:barChart>
      <c:catAx>
        <c:axId val="714532111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noFill/>
          <a:ln w="22225" cap="flat" cmpd="sng" algn="ctr">
            <a:solidFill>
              <a:sysClr val="windowText" lastClr="000000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Open Sans"/>
                <a:ea typeface="+mn-ea"/>
                <a:cs typeface="+mn-cs"/>
              </a:defRPr>
            </a:pPr>
            <a:endParaRPr lang="es-ES"/>
          </a:p>
        </c:txPr>
        <c:crossAx val="1020150815"/>
        <c:crosses val="autoZero"/>
        <c:auto val="1"/>
        <c:lblAlgn val="ctr"/>
        <c:lblOffset val="100"/>
        <c:noMultiLvlLbl val="0"/>
      </c:catAx>
      <c:valAx>
        <c:axId val="1020150815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7145321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Open Sans"/>
                <a:ea typeface="+mn-ea"/>
                <a:cs typeface="+mn-cs"/>
              </a:defRPr>
            </a:pPr>
            <a:endParaRPr lang="es-ES"/>
          </a:p>
        </c:txPr>
      </c:legendEntry>
      <c:layout>
        <c:manualLayout>
          <c:xMode val="edge"/>
          <c:yMode val="edge"/>
          <c:x val="6.2923538269520018E-2"/>
          <c:y val="0.84631262587520117"/>
          <c:w val="0.85926224347185198"/>
          <c:h val="0.112873902056266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Open Sans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="0">
          <a:latin typeface="Open Sans"/>
        </a:defRPr>
      </a:pPr>
      <a:endParaRPr lang="es-ES"/>
    </a:p>
  </c:txPr>
  <c:externalData r:id="rId4">
    <c:autoUpdate val="0"/>
  </c:externalData>
  <c:extLst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Pd+/AinsGJI8VYzd836i7rhDxA==">CgMxLjAyCGguZ2pkZ3hzMgloLjMwajB6bGwyCWguMnM4ZXlvMTgAciExNC1TWFZDV0RZQjFMcTBYcXFOUmd4WWg2ZmxOc3RhVTM=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2024-07-04T10:27:00Z</dcterms:created>
  <dc:creator>Patricia Ranilla Checa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2024-07-04T10:27:58Z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32155b42-5118-4e37-94f2-fef8b188b727</vt:lpwstr>
  </property>
  <property fmtid="{D5CDD505-2E9C-101B-9397-08002B2CF9AE}" pid="7" name="MSIP_Label_defa4170-0d19-0005-0004-bc88714345d2_ActionId">
    <vt:lpwstr>b2db3a17-3242-4652-8e5e-02569704bce0</vt:lpwstr>
  </property>
  <property fmtid="{D5CDD505-2E9C-101B-9397-08002B2CF9AE}" pid="8" name="MSIP_Label_defa4170-0d19-0005-0004-bc88714345d2_ContentBits">
    <vt:lpwstr>0</vt:lpwstr>
  </property>
</Properties>
</file>