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2B73CA" w14:textId="77777777" w:rsidR="005C0B56" w:rsidRDefault="00000000">
      <w:r>
        <w:rPr>
          <w:noProof/>
        </w:rPr>
        <w:drawing>
          <wp:anchor distT="0" distB="0" distL="114300" distR="114300" simplePos="0" relativeHeight="251658240" behindDoc="0" locked="0" layoutInCell="1" hidden="0" allowOverlap="1" wp14:anchorId="201D9766" wp14:editId="2A45EBEA">
            <wp:simplePos x="0" y="0"/>
            <wp:positionH relativeFrom="column">
              <wp:posOffset>-1080128</wp:posOffset>
            </wp:positionH>
            <wp:positionV relativeFrom="paragraph">
              <wp:posOffset>-654678</wp:posOffset>
            </wp:positionV>
            <wp:extent cx="7581265" cy="1019175"/>
            <wp:effectExtent l="0" t="0" r="0" b="0"/>
            <wp:wrapNone/>
            <wp:docPr id="20668165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105CC13" w14:textId="77777777" w:rsidR="005C0B56" w:rsidRDefault="005C0B56">
      <w:pPr>
        <w:jc w:val="right"/>
        <w:rPr>
          <w:rFonts w:ascii="National" w:eastAsia="National" w:hAnsi="National" w:cs="National"/>
          <w:color w:val="303AB2"/>
          <w:sz w:val="36"/>
          <w:szCs w:val="36"/>
        </w:rPr>
      </w:pPr>
    </w:p>
    <w:p w14:paraId="4672B783" w14:textId="77777777" w:rsidR="005C0B56" w:rsidRDefault="005C0B56">
      <w:pPr>
        <w:rPr>
          <w:rFonts w:ascii="National" w:eastAsia="National" w:hAnsi="National" w:cs="National"/>
          <w:color w:val="303AB2"/>
          <w:sz w:val="18"/>
          <w:szCs w:val="18"/>
        </w:rPr>
      </w:pPr>
    </w:p>
    <w:p w14:paraId="39F708C9" w14:textId="77777777" w:rsidR="005C0B56" w:rsidRPr="008A676D" w:rsidRDefault="00000000">
      <w:pPr>
        <w:spacing w:line="276" w:lineRule="auto"/>
        <w:jc w:val="center"/>
        <w:rPr>
          <w:rFonts w:ascii="National" w:eastAsia="National" w:hAnsi="National" w:cs="National"/>
          <w:b/>
          <w:color w:val="1DBDC5"/>
          <w:sz w:val="32"/>
          <w:szCs w:val="32"/>
        </w:rPr>
      </w:pPr>
      <w:r w:rsidRPr="008A676D">
        <w:rPr>
          <w:rFonts w:ascii="National" w:eastAsia="National" w:hAnsi="National" w:cs="National"/>
          <w:b/>
          <w:color w:val="1DBDC5"/>
          <w:sz w:val="32"/>
          <w:szCs w:val="32"/>
        </w:rPr>
        <w:t>ANÁLISIS DEL ALQUILER TEMPORAL EN ESPAÑA</w:t>
      </w:r>
    </w:p>
    <w:p w14:paraId="5518EBF2" w14:textId="77777777" w:rsidR="005C0B56"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El 7% de los contratos de alquiler en España son de alquiler temporal</w:t>
      </w:r>
    </w:p>
    <w:p w14:paraId="38209674" w14:textId="77777777" w:rsidR="005C0B56" w:rsidRDefault="005C0B56">
      <w:pPr>
        <w:spacing w:line="276" w:lineRule="auto"/>
        <w:ind w:right="4"/>
        <w:jc w:val="both"/>
        <w:rPr>
          <w:rFonts w:ascii="Open Sans" w:eastAsia="Open Sans" w:hAnsi="Open Sans" w:cs="Open Sans"/>
          <w:color w:val="303AB2"/>
        </w:rPr>
      </w:pPr>
    </w:p>
    <w:p w14:paraId="5538BD6D" w14:textId="77777777" w:rsidR="005C0B5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El contrato más extendido es el de vivienda habitual (78%) y en segundo lugar se encuentra el de alquiler temporal (7%)</w:t>
      </w:r>
    </w:p>
    <w:p w14:paraId="7CC7DDE7" w14:textId="77777777" w:rsidR="005C0B5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El contrato de alquiler temporal es más frecuente entre los inquilinos jóvenes</w:t>
      </w:r>
    </w:p>
    <w:p w14:paraId="1A98E8EC" w14:textId="77777777" w:rsidR="005C0B5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Andalucía, la comunidad autónoma con más inquilinos con contratos de alquiler temporal con un 11% de los contratos</w:t>
      </w:r>
    </w:p>
    <w:p w14:paraId="772C5EE7" w14:textId="77777777" w:rsidR="005C0B56"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Los contratos de alquiler por habitaciones representan el 5%, el contrato de alquiler con opción a compra el 4% y el alquiler social un 3%</w:t>
      </w:r>
    </w:p>
    <w:p w14:paraId="7C41B475" w14:textId="77777777" w:rsidR="005C0B56" w:rsidRDefault="005C0B56">
      <w:pPr>
        <w:pBdr>
          <w:top w:val="nil"/>
          <w:left w:val="nil"/>
          <w:bottom w:val="nil"/>
          <w:right w:val="nil"/>
          <w:between w:val="nil"/>
        </w:pBdr>
        <w:spacing w:line="276" w:lineRule="auto"/>
        <w:jc w:val="both"/>
        <w:rPr>
          <w:rFonts w:ascii="Open Sans" w:eastAsia="Open Sans" w:hAnsi="Open Sans" w:cs="Open Sans"/>
          <w:sz w:val="22"/>
          <w:szCs w:val="22"/>
        </w:rPr>
      </w:pPr>
    </w:p>
    <w:p w14:paraId="7FB4E61C" w14:textId="77777777" w:rsidR="005C0B5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24 de julio de 2024</w:t>
      </w:r>
    </w:p>
    <w:p w14:paraId="59ECB8E1" w14:textId="77777777" w:rsidR="005C0B56" w:rsidRDefault="005C0B56">
      <w:pPr>
        <w:pBdr>
          <w:top w:val="nil"/>
          <w:left w:val="nil"/>
          <w:bottom w:val="nil"/>
          <w:right w:val="nil"/>
          <w:between w:val="nil"/>
        </w:pBdr>
        <w:spacing w:line="276" w:lineRule="auto"/>
        <w:jc w:val="both"/>
        <w:rPr>
          <w:rFonts w:ascii="Open Sans" w:eastAsia="Open Sans" w:hAnsi="Open Sans" w:cs="Open Sans"/>
        </w:rPr>
      </w:pPr>
    </w:p>
    <w:p w14:paraId="697D818D"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t xml:space="preserve">Casi ocho de cada diez españoles que viven en régimen de arrendamiento lo hacen con un contrato de alquiler de vivienda habitual (de cinco o siete años) y es el contrato más extendido en España entre inquilinos y propietarios. </w:t>
      </w:r>
      <w:r w:rsidRPr="0053651B">
        <w:rPr>
          <w:rFonts w:ascii="Open Sans" w:eastAsia="Open Sans" w:hAnsi="Open Sans" w:cs="Open Sans"/>
          <w:b/>
          <w:bCs/>
        </w:rPr>
        <w:t>Así, el 78% de los contratos son para alquiler residencial o de larga duración</w:t>
      </w:r>
      <w:r>
        <w:rPr>
          <w:rFonts w:ascii="Open Sans" w:eastAsia="Open Sans" w:hAnsi="Open Sans" w:cs="Open Sans"/>
        </w:rPr>
        <w:t xml:space="preserve"> y es un dato muy similar al que había en 2023, cuando era del 77%. El segundo contrato más frecuente es el de </w:t>
      </w:r>
      <w:r w:rsidRPr="0053651B">
        <w:rPr>
          <w:rFonts w:ascii="Open Sans" w:eastAsia="Open Sans" w:hAnsi="Open Sans" w:cs="Open Sans"/>
          <w:b/>
          <w:bCs/>
        </w:rPr>
        <w:t>alquiler temporal que representa en estos momentos el 7% de los contratos de alquiler</w:t>
      </w:r>
      <w:r>
        <w:rPr>
          <w:rFonts w:ascii="Open Sans" w:eastAsia="Open Sans" w:hAnsi="Open Sans" w:cs="Open Sans"/>
        </w:rPr>
        <w:t>. Esta modalidad, no obstante, ha crecido ligeramente el último año ya que en 2023 representaba el 5% de los contratos. Esta es una de las conclusiones del análisis “</w:t>
      </w:r>
      <w:r>
        <w:rPr>
          <w:rFonts w:ascii="Open Sans" w:eastAsia="Open Sans" w:hAnsi="Open Sans" w:cs="Open Sans"/>
          <w:b/>
          <w:i/>
        </w:rPr>
        <w:t>Tipologías de contratos de alquiler en España</w:t>
      </w:r>
      <w:r>
        <w:rPr>
          <w:rFonts w:ascii="Open Sans" w:eastAsia="Open Sans" w:hAnsi="Open Sans" w:cs="Open Sans"/>
        </w:rPr>
        <w:t xml:space="preserve">”, elaborado por </w:t>
      </w:r>
      <w:r>
        <w:rPr>
          <w:rFonts w:ascii="Open Sans" w:eastAsia="Open Sans" w:hAnsi="Open Sans" w:cs="Open Sans"/>
          <w:b/>
        </w:rPr>
        <w:t>Fotocasa Research</w:t>
      </w:r>
      <w:r>
        <w:rPr>
          <w:rFonts w:ascii="Open Sans" w:eastAsia="Open Sans" w:hAnsi="Open Sans" w:cs="Open Sans"/>
        </w:rPr>
        <w:t xml:space="preserve">. </w:t>
      </w:r>
    </w:p>
    <w:p w14:paraId="0EDFFB0E" w14:textId="77777777" w:rsidR="005C0B56" w:rsidRDefault="005C0B56">
      <w:pPr>
        <w:spacing w:line="276" w:lineRule="auto"/>
        <w:ind w:right="4"/>
        <w:jc w:val="both"/>
        <w:rPr>
          <w:rFonts w:ascii="Open Sans" w:eastAsia="Open Sans" w:hAnsi="Open Sans" w:cs="Open Sans"/>
        </w:rPr>
      </w:pPr>
    </w:p>
    <w:p w14:paraId="41AF1317"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t xml:space="preserve">Las siguientes posiciones del ranking las ocupan los </w:t>
      </w:r>
      <w:r w:rsidRPr="0053651B">
        <w:rPr>
          <w:rFonts w:ascii="Open Sans" w:eastAsia="Open Sans" w:hAnsi="Open Sans" w:cs="Open Sans"/>
          <w:b/>
          <w:bCs/>
        </w:rPr>
        <w:t>contratos de alquiler por habitaciones (5%), el contrato de alquiler con opción a compra (4%) y el alquiler social (3%).</w:t>
      </w:r>
      <w:r>
        <w:rPr>
          <w:rFonts w:ascii="Open Sans" w:eastAsia="Open Sans" w:hAnsi="Open Sans" w:cs="Open Sans"/>
        </w:rPr>
        <w:t xml:space="preserve"> Este último es el único que ha cambiado de manera estadísticamente significativa con respecto al pasado año. Entonces eran un 5% los que vivían en un inmueble de alquiler con este tipo de contrato, frente al 3% de 2024.</w:t>
      </w:r>
    </w:p>
    <w:p w14:paraId="3C951683" w14:textId="77777777" w:rsidR="0053651B" w:rsidRDefault="0053651B">
      <w:pPr>
        <w:spacing w:line="276" w:lineRule="auto"/>
        <w:ind w:right="4"/>
        <w:jc w:val="both"/>
        <w:rPr>
          <w:rFonts w:ascii="Open Sans" w:eastAsia="Open Sans" w:hAnsi="Open Sans" w:cs="Open Sans"/>
        </w:rPr>
      </w:pPr>
    </w:p>
    <w:p w14:paraId="747C2C60" w14:textId="77777777" w:rsidR="005C0B56" w:rsidRDefault="005C0B56">
      <w:pPr>
        <w:spacing w:line="276" w:lineRule="auto"/>
        <w:ind w:right="4"/>
        <w:jc w:val="both"/>
        <w:rPr>
          <w:rFonts w:ascii="Open Sans" w:eastAsia="Open Sans" w:hAnsi="Open Sans" w:cs="Open Sans"/>
        </w:rPr>
      </w:pPr>
    </w:p>
    <w:p w14:paraId="5ABF429A" w14:textId="68EDC184" w:rsidR="005C0B56" w:rsidRPr="0053651B" w:rsidRDefault="00000000">
      <w:pPr>
        <w:spacing w:line="276" w:lineRule="auto"/>
        <w:ind w:right="4"/>
        <w:jc w:val="both"/>
        <w:rPr>
          <w:rFonts w:ascii="Open Sans" w:eastAsia="Open Sans" w:hAnsi="Open Sans" w:cs="Open Sans"/>
          <w:b/>
          <w:bCs/>
        </w:rPr>
      </w:pPr>
      <w:r>
        <w:rPr>
          <w:rFonts w:ascii="Open Sans" w:eastAsia="Open Sans" w:hAnsi="Open Sans" w:cs="Open Sans"/>
        </w:rPr>
        <w:lastRenderedPageBreak/>
        <w:t>“El aumento de dos puntos porcentuales de los contratos de alquiler temporal en un año sugiere una mayor demanda de flexibilidad por parte de los inquilinos, ya sea por razones laborales, educativas o personales. También va en línea de las nuevas preferencias de los propietarios, al</w:t>
      </w:r>
      <w:r w:rsidR="004954D3">
        <w:rPr>
          <w:rFonts w:ascii="Open Sans" w:eastAsia="Open Sans" w:hAnsi="Open Sans" w:cs="Open Sans"/>
        </w:rPr>
        <w:t xml:space="preserve"> </w:t>
      </w:r>
      <w:r>
        <w:rPr>
          <w:rFonts w:ascii="Open Sans" w:eastAsia="Open Sans" w:hAnsi="Open Sans" w:cs="Open Sans"/>
        </w:rPr>
        <w:t xml:space="preserve">no estar condicionados por limitaciones de precios, utilizan el temporal como fuente de mayor rentabilidad mientras es una respuesta a la incertidumbre económica y a un mercado más dinámico. Sin embargo, no parece que esta tendencia esté reduciendo la disponibilidad de alquileres a largo plazo, ya que es un porcentaje que también aumenta con respecto al año anterior”, </w:t>
      </w:r>
      <w:r w:rsidRPr="0053651B">
        <w:rPr>
          <w:rFonts w:ascii="Open Sans" w:eastAsia="Open Sans" w:hAnsi="Open Sans" w:cs="Open Sans"/>
          <w:b/>
          <w:bCs/>
        </w:rPr>
        <w:t xml:space="preserve">explica María Matos, directora de Estudios y portavoz de </w:t>
      </w:r>
      <w:hyperlink r:id="rId9">
        <w:r w:rsidRPr="0053651B">
          <w:rPr>
            <w:rFonts w:ascii="Open Sans" w:eastAsia="Open Sans" w:hAnsi="Open Sans" w:cs="Open Sans"/>
            <w:b/>
            <w:bCs/>
            <w:color w:val="1155CC"/>
            <w:u w:val="single"/>
          </w:rPr>
          <w:t>Fotocasa</w:t>
        </w:r>
      </w:hyperlink>
      <w:r w:rsidRPr="0053651B">
        <w:rPr>
          <w:rFonts w:ascii="Open Sans" w:eastAsia="Open Sans" w:hAnsi="Open Sans" w:cs="Open Sans"/>
          <w:b/>
          <w:bCs/>
        </w:rPr>
        <w:t xml:space="preserve">. </w:t>
      </w:r>
    </w:p>
    <w:p w14:paraId="766B0527" w14:textId="77777777" w:rsidR="005C0B56" w:rsidRDefault="005C0B56">
      <w:pPr>
        <w:spacing w:line="276" w:lineRule="auto"/>
        <w:ind w:right="4"/>
        <w:jc w:val="both"/>
        <w:rPr>
          <w:rFonts w:ascii="Open Sans" w:eastAsia="Open Sans" w:hAnsi="Open Sans" w:cs="Open Sans"/>
        </w:rPr>
      </w:pPr>
    </w:p>
    <w:p w14:paraId="2CB10CDC" w14:textId="7A097FE3" w:rsidR="008A676D" w:rsidRPr="008A676D" w:rsidRDefault="008A676D" w:rsidP="008A676D">
      <w:pPr>
        <w:spacing w:line="276" w:lineRule="auto"/>
        <w:jc w:val="both"/>
        <w:rPr>
          <w:rFonts w:ascii="Open Sans Light" w:eastAsia="Open Sans Light" w:hAnsi="Open Sans Light" w:cs="Open Sans Light"/>
          <w:b/>
          <w:color w:val="303AB2"/>
          <w:sz w:val="28"/>
          <w:szCs w:val="28"/>
          <w:lang w:val="es-ES"/>
        </w:rPr>
      </w:pPr>
      <w:r w:rsidRPr="008A676D">
        <w:rPr>
          <w:rFonts w:ascii="Open Sans Light" w:eastAsia="Open Sans Light" w:hAnsi="Open Sans Light" w:cs="Open Sans Light"/>
          <w:b/>
          <w:color w:val="303AB2"/>
          <w:sz w:val="28"/>
          <w:szCs w:val="28"/>
          <w:lang w:val="es-ES"/>
        </w:rPr>
        <w:drawing>
          <wp:inline distT="0" distB="0" distL="0" distR="0" wp14:anchorId="0C04BC1B" wp14:editId="26DD4C95">
            <wp:extent cx="5760720" cy="3743325"/>
            <wp:effectExtent l="0" t="0" r="0" b="9525"/>
            <wp:docPr id="520091771"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91771" name="Imagen 2" descr="Interfaz de usuario gráfica, Texto,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743325"/>
                    </a:xfrm>
                    <a:prstGeom prst="rect">
                      <a:avLst/>
                    </a:prstGeom>
                    <a:noFill/>
                    <a:ln>
                      <a:noFill/>
                    </a:ln>
                  </pic:spPr>
                </pic:pic>
              </a:graphicData>
            </a:graphic>
          </wp:inline>
        </w:drawing>
      </w:r>
    </w:p>
    <w:p w14:paraId="0F096912" w14:textId="77777777" w:rsidR="008A676D" w:rsidRDefault="008A676D">
      <w:pPr>
        <w:spacing w:line="276" w:lineRule="auto"/>
        <w:jc w:val="both"/>
        <w:rPr>
          <w:rFonts w:ascii="Open Sans Light" w:eastAsia="Open Sans Light" w:hAnsi="Open Sans Light" w:cs="Open Sans Light"/>
          <w:b/>
          <w:color w:val="303AB2"/>
          <w:sz w:val="28"/>
          <w:szCs w:val="28"/>
        </w:rPr>
      </w:pPr>
    </w:p>
    <w:p w14:paraId="7ACE91FB" w14:textId="542AF517" w:rsidR="005C0B56" w:rsidRDefault="00000000">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Los jóvenes, los inquilinos que menos acceden a contratos de alquiler de vivienda habitual</w:t>
      </w:r>
    </w:p>
    <w:p w14:paraId="61C34C7B" w14:textId="77777777" w:rsidR="005C0B56" w:rsidRDefault="005C0B56">
      <w:pPr>
        <w:spacing w:line="276" w:lineRule="auto"/>
        <w:ind w:right="4"/>
        <w:jc w:val="both"/>
        <w:rPr>
          <w:rFonts w:ascii="Open Sans" w:eastAsia="Open Sans" w:hAnsi="Open Sans" w:cs="Open Sans"/>
        </w:rPr>
      </w:pPr>
    </w:p>
    <w:p w14:paraId="1C5A0618"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t xml:space="preserve">Si estos datos se analizan de forma desagregada en función de la edad de los inquilinos, se pueden apreciar algunas diferencias relevantes. En primer lugar, destaca especialmente el hecho de que entre los inquilinos que tienen </w:t>
      </w:r>
      <w:r>
        <w:rPr>
          <w:rFonts w:ascii="Open Sans" w:eastAsia="Open Sans" w:hAnsi="Open Sans" w:cs="Open Sans"/>
          <w:b/>
        </w:rPr>
        <w:t>entre 18 y 24 años son menos frecuentes los contratos de alquiler de vivienda habitual</w:t>
      </w:r>
      <w:r>
        <w:rPr>
          <w:rFonts w:ascii="Open Sans" w:eastAsia="Open Sans" w:hAnsi="Open Sans" w:cs="Open Sans"/>
        </w:rPr>
        <w:t xml:space="preserve"> en comparación con el resto de las edades.</w:t>
      </w:r>
    </w:p>
    <w:p w14:paraId="44A8806A" w14:textId="77777777" w:rsidR="005C0B56" w:rsidRDefault="005C0B56">
      <w:pPr>
        <w:spacing w:line="276" w:lineRule="auto"/>
        <w:ind w:right="4"/>
        <w:jc w:val="both"/>
        <w:rPr>
          <w:rFonts w:ascii="Open Sans" w:eastAsia="Open Sans" w:hAnsi="Open Sans" w:cs="Open Sans"/>
        </w:rPr>
      </w:pPr>
    </w:p>
    <w:p w14:paraId="0F53371B"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Así, </w:t>
      </w:r>
      <w:r w:rsidRPr="0053651B">
        <w:rPr>
          <w:rFonts w:ascii="Open Sans" w:eastAsia="Open Sans" w:hAnsi="Open Sans" w:cs="Open Sans"/>
          <w:b/>
          <w:bCs/>
        </w:rPr>
        <w:t>un 58% de los arrendatarios más jóvenes dispone de un contrato de vivienda habitual.</w:t>
      </w:r>
      <w:r>
        <w:rPr>
          <w:rFonts w:ascii="Open Sans" w:eastAsia="Open Sans" w:hAnsi="Open Sans" w:cs="Open Sans"/>
        </w:rPr>
        <w:t xml:space="preserve"> Una cifra que aumenta hasta el 76% en el siguiente estrato (25-34 años) y que llega a alcanzar hasta el 88% de los inquilinos que tienen entre 55 y 75 años.</w:t>
      </w:r>
    </w:p>
    <w:p w14:paraId="0675BD0F" w14:textId="77777777" w:rsidR="005C0B56" w:rsidRDefault="005C0B56">
      <w:pPr>
        <w:spacing w:line="276" w:lineRule="auto"/>
        <w:ind w:right="4"/>
        <w:jc w:val="both"/>
        <w:rPr>
          <w:rFonts w:ascii="Open Sans" w:eastAsia="Open Sans" w:hAnsi="Open Sans" w:cs="Open Sans"/>
        </w:rPr>
      </w:pPr>
    </w:p>
    <w:p w14:paraId="6DE2AF67"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t xml:space="preserve">Y, si el contrato de alquiler de vivienda habitual destaca por ser menos frecuente entre los jóvenes que entre el resto de los inquilinos, </w:t>
      </w:r>
      <w:r>
        <w:rPr>
          <w:rFonts w:ascii="Open Sans" w:eastAsia="Open Sans" w:hAnsi="Open Sans" w:cs="Open Sans"/>
          <w:b/>
        </w:rPr>
        <w:t>con el contrato temporal con una duración inferior a 12 meses ocurre justo lo contrario</w:t>
      </w:r>
      <w:r>
        <w:rPr>
          <w:rFonts w:ascii="Open Sans" w:eastAsia="Open Sans" w:hAnsi="Open Sans" w:cs="Open Sans"/>
        </w:rPr>
        <w:t>. Así, esta modalidad es la que tienen el 16% de los inquilinos que comprenden los 18 y 24 años. Sin embargo, su presencia va decreciendo progresivamente conforme avanza la edad: en el siguiente segmento (25-34 años) son un 10% los que tienen este tipo de contrato. Y, en el de después (35-44 años) esta cifra se reduce a la mitad, hasta el 5%. Esta tendencia a la baja llega a su punto más bajo en el último grupo de edad, que va de los 55 a los 75 años, en el que solamente hay un 2% de inquilinos residiendo en una vivienda con un contrato de alquiler temporal con una duración inferior a 12 meses.</w:t>
      </w:r>
    </w:p>
    <w:p w14:paraId="545DD53B" w14:textId="77777777" w:rsidR="008A676D" w:rsidRDefault="008A676D">
      <w:pPr>
        <w:spacing w:line="276" w:lineRule="auto"/>
        <w:ind w:right="4"/>
        <w:jc w:val="both"/>
        <w:rPr>
          <w:rFonts w:ascii="Open Sans" w:eastAsia="Open Sans" w:hAnsi="Open Sans" w:cs="Open Sans"/>
        </w:rPr>
      </w:pPr>
    </w:p>
    <w:p w14:paraId="29439DE9" w14:textId="2A8A4471" w:rsidR="008A676D" w:rsidRDefault="008A676D">
      <w:pPr>
        <w:spacing w:line="276" w:lineRule="auto"/>
        <w:ind w:right="4"/>
        <w:jc w:val="both"/>
        <w:rPr>
          <w:rFonts w:ascii="Open Sans" w:eastAsia="Open Sans" w:hAnsi="Open Sans" w:cs="Open Sans"/>
        </w:rPr>
      </w:pPr>
      <w:r w:rsidRPr="008A676D">
        <w:rPr>
          <w:b/>
          <w:smallCaps/>
          <w:color w:val="323FAC"/>
          <w:lang w:val="es-ES"/>
        </w:rPr>
        <w:drawing>
          <wp:inline distT="0" distB="0" distL="0" distR="0" wp14:anchorId="0288EE27" wp14:editId="4AF4A7FC">
            <wp:extent cx="5760720" cy="3973195"/>
            <wp:effectExtent l="0" t="0" r="0" b="8255"/>
            <wp:docPr id="960529323"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29323" name="Imagen 4" descr="Gráfico, Gráfico de barra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73195"/>
                    </a:xfrm>
                    <a:prstGeom prst="rect">
                      <a:avLst/>
                    </a:prstGeom>
                    <a:noFill/>
                    <a:ln>
                      <a:noFill/>
                    </a:ln>
                  </pic:spPr>
                </pic:pic>
              </a:graphicData>
            </a:graphic>
          </wp:inline>
        </w:drawing>
      </w:r>
    </w:p>
    <w:p w14:paraId="2C700325" w14:textId="77777777" w:rsidR="005C0B56" w:rsidRDefault="005C0B56">
      <w:pPr>
        <w:spacing w:line="276" w:lineRule="auto"/>
        <w:ind w:right="4"/>
        <w:jc w:val="both"/>
        <w:rPr>
          <w:rFonts w:ascii="Open Sans" w:eastAsia="Open Sans" w:hAnsi="Open Sans" w:cs="Open Sans"/>
        </w:rPr>
      </w:pPr>
    </w:p>
    <w:p w14:paraId="1BDDBA11" w14:textId="77777777" w:rsidR="008A676D" w:rsidRDefault="008A676D">
      <w:pPr>
        <w:spacing w:line="276" w:lineRule="auto"/>
        <w:ind w:right="4"/>
        <w:jc w:val="both"/>
        <w:rPr>
          <w:rFonts w:ascii="Open Sans" w:eastAsia="Open Sans" w:hAnsi="Open Sans" w:cs="Open Sans"/>
        </w:rPr>
      </w:pPr>
    </w:p>
    <w:p w14:paraId="60357EAD" w14:textId="2ECA2442" w:rsidR="005C0B56"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Por otro lado, </w:t>
      </w:r>
      <w:r w:rsidRPr="0053651B">
        <w:rPr>
          <w:rFonts w:ascii="Open Sans" w:eastAsia="Open Sans" w:hAnsi="Open Sans" w:cs="Open Sans"/>
          <w:b/>
          <w:bCs/>
        </w:rPr>
        <w:t>la menor presencia del contrato de alquiler de vivienda habitual entre los más jóvenes no solo se compensa con el contrato temporal</w:t>
      </w:r>
      <w:r>
        <w:rPr>
          <w:rFonts w:ascii="Open Sans" w:eastAsia="Open Sans" w:hAnsi="Open Sans" w:cs="Open Sans"/>
        </w:rPr>
        <w:t xml:space="preserve">. También destacan por tener más contratos de alquiler con opción a compra (10%), por habitaciones (10%) o alquiler social (5 %). </w:t>
      </w:r>
    </w:p>
    <w:p w14:paraId="7F49A3B0" w14:textId="77777777" w:rsidR="005C0B56" w:rsidRDefault="005C0B56">
      <w:pPr>
        <w:spacing w:line="276" w:lineRule="auto"/>
        <w:ind w:right="4"/>
        <w:jc w:val="both"/>
        <w:rPr>
          <w:rFonts w:ascii="Open Sans" w:eastAsia="Open Sans" w:hAnsi="Open Sans" w:cs="Open Sans"/>
        </w:rPr>
      </w:pPr>
    </w:p>
    <w:p w14:paraId="471985E8"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t xml:space="preserve">Esta situación, en parte, se puede explicar por el propio ciclo vital de las personas. Este segmento de población joven es el más propenso a cambiar de residencia por razones, por ejemplo, académicas. En consecuencia, tienden más a compartir vivienda con compañeros o a trasladarse únicamente por periodos limitados de tiempo, en lugar de buscar una vivienda para independizarse de manera definitiva. </w:t>
      </w:r>
    </w:p>
    <w:p w14:paraId="3932EF92" w14:textId="77777777" w:rsidR="005C0B56" w:rsidRDefault="005C0B56">
      <w:pPr>
        <w:spacing w:line="276" w:lineRule="auto"/>
        <w:ind w:right="4"/>
        <w:jc w:val="both"/>
        <w:rPr>
          <w:rFonts w:ascii="Open Sans" w:eastAsia="Open Sans" w:hAnsi="Open Sans" w:cs="Open Sans"/>
        </w:rPr>
      </w:pPr>
    </w:p>
    <w:p w14:paraId="3FDEF3E7" w14:textId="77777777" w:rsidR="005C0B56" w:rsidRDefault="00000000">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Andalucía y Madrid son las comunidades con mayor presencia de inquilinos viviendo con contratos de alquiler temporal</w:t>
      </w:r>
    </w:p>
    <w:p w14:paraId="673FCD4A" w14:textId="77777777" w:rsidR="005C0B56" w:rsidRDefault="005C0B56">
      <w:pPr>
        <w:spacing w:line="276" w:lineRule="auto"/>
        <w:ind w:right="4"/>
        <w:jc w:val="both"/>
        <w:rPr>
          <w:rFonts w:ascii="Open Sans" w:eastAsia="Open Sans" w:hAnsi="Open Sans" w:cs="Open Sans"/>
        </w:rPr>
      </w:pPr>
    </w:p>
    <w:p w14:paraId="15B39110"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t xml:space="preserve">Aparte del prisma de la edad, los tipos de contrato de alquiler que tienen los inquilinos se pueden analizar en clave territorial. En general, todas las comunidades siguen tendencias similares, con la excepción de </w:t>
      </w:r>
      <w:r w:rsidRPr="0053651B">
        <w:rPr>
          <w:rFonts w:ascii="Open Sans" w:eastAsia="Open Sans" w:hAnsi="Open Sans" w:cs="Open Sans"/>
          <w:b/>
          <w:bCs/>
        </w:rPr>
        <w:t>Andalucía</w:t>
      </w:r>
      <w:r>
        <w:rPr>
          <w:rFonts w:ascii="Open Sans" w:eastAsia="Open Sans" w:hAnsi="Open Sans" w:cs="Open Sans"/>
        </w:rPr>
        <w:t xml:space="preserve">. </w:t>
      </w:r>
    </w:p>
    <w:p w14:paraId="24D0CBFC" w14:textId="77777777" w:rsidR="005C0B56" w:rsidRDefault="005C0B56">
      <w:pPr>
        <w:spacing w:line="276" w:lineRule="auto"/>
        <w:ind w:right="4"/>
        <w:jc w:val="both"/>
        <w:rPr>
          <w:rFonts w:ascii="Open Sans" w:eastAsia="Open Sans" w:hAnsi="Open Sans" w:cs="Open Sans"/>
        </w:rPr>
      </w:pPr>
    </w:p>
    <w:p w14:paraId="792E4CB9"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t xml:space="preserve">En este territorio </w:t>
      </w:r>
      <w:r w:rsidRPr="0053651B">
        <w:rPr>
          <w:rFonts w:ascii="Open Sans" w:eastAsia="Open Sans" w:hAnsi="Open Sans" w:cs="Open Sans"/>
          <w:b/>
          <w:bCs/>
        </w:rPr>
        <w:t xml:space="preserve">solamente el 71% de los particulares tiene un contrato de alquiler de vivienda habitual. </w:t>
      </w:r>
      <w:r>
        <w:rPr>
          <w:rFonts w:ascii="Open Sans" w:eastAsia="Open Sans" w:hAnsi="Open Sans" w:cs="Open Sans"/>
        </w:rPr>
        <w:t xml:space="preserve">En el resto de las comunidades autónomas esta ratio es, al menos, del 78%, en línea con la media nacional. </w:t>
      </w:r>
    </w:p>
    <w:p w14:paraId="00424EAC" w14:textId="77777777" w:rsidR="005C0B56" w:rsidRDefault="005C0B56">
      <w:pPr>
        <w:spacing w:line="276" w:lineRule="auto"/>
        <w:ind w:right="4"/>
        <w:jc w:val="both"/>
        <w:rPr>
          <w:rFonts w:ascii="Open Sans" w:eastAsia="Open Sans" w:hAnsi="Open Sans" w:cs="Open Sans"/>
        </w:rPr>
      </w:pPr>
    </w:p>
    <w:p w14:paraId="0AD0BA89"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t xml:space="preserve">Sin embargo, en Andalucía destacan los contratos de alquiler temporal con una duración inferior a doce meses. Concretamente, </w:t>
      </w:r>
      <w:r w:rsidRPr="0053651B">
        <w:rPr>
          <w:rFonts w:ascii="Open Sans" w:eastAsia="Open Sans" w:hAnsi="Open Sans" w:cs="Open Sans"/>
          <w:b/>
          <w:bCs/>
        </w:rPr>
        <w:t>el 11% de los inquilinos andaluces vive en un inmueble con esta modalidad</w:t>
      </w:r>
      <w:r>
        <w:rPr>
          <w:rFonts w:ascii="Open Sans" w:eastAsia="Open Sans" w:hAnsi="Open Sans" w:cs="Open Sans"/>
        </w:rPr>
        <w:t xml:space="preserve">. La segunda comunidad donde más frecuentes son estos contratos es Madrid (6%). </w:t>
      </w:r>
    </w:p>
    <w:p w14:paraId="0490C708" w14:textId="77777777" w:rsidR="005C0B56" w:rsidRDefault="005C0B56">
      <w:pPr>
        <w:spacing w:line="276" w:lineRule="auto"/>
        <w:ind w:right="4"/>
        <w:jc w:val="both"/>
        <w:rPr>
          <w:rFonts w:ascii="Open Sans" w:eastAsia="Open Sans" w:hAnsi="Open Sans" w:cs="Open Sans"/>
        </w:rPr>
      </w:pPr>
    </w:p>
    <w:p w14:paraId="413034AB" w14:textId="77777777" w:rsidR="005C0B56" w:rsidRDefault="00000000">
      <w:pPr>
        <w:spacing w:line="276" w:lineRule="auto"/>
        <w:ind w:right="4"/>
        <w:jc w:val="both"/>
        <w:rPr>
          <w:rFonts w:ascii="Open Sans" w:eastAsia="Open Sans" w:hAnsi="Open Sans" w:cs="Open Sans"/>
        </w:rPr>
      </w:pPr>
      <w:r>
        <w:rPr>
          <w:rFonts w:ascii="Open Sans" w:eastAsia="Open Sans" w:hAnsi="Open Sans" w:cs="Open Sans"/>
        </w:rPr>
        <w:t>Pero, volviendo al caso de Andalucía, esta menor presencia del contrato de vivienda habitual se compensa, también, con un mayor uso de los contratos de alquiler con opción a compra, que son los que tienen firmados el 8% de los inquilinos andaluces. Tras ellos, se posicionan los arrendatarios valencianos, donde el 6% ha recurrido a este tipo de contrato.</w:t>
      </w:r>
    </w:p>
    <w:p w14:paraId="71616C99" w14:textId="77777777" w:rsidR="005C0B56" w:rsidRDefault="005C0B56">
      <w:pPr>
        <w:spacing w:line="276" w:lineRule="auto"/>
        <w:ind w:right="4"/>
        <w:jc w:val="both"/>
        <w:rPr>
          <w:rFonts w:ascii="Open Sans" w:eastAsia="Open Sans" w:hAnsi="Open Sans" w:cs="Open Sans"/>
        </w:rPr>
      </w:pPr>
    </w:p>
    <w:p w14:paraId="76352FDB" w14:textId="0CA423BC" w:rsidR="008A676D" w:rsidRPr="008A676D" w:rsidRDefault="008A676D" w:rsidP="008A676D">
      <w:pPr>
        <w:spacing w:line="276" w:lineRule="auto"/>
        <w:ind w:right="4"/>
        <w:jc w:val="both"/>
        <w:rPr>
          <w:b/>
          <w:smallCaps/>
          <w:color w:val="323FAC"/>
          <w:lang w:val="es-ES"/>
        </w:rPr>
      </w:pPr>
      <w:r w:rsidRPr="008A676D">
        <w:rPr>
          <w:b/>
          <w:smallCaps/>
          <w:color w:val="323FAC"/>
          <w:lang w:val="es-ES"/>
        </w:rPr>
        <w:lastRenderedPageBreak/>
        <w:drawing>
          <wp:inline distT="0" distB="0" distL="0" distR="0" wp14:anchorId="7645FE2E" wp14:editId="494A859D">
            <wp:extent cx="5760720" cy="3973195"/>
            <wp:effectExtent l="0" t="0" r="0" b="8255"/>
            <wp:docPr id="1764454283"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54283" name="Imagen 6" descr="Gráfico, Gráfico de barra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973195"/>
                    </a:xfrm>
                    <a:prstGeom prst="rect">
                      <a:avLst/>
                    </a:prstGeom>
                    <a:noFill/>
                    <a:ln>
                      <a:noFill/>
                    </a:ln>
                  </pic:spPr>
                </pic:pic>
              </a:graphicData>
            </a:graphic>
          </wp:inline>
        </w:drawing>
      </w:r>
    </w:p>
    <w:p w14:paraId="1A64C442" w14:textId="77777777" w:rsidR="005C0B56" w:rsidRDefault="005C0B56">
      <w:pPr>
        <w:spacing w:line="276" w:lineRule="auto"/>
        <w:ind w:right="4"/>
        <w:jc w:val="both"/>
        <w:rPr>
          <w:rFonts w:ascii="Open Sans" w:eastAsia="Open Sans" w:hAnsi="Open Sans" w:cs="Open Sans"/>
        </w:rPr>
      </w:pPr>
    </w:p>
    <w:p w14:paraId="26C9E647" w14:textId="77777777" w:rsidR="005C0B56" w:rsidRDefault="005C0B56">
      <w:pPr>
        <w:spacing w:line="276" w:lineRule="auto"/>
        <w:ind w:right="4"/>
        <w:jc w:val="both"/>
        <w:rPr>
          <w:rFonts w:ascii="Open Sans" w:eastAsia="Open Sans" w:hAnsi="Open Sans" w:cs="Open Sans"/>
        </w:rPr>
      </w:pPr>
    </w:p>
    <w:p w14:paraId="2A940484" w14:textId="77777777" w:rsidR="005C0B56" w:rsidRDefault="005C0B56">
      <w:pPr>
        <w:spacing w:line="276" w:lineRule="auto"/>
        <w:ind w:right="4"/>
        <w:jc w:val="both"/>
        <w:rPr>
          <w:rFonts w:ascii="Open Sans" w:eastAsia="Open Sans" w:hAnsi="Open Sans" w:cs="Open Sans"/>
        </w:rPr>
      </w:pPr>
    </w:p>
    <w:p w14:paraId="0DA377A2" w14:textId="77777777" w:rsidR="008A676D" w:rsidRDefault="008A676D">
      <w:pPr>
        <w:spacing w:line="276" w:lineRule="auto"/>
        <w:ind w:right="4"/>
        <w:jc w:val="both"/>
        <w:rPr>
          <w:rFonts w:ascii="Open Sans" w:eastAsia="Open Sans" w:hAnsi="Open Sans" w:cs="Open Sans"/>
        </w:rPr>
      </w:pPr>
    </w:p>
    <w:p w14:paraId="249BAB86" w14:textId="77777777" w:rsidR="005C0B5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3100727" w14:textId="77777777" w:rsidR="005C0B5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8EF23FC" w14:textId="77777777" w:rsidR="005C0B56"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5">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29443299" w14:textId="77777777" w:rsidR="005C0B56" w:rsidRDefault="00000000">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855DCF7" w14:textId="77777777" w:rsidR="005C0B56" w:rsidRDefault="005C0B56">
      <w:pPr>
        <w:spacing w:line="276" w:lineRule="auto"/>
        <w:jc w:val="right"/>
        <w:rPr>
          <w:rFonts w:ascii="Open Sans Light" w:eastAsia="Open Sans Light" w:hAnsi="Open Sans Light" w:cs="Open Sans Light"/>
          <w:b/>
          <w:color w:val="303AB2"/>
        </w:rPr>
      </w:pPr>
    </w:p>
    <w:p w14:paraId="254D015B" w14:textId="77777777" w:rsidR="008A676D" w:rsidRDefault="008A676D">
      <w:pPr>
        <w:spacing w:line="276" w:lineRule="auto"/>
        <w:jc w:val="right"/>
        <w:rPr>
          <w:rFonts w:ascii="Open Sans Light" w:eastAsia="Open Sans Light" w:hAnsi="Open Sans Light" w:cs="Open Sans Light"/>
          <w:b/>
          <w:color w:val="303AB2"/>
        </w:rPr>
      </w:pPr>
    </w:p>
    <w:p w14:paraId="43D964B1" w14:textId="77777777" w:rsidR="008A676D" w:rsidRDefault="008A676D">
      <w:pPr>
        <w:spacing w:line="276" w:lineRule="auto"/>
        <w:jc w:val="right"/>
        <w:rPr>
          <w:rFonts w:ascii="Open Sans Light" w:eastAsia="Open Sans Light" w:hAnsi="Open Sans Light" w:cs="Open Sans Light"/>
          <w:b/>
          <w:color w:val="303AB2"/>
        </w:rPr>
      </w:pPr>
    </w:p>
    <w:p w14:paraId="333482F5" w14:textId="77777777" w:rsidR="008A676D" w:rsidRDefault="008A676D">
      <w:pPr>
        <w:spacing w:line="276" w:lineRule="auto"/>
        <w:jc w:val="right"/>
        <w:rPr>
          <w:rFonts w:ascii="Open Sans Light" w:eastAsia="Open Sans Light" w:hAnsi="Open Sans Light" w:cs="Open Sans Light"/>
          <w:b/>
          <w:color w:val="303AB2"/>
        </w:rPr>
      </w:pPr>
    </w:p>
    <w:p w14:paraId="510AD136" w14:textId="05F8C1EE" w:rsidR="005C0B5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 Spain</w:t>
      </w:r>
    </w:p>
    <w:p w14:paraId="2708EA86" w14:textId="77777777" w:rsidR="005C0B56"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C19CB5B" w14:textId="77777777" w:rsidR="005C0B5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49B3023" w14:textId="77777777" w:rsidR="005C0B5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70926C87" w14:textId="77777777" w:rsidR="005C0B56"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3C5A71A0" w14:textId="77777777" w:rsidR="005C0B56" w:rsidRDefault="005C0B56">
      <w:pPr>
        <w:spacing w:line="276" w:lineRule="auto"/>
        <w:jc w:val="right"/>
        <w:rPr>
          <w:rFonts w:ascii="Open Sans" w:eastAsia="Open Sans" w:hAnsi="Open Sans" w:cs="Open Sans"/>
        </w:rPr>
      </w:pPr>
    </w:p>
    <w:p w14:paraId="74C5E741" w14:textId="77777777" w:rsidR="005C0B56"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745AA89" w14:textId="77777777" w:rsidR="005C0B56"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6AC48C5" w14:textId="77777777" w:rsidR="005C0B56"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4A70A933" w14:textId="77777777" w:rsidR="005C0B5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F17D847" w14:textId="77777777" w:rsidR="005C0B56" w:rsidRDefault="005C0B56">
      <w:pPr>
        <w:spacing w:line="276" w:lineRule="auto"/>
        <w:rPr>
          <w:rFonts w:ascii="Open Sans Light" w:eastAsia="Open Sans Light" w:hAnsi="Open Sans Light" w:cs="Open Sans Light"/>
          <w:b/>
          <w:color w:val="303AB2"/>
          <w:sz w:val="22"/>
          <w:szCs w:val="22"/>
        </w:rPr>
      </w:pPr>
    </w:p>
    <w:p w14:paraId="30D0F1F6" w14:textId="77777777" w:rsidR="005C0B56" w:rsidRDefault="005C0B56">
      <w:pPr>
        <w:ind w:right="-433"/>
        <w:rPr>
          <w:rFonts w:ascii="Open Sans Light" w:eastAsia="Open Sans Light" w:hAnsi="Open Sans Light" w:cs="Open Sans Light"/>
          <w:b/>
          <w:color w:val="303AB2"/>
          <w:sz w:val="22"/>
          <w:szCs w:val="22"/>
        </w:rPr>
      </w:pPr>
    </w:p>
    <w:p w14:paraId="5ADF3FDC" w14:textId="77777777" w:rsidR="005C0B56"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41A1BE6D" w14:textId="77777777" w:rsidR="005C0B56"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75133DD3" w14:textId="77777777" w:rsidR="005C0B56" w:rsidRDefault="00000000">
      <w:pPr>
        <w:shd w:val="clear" w:color="auto" w:fill="FFFFFF"/>
        <w:ind w:right="-433"/>
        <w:rPr>
          <w:rFonts w:ascii="Open Sans" w:eastAsia="Open Sans" w:hAnsi="Open Sans" w:cs="Open Sans"/>
          <w:b/>
          <w:sz w:val="22"/>
          <w:szCs w:val="22"/>
        </w:rPr>
      </w:pPr>
      <w:hyperlink r:id="rId25">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7E37CCDF" w14:textId="77777777" w:rsidR="005C0B56" w:rsidRPr="00932A44" w:rsidRDefault="00000000">
      <w:pPr>
        <w:shd w:val="clear" w:color="auto" w:fill="FFFFFF"/>
        <w:ind w:right="-433"/>
        <w:rPr>
          <w:rFonts w:ascii="Open Sans" w:eastAsia="Open Sans" w:hAnsi="Open Sans" w:cs="Open Sans"/>
          <w:sz w:val="22"/>
          <w:szCs w:val="22"/>
          <w:lang w:val="en-US"/>
        </w:rPr>
      </w:pPr>
      <w:r w:rsidRPr="00932A44">
        <w:rPr>
          <w:rFonts w:ascii="Open Sans" w:eastAsia="Open Sans" w:hAnsi="Open Sans" w:cs="Open Sans"/>
          <w:sz w:val="22"/>
          <w:szCs w:val="22"/>
          <w:lang w:val="en-US"/>
        </w:rPr>
        <w:t>663 35 69 75 </w:t>
      </w:r>
      <w:r w:rsidRPr="00932A44">
        <w:rPr>
          <w:rFonts w:ascii="Open Sans" w:eastAsia="Open Sans" w:hAnsi="Open Sans" w:cs="Open Sans"/>
          <w:sz w:val="22"/>
          <w:szCs w:val="22"/>
          <w:lang w:val="en-US"/>
        </w:rPr>
        <w:tab/>
      </w:r>
      <w:r w:rsidRPr="00932A44">
        <w:rPr>
          <w:rFonts w:ascii="Open Sans" w:eastAsia="Open Sans" w:hAnsi="Open Sans" w:cs="Open Sans"/>
          <w:sz w:val="22"/>
          <w:szCs w:val="22"/>
          <w:lang w:val="en-US"/>
        </w:rPr>
        <w:tab/>
      </w:r>
      <w:r w:rsidRPr="00932A44">
        <w:rPr>
          <w:rFonts w:ascii="Open Sans" w:eastAsia="Open Sans" w:hAnsi="Open Sans" w:cs="Open Sans"/>
          <w:sz w:val="22"/>
          <w:szCs w:val="22"/>
          <w:lang w:val="en-US"/>
        </w:rPr>
        <w:tab/>
      </w:r>
      <w:r w:rsidRPr="00932A44">
        <w:rPr>
          <w:rFonts w:ascii="Open Sans" w:eastAsia="Open Sans" w:hAnsi="Open Sans" w:cs="Open Sans"/>
          <w:sz w:val="22"/>
          <w:szCs w:val="22"/>
          <w:lang w:val="en-US"/>
        </w:rPr>
        <w:tab/>
      </w:r>
      <w:r w:rsidRPr="00932A44">
        <w:rPr>
          <w:rFonts w:ascii="Open Sans" w:eastAsia="Open Sans" w:hAnsi="Open Sans" w:cs="Open Sans"/>
          <w:sz w:val="22"/>
          <w:szCs w:val="22"/>
          <w:lang w:val="en-US"/>
        </w:rPr>
        <w:tab/>
      </w:r>
      <w:r w:rsidRPr="00932A44">
        <w:rPr>
          <w:rFonts w:ascii="Open Sans" w:eastAsia="Open Sans" w:hAnsi="Open Sans" w:cs="Open Sans"/>
          <w:sz w:val="22"/>
          <w:szCs w:val="22"/>
          <w:lang w:val="en-US"/>
        </w:rPr>
        <w:tab/>
      </w:r>
    </w:p>
    <w:p w14:paraId="3DBB85B7" w14:textId="77777777" w:rsidR="005C0B56" w:rsidRPr="00932A44" w:rsidRDefault="00000000">
      <w:pPr>
        <w:shd w:val="clear" w:color="auto" w:fill="FFFFFF"/>
        <w:ind w:right="-433"/>
        <w:rPr>
          <w:color w:val="222222"/>
          <w:sz w:val="22"/>
          <w:szCs w:val="22"/>
          <w:lang w:val="en-US"/>
        </w:rPr>
      </w:pPr>
      <w:r w:rsidRPr="00932A44">
        <w:rPr>
          <w:color w:val="222222"/>
          <w:sz w:val="22"/>
          <w:szCs w:val="22"/>
          <w:lang w:val="en-US"/>
        </w:rPr>
        <w:tab/>
      </w:r>
      <w:r w:rsidRPr="00932A44">
        <w:rPr>
          <w:color w:val="222222"/>
          <w:sz w:val="22"/>
          <w:szCs w:val="22"/>
          <w:lang w:val="en-US"/>
        </w:rPr>
        <w:tab/>
        <w:t xml:space="preserve">     </w:t>
      </w:r>
    </w:p>
    <w:p w14:paraId="5E059D50" w14:textId="77777777" w:rsidR="005C0B56" w:rsidRPr="00932A44" w:rsidRDefault="00000000">
      <w:pPr>
        <w:shd w:val="clear" w:color="auto" w:fill="FFFFFF"/>
        <w:ind w:right="-433"/>
        <w:rPr>
          <w:rFonts w:ascii="Open Sans" w:eastAsia="Open Sans" w:hAnsi="Open Sans" w:cs="Open Sans"/>
          <w:b/>
          <w:sz w:val="22"/>
          <w:szCs w:val="22"/>
          <w:lang w:val="en-US"/>
        </w:rPr>
      </w:pPr>
      <w:r w:rsidRPr="00932A44">
        <w:rPr>
          <w:rFonts w:ascii="Open Sans" w:eastAsia="Open Sans" w:hAnsi="Open Sans" w:cs="Open Sans"/>
          <w:b/>
          <w:sz w:val="22"/>
          <w:szCs w:val="22"/>
          <w:lang w:val="en-US"/>
        </w:rPr>
        <w:t>Judit Campillos</w:t>
      </w:r>
    </w:p>
    <w:p w14:paraId="1870EC1E" w14:textId="77777777" w:rsidR="005C0B56" w:rsidRPr="00932A44" w:rsidRDefault="00000000">
      <w:pPr>
        <w:shd w:val="clear" w:color="auto" w:fill="FFFFFF"/>
        <w:ind w:right="-433"/>
        <w:rPr>
          <w:rFonts w:ascii="Open Sans" w:eastAsia="Open Sans" w:hAnsi="Open Sans" w:cs="Open Sans"/>
          <w:b/>
          <w:sz w:val="22"/>
          <w:szCs w:val="22"/>
          <w:lang w:val="en-US"/>
        </w:rPr>
      </w:pPr>
      <w:r w:rsidRPr="00932A44">
        <w:rPr>
          <w:rFonts w:ascii="Open Sans" w:eastAsia="Open Sans" w:hAnsi="Open Sans" w:cs="Open Sans"/>
          <w:color w:val="0000FF"/>
          <w:sz w:val="22"/>
          <w:szCs w:val="22"/>
          <w:u w:val="single"/>
          <w:lang w:val="en-US"/>
        </w:rPr>
        <w:t>jcampillos</w:t>
      </w:r>
      <w:hyperlink r:id="rId26">
        <w:r w:rsidRPr="00932A44">
          <w:rPr>
            <w:rFonts w:ascii="Open Sans" w:eastAsia="Open Sans" w:hAnsi="Open Sans" w:cs="Open Sans"/>
            <w:color w:val="0000FF"/>
            <w:sz w:val="22"/>
            <w:szCs w:val="22"/>
            <w:u w:val="single"/>
            <w:lang w:val="en-US"/>
          </w:rPr>
          <w:t>@ll</w:t>
        </w:r>
      </w:hyperlink>
      <w:proofErr w:type="gramStart"/>
      <w:r w:rsidRPr="00932A44">
        <w:rPr>
          <w:rFonts w:ascii="Open Sans" w:eastAsia="Open Sans" w:hAnsi="Open Sans" w:cs="Open Sans"/>
          <w:color w:val="0000FF"/>
          <w:sz w:val="22"/>
          <w:szCs w:val="22"/>
          <w:u w:val="single"/>
          <w:lang w:val="en-US"/>
        </w:rPr>
        <w:t>yc.global</w:t>
      </w:r>
      <w:proofErr w:type="gramEnd"/>
      <w:r w:rsidRPr="00932A44">
        <w:rPr>
          <w:rFonts w:ascii="Open Sans" w:eastAsia="Open Sans" w:hAnsi="Open Sans" w:cs="Open Sans"/>
          <w:color w:val="0000FF"/>
          <w:sz w:val="22"/>
          <w:szCs w:val="22"/>
          <w:lang w:val="en-US"/>
        </w:rPr>
        <w:tab/>
      </w:r>
      <w:r w:rsidRPr="00932A44">
        <w:rPr>
          <w:rFonts w:ascii="Open Sans" w:eastAsia="Open Sans" w:hAnsi="Open Sans" w:cs="Open Sans"/>
          <w:color w:val="0000FF"/>
          <w:sz w:val="22"/>
          <w:szCs w:val="22"/>
          <w:lang w:val="en-US"/>
        </w:rPr>
        <w:tab/>
      </w:r>
    </w:p>
    <w:p w14:paraId="784A2429" w14:textId="0090AD07" w:rsidR="005C0B56" w:rsidRPr="008A676D" w:rsidRDefault="00000000" w:rsidP="008A676D">
      <w:pPr>
        <w:shd w:val="clear" w:color="auto" w:fill="FFFFFF"/>
        <w:ind w:right="-433"/>
        <w:rPr>
          <w:rFonts w:ascii="Open Sans" w:eastAsia="Open Sans" w:hAnsi="Open Sans" w:cs="Open Sans"/>
          <w:sz w:val="22"/>
          <w:szCs w:val="22"/>
          <w:lang w:val="en-US"/>
        </w:rPr>
      </w:pPr>
      <w:r w:rsidRPr="008A676D">
        <w:rPr>
          <w:rFonts w:ascii="Open Sans" w:eastAsia="Open Sans" w:hAnsi="Open Sans" w:cs="Open Sans"/>
          <w:sz w:val="22"/>
          <w:szCs w:val="22"/>
          <w:lang w:val="en-US"/>
        </w:rPr>
        <w:t>699 13 91 53</w:t>
      </w:r>
    </w:p>
    <w:p w14:paraId="4F5A2C6F" w14:textId="77777777" w:rsidR="005C0B56" w:rsidRPr="008A676D" w:rsidRDefault="005C0B56">
      <w:pPr>
        <w:rPr>
          <w:rFonts w:ascii="Open Sans" w:eastAsia="Open Sans" w:hAnsi="Open Sans" w:cs="Open Sans"/>
          <w:b/>
          <w:color w:val="30302E"/>
          <w:sz w:val="22"/>
          <w:szCs w:val="22"/>
          <w:highlight w:val="white"/>
          <w:lang w:val="en-US"/>
        </w:rPr>
      </w:pPr>
    </w:p>
    <w:p w14:paraId="51677BC2" w14:textId="77777777" w:rsidR="005C0B56"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0A03AEBA" w14:textId="77777777" w:rsidR="005C0B56" w:rsidRDefault="00000000">
      <w:pPr>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alicia.salvatella@llyc.global</w:t>
        </w:r>
      </w:hyperlink>
    </w:p>
    <w:p w14:paraId="4A52C29A" w14:textId="77777777" w:rsidR="005C0B56"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64006E27" w14:textId="77777777" w:rsidR="005C0B56" w:rsidRDefault="005C0B56">
      <w:pPr>
        <w:shd w:val="clear" w:color="auto" w:fill="FFFFFF"/>
        <w:rPr>
          <w:rFonts w:ascii="Open Sans" w:eastAsia="Open Sans" w:hAnsi="Open Sans" w:cs="Open Sans"/>
          <w:color w:val="000000"/>
          <w:sz w:val="22"/>
          <w:szCs w:val="22"/>
        </w:rPr>
      </w:pPr>
    </w:p>
    <w:p w14:paraId="7F8EB0B2" w14:textId="77777777" w:rsidR="005C0B56" w:rsidRDefault="005C0B56">
      <w:pPr>
        <w:shd w:val="clear" w:color="auto" w:fill="FFFFFF"/>
        <w:rPr>
          <w:rFonts w:ascii="Open Sans" w:eastAsia="Open Sans" w:hAnsi="Open Sans" w:cs="Open Sans"/>
          <w:color w:val="000000"/>
          <w:sz w:val="22"/>
          <w:szCs w:val="22"/>
        </w:rPr>
      </w:pPr>
    </w:p>
    <w:sectPr w:rsidR="005C0B56">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5063B" w14:textId="77777777" w:rsidR="00A11352" w:rsidRDefault="00A11352">
      <w:r>
        <w:separator/>
      </w:r>
    </w:p>
  </w:endnote>
  <w:endnote w:type="continuationSeparator" w:id="0">
    <w:p w14:paraId="5E659BC8" w14:textId="77777777" w:rsidR="00A11352" w:rsidRDefault="00A11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55F2D31-AFBF-480C-A4DB-58B469FAA3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6FA94CB-538C-450D-922D-39A9E952DD71}"/>
    <w:embedBold r:id="rId3" w:fontKey="{09AD23AF-A151-4E78-AEEA-05AD542755B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31E0E4C-94E0-462A-AC23-7B98A819026D}"/>
    <w:embedItalic r:id="rId5" w:fontKey="{58846AC7-A0C3-4A16-AAB1-56EBBAF75EB7}"/>
  </w:font>
  <w:font w:name="Cambria">
    <w:panose1 w:val="02040503050406030204"/>
    <w:charset w:val="00"/>
    <w:family w:val="roman"/>
    <w:pitch w:val="variable"/>
    <w:sig w:usb0="E00006FF" w:usb1="420024FF" w:usb2="02000000" w:usb3="00000000" w:csb0="0000019F" w:csb1="00000000"/>
    <w:embedRegular r:id="rId6" w:fontKey="{61C293CA-8F49-48D9-A81A-9ACCB88CAD8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BB20CBB-BB1A-4718-A1B9-6F0619D6DE05}"/>
    <w:embedBold r:id="rId8" w:fontKey="{6AB7E2B9-8024-4706-B046-A1A1CBCB5269}"/>
    <w:embedBoldItalic r:id="rId9" w:fontKey="{F3F1D301-BA24-42A6-A5CC-33FDAC203155}"/>
  </w:font>
  <w:font w:name="Open Sans Light">
    <w:charset w:val="00"/>
    <w:family w:val="swiss"/>
    <w:pitch w:val="variable"/>
    <w:sig w:usb0="E00002EF" w:usb1="4000205B" w:usb2="00000028" w:usb3="00000000" w:csb0="0000019F" w:csb1="00000000"/>
    <w:embedRegular r:id="rId10" w:fontKey="{A700E6FA-C592-4F0F-AB40-CD81950CEA7A}"/>
    <w:embedBold r:id="rId11" w:fontKey="{AC27B565-18CB-4D65-BA21-8E99AD5E0F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08F69" w14:textId="77777777" w:rsidR="005C0B5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867A929" wp14:editId="0BD139DA">
          <wp:simplePos x="0" y="0"/>
          <wp:positionH relativeFrom="column">
            <wp:posOffset>-1068052</wp:posOffset>
          </wp:positionH>
          <wp:positionV relativeFrom="paragraph">
            <wp:posOffset>174608</wp:posOffset>
          </wp:positionV>
          <wp:extent cx="7670550" cy="451315"/>
          <wp:effectExtent l="0" t="0" r="0" b="0"/>
          <wp:wrapNone/>
          <wp:docPr id="20668165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C0702" w14:textId="77777777" w:rsidR="00A11352" w:rsidRDefault="00A11352">
      <w:r>
        <w:separator/>
      </w:r>
    </w:p>
  </w:footnote>
  <w:footnote w:type="continuationSeparator" w:id="0">
    <w:p w14:paraId="47B1FC95" w14:textId="77777777" w:rsidR="00A11352" w:rsidRDefault="00A113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313575"/>
    <w:multiLevelType w:val="multilevel"/>
    <w:tmpl w:val="05445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5069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B56"/>
    <w:rsid w:val="003D5B51"/>
    <w:rsid w:val="004954D3"/>
    <w:rsid w:val="0053651B"/>
    <w:rsid w:val="005C0B56"/>
    <w:rsid w:val="007A5914"/>
    <w:rsid w:val="008A676D"/>
    <w:rsid w:val="00900167"/>
    <w:rsid w:val="00932A44"/>
    <w:rsid w:val="00A11352"/>
    <w:rsid w:val="00DF4A81"/>
    <w:rsid w:val="00E646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06E99"/>
  <w15:docId w15:val="{8BEFBE2C-D0D1-44E5-83A1-82F01BF9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d"/>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d"/>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a"/>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a"/>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10071">
      <w:bodyDiv w:val="1"/>
      <w:marLeft w:val="0"/>
      <w:marRight w:val="0"/>
      <w:marTop w:val="0"/>
      <w:marBottom w:val="0"/>
      <w:divBdr>
        <w:top w:val="none" w:sz="0" w:space="0" w:color="auto"/>
        <w:left w:val="none" w:sz="0" w:space="0" w:color="auto"/>
        <w:bottom w:val="none" w:sz="0" w:space="0" w:color="auto"/>
        <w:right w:val="none" w:sz="0" w:space="0" w:color="auto"/>
      </w:divBdr>
    </w:div>
    <w:div w:id="127167010">
      <w:bodyDiv w:val="1"/>
      <w:marLeft w:val="0"/>
      <w:marRight w:val="0"/>
      <w:marTop w:val="0"/>
      <w:marBottom w:val="0"/>
      <w:divBdr>
        <w:top w:val="none" w:sz="0" w:space="0" w:color="auto"/>
        <w:left w:val="none" w:sz="0" w:space="0" w:color="auto"/>
        <w:bottom w:val="none" w:sz="0" w:space="0" w:color="auto"/>
        <w:right w:val="none" w:sz="0" w:space="0" w:color="auto"/>
      </w:divBdr>
    </w:div>
    <w:div w:id="1404596579">
      <w:bodyDiv w:val="1"/>
      <w:marLeft w:val="0"/>
      <w:marRight w:val="0"/>
      <w:marTop w:val="0"/>
      <w:marBottom w:val="0"/>
      <w:divBdr>
        <w:top w:val="none" w:sz="0" w:space="0" w:color="auto"/>
        <w:left w:val="none" w:sz="0" w:space="0" w:color="auto"/>
        <w:bottom w:val="none" w:sz="0" w:space="0" w:color="auto"/>
        <w:right w:val="none" w:sz="0" w:space="0" w:color="auto"/>
      </w:divBdr>
    </w:div>
    <w:div w:id="1495603076">
      <w:bodyDiv w:val="1"/>
      <w:marLeft w:val="0"/>
      <w:marRight w:val="0"/>
      <w:marTop w:val="0"/>
      <w:marBottom w:val="0"/>
      <w:divBdr>
        <w:top w:val="none" w:sz="0" w:space="0" w:color="auto"/>
        <w:left w:val="none" w:sz="0" w:space="0" w:color="auto"/>
        <w:bottom w:val="none" w:sz="0" w:space="0" w:color="auto"/>
        <w:right w:val="none" w:sz="0" w:space="0" w:color="auto"/>
      </w:divBdr>
    </w:div>
    <w:div w:id="1845431261">
      <w:bodyDiv w:val="1"/>
      <w:marLeft w:val="0"/>
      <w:marRight w:val="0"/>
      <w:marTop w:val="0"/>
      <w:marBottom w:val="0"/>
      <w:divBdr>
        <w:top w:val="none" w:sz="0" w:space="0" w:color="auto"/>
        <w:left w:val="none" w:sz="0" w:space="0" w:color="auto"/>
        <w:bottom w:val="none" w:sz="0" w:space="0" w:color="auto"/>
        <w:right w:val="none" w:sz="0" w:space="0" w:color="auto"/>
      </w:divBdr>
    </w:div>
    <w:div w:id="203865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habitaclia.com/"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fotocasa.es/e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adevinta.com/" TargetMode="External"/><Relationship Id="rId23" Type="http://schemas.openxmlformats.org/officeDocument/2006/relationships/hyperlink" Target="http://adevinta.e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prensa.fotocasa.es" TargetMode="External"/><Relationship Id="rId22" Type="http://schemas.openxmlformats.org/officeDocument/2006/relationships/hyperlink" Target="https://www.milanuncios.com/" TargetMode="External"/><Relationship Id="rId27" Type="http://schemas.openxmlformats.org/officeDocument/2006/relationships/hyperlink" Target="mailto:alicia.salvatella@llyc.globa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AMhi8ROebgfEOFWcnPaLReD6iQ==">CgMxLjAyCWguMnM4ZXlvMTgAciExNkIxbU5YcFFaTW8xSWUxWktMc0dSZkhtQlI2UU5udlM=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1327</Words>
  <Characters>7300</Characters>
  <Application>Microsoft Office Word</Application>
  <DocSecurity>0</DocSecurity>
  <Lines>60</Lines>
  <Paragraphs>17</Paragraphs>
  <ScaleCrop>false</ScaleCrop>
  <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2024-07-21T21:10:00Z</dcterms:modified>
</cp:coreProperties>
</file>