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EFF978" w14:textId="77777777" w:rsidR="004E6FF8" w:rsidRDefault="00000000">
      <w:r>
        <w:rPr>
          <w:noProof/>
        </w:rPr>
        <w:drawing>
          <wp:anchor distT="0" distB="0" distL="114300" distR="114300" simplePos="0" relativeHeight="251658240" behindDoc="0" locked="0" layoutInCell="1" hidden="0" allowOverlap="1" wp14:anchorId="243856E2" wp14:editId="2069D726">
            <wp:simplePos x="0" y="0"/>
            <wp:positionH relativeFrom="column">
              <wp:posOffset>-1080134</wp:posOffset>
            </wp:positionH>
            <wp:positionV relativeFrom="paragraph">
              <wp:posOffset>-351258</wp:posOffset>
            </wp:positionV>
            <wp:extent cx="7581265" cy="1019175"/>
            <wp:effectExtent l="0" t="0" r="0" b="0"/>
            <wp:wrapNone/>
            <wp:docPr id="1302301071" name="image1.png" descr="Patrón de fond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png" descr="Patrón de fondo&#10;&#10;Descripción generada automáticamente con confianza baja"/>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B424A0F" w14:textId="77777777" w:rsidR="004E6FF8" w:rsidRDefault="004E6FF8">
      <w:pPr>
        <w:jc w:val="right"/>
        <w:rPr>
          <w:rFonts w:ascii="National" w:eastAsia="National" w:hAnsi="National" w:cs="National"/>
          <w:color w:val="303AB2"/>
          <w:sz w:val="36"/>
          <w:szCs w:val="36"/>
        </w:rPr>
      </w:pPr>
    </w:p>
    <w:p w14:paraId="291FF6A5" w14:textId="77777777" w:rsidR="004E6FF8" w:rsidRDefault="004E6FF8">
      <w:pPr>
        <w:jc w:val="right"/>
        <w:rPr>
          <w:rFonts w:ascii="National" w:eastAsia="National" w:hAnsi="National" w:cs="National"/>
          <w:color w:val="303AB2"/>
          <w:sz w:val="36"/>
          <w:szCs w:val="36"/>
        </w:rPr>
      </w:pPr>
    </w:p>
    <w:p w14:paraId="4A45DF93" w14:textId="77777777" w:rsidR="004E6FF8" w:rsidRDefault="004E6FF8">
      <w:pPr>
        <w:rPr>
          <w:rFonts w:ascii="National" w:eastAsia="National" w:hAnsi="National" w:cs="National"/>
          <w:color w:val="303AB2"/>
          <w:sz w:val="18"/>
          <w:szCs w:val="18"/>
        </w:rPr>
      </w:pPr>
    </w:p>
    <w:p w14:paraId="759ED6C0" w14:textId="77777777" w:rsidR="004E6FF8" w:rsidRDefault="00000000">
      <w:pPr>
        <w:spacing w:line="276" w:lineRule="auto"/>
        <w:jc w:val="center"/>
        <w:rPr>
          <w:rFonts w:ascii="National" w:eastAsia="National" w:hAnsi="National" w:cs="National"/>
          <w:b/>
          <w:color w:val="1DBDC5"/>
          <w:sz w:val="42"/>
          <w:szCs w:val="42"/>
        </w:rPr>
      </w:pPr>
      <w:r>
        <w:rPr>
          <w:rFonts w:ascii="National" w:eastAsia="National" w:hAnsi="National" w:cs="National"/>
          <w:b/>
          <w:color w:val="1DBDC5"/>
          <w:sz w:val="42"/>
          <w:szCs w:val="42"/>
        </w:rPr>
        <w:t>JULIO: PRECIO VIVIENDA EN VENTA</w:t>
      </w:r>
    </w:p>
    <w:p w14:paraId="69A18779" w14:textId="77777777" w:rsidR="004E6FF8"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El precio de la vivienda sube un 9% interanual en julio en España, el valor más alto de 2024</w:t>
      </w:r>
    </w:p>
    <w:p w14:paraId="74D71362" w14:textId="77777777" w:rsidR="004E6FF8" w:rsidRDefault="004E6FF8">
      <w:pPr>
        <w:rPr>
          <w:rFonts w:ascii="National" w:eastAsia="National" w:hAnsi="National" w:cs="National"/>
          <w:b/>
          <w:color w:val="303AB2"/>
          <w:sz w:val="14"/>
          <w:szCs w:val="14"/>
        </w:rPr>
      </w:pPr>
    </w:p>
    <w:p w14:paraId="7A0F7C0D" w14:textId="77777777" w:rsidR="004E6FF8" w:rsidRDefault="004E6FF8">
      <w:pPr>
        <w:tabs>
          <w:tab w:val="left" w:pos="6804"/>
        </w:tabs>
        <w:rPr>
          <w:rFonts w:ascii="National" w:eastAsia="National" w:hAnsi="National" w:cs="National"/>
          <w:b/>
          <w:color w:val="303AB2"/>
          <w:sz w:val="14"/>
          <w:szCs w:val="14"/>
        </w:rPr>
      </w:pPr>
    </w:p>
    <w:p w14:paraId="3F16FCD4" w14:textId="77777777" w:rsidR="004E6FF8"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España ha pasado de una variación interanual del 9,7% de julio de 2023 al 9% detectado en el mismo periodo de 2024</w:t>
      </w:r>
    </w:p>
    <w:p w14:paraId="6FEE1F77" w14:textId="77777777" w:rsidR="004E6FF8"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precio mensual de la vivienda en venta sube un 0,7% y sitúa su precio en 2.344 euros/m</w:t>
      </w:r>
      <w:r>
        <w:rPr>
          <w:rFonts w:ascii="Open Sans" w:eastAsia="Open Sans" w:hAnsi="Open Sans" w:cs="Open Sans"/>
          <w:color w:val="303AB2"/>
          <w:vertAlign w:val="superscript"/>
        </w:rPr>
        <w:t>2</w:t>
      </w:r>
    </w:p>
    <w:p w14:paraId="1D39F8E4" w14:textId="77777777" w:rsidR="004E6FF8"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Eivissa, Andratx, Donostia - San Sebastián, Zarautz y Calvià son las cinco ciudades más caras de España</w:t>
      </w:r>
    </w:p>
    <w:p w14:paraId="540E0297" w14:textId="1AA359F0" w:rsidR="004E6FF8" w:rsidRPr="00B426DF" w:rsidRDefault="00000000">
      <w:pPr>
        <w:numPr>
          <w:ilvl w:val="0"/>
          <w:numId w:val="1"/>
        </w:numPr>
        <w:pBdr>
          <w:top w:val="nil"/>
          <w:left w:val="nil"/>
          <w:bottom w:val="nil"/>
          <w:right w:val="nil"/>
          <w:between w:val="nil"/>
        </w:pBdr>
        <w:spacing w:line="276" w:lineRule="auto"/>
        <w:jc w:val="both"/>
        <w:rPr>
          <w:rFonts w:ascii="Open Sans" w:eastAsia="Open Sans" w:hAnsi="Open Sans" w:cs="Open Sans"/>
          <w:b/>
          <w:bCs/>
          <w:color w:val="303AB2"/>
        </w:rPr>
      </w:pPr>
      <w:hyperlink r:id="rId9" w:history="1">
        <w:r w:rsidR="00B426DF" w:rsidRPr="00B426DF">
          <w:rPr>
            <w:rStyle w:val="Hipervnculo"/>
            <w:rFonts w:ascii="Open Sans" w:eastAsia="Open Sans" w:hAnsi="Open Sans" w:cs="Open Sans"/>
            <w:b/>
            <w:bCs/>
          </w:rPr>
          <w:t>Aquí se puede ver un vídeo con la valoración de la directora de Estudios de Fotocasa</w:t>
        </w:r>
      </w:hyperlink>
    </w:p>
    <w:p w14:paraId="38864ACD" w14:textId="77777777" w:rsidR="004E6FF8" w:rsidRDefault="004E6FF8">
      <w:pPr>
        <w:pBdr>
          <w:top w:val="nil"/>
          <w:left w:val="nil"/>
          <w:bottom w:val="nil"/>
          <w:right w:val="nil"/>
          <w:between w:val="nil"/>
        </w:pBdr>
        <w:spacing w:line="276" w:lineRule="auto"/>
        <w:ind w:left="720"/>
        <w:jc w:val="both"/>
        <w:rPr>
          <w:rFonts w:ascii="Open Sans Light" w:eastAsia="Open Sans Light" w:hAnsi="Open Sans Light" w:cs="Open Sans Light"/>
          <w:b/>
          <w:color w:val="303AB2"/>
          <w:sz w:val="22"/>
          <w:szCs w:val="22"/>
        </w:rPr>
      </w:pPr>
    </w:p>
    <w:p w14:paraId="12F05C30" w14:textId="77777777" w:rsidR="004E6FF8" w:rsidRDefault="00000000">
      <w:pPr>
        <w:pBdr>
          <w:top w:val="nil"/>
          <w:left w:val="nil"/>
          <w:bottom w:val="nil"/>
          <w:right w:val="nil"/>
          <w:between w:val="nil"/>
        </w:pBdr>
        <w:spacing w:line="276" w:lineRule="auto"/>
        <w:ind w:left="720" w:hanging="720"/>
        <w:jc w:val="both"/>
        <w:rPr>
          <w:rFonts w:ascii="Open Sans Light" w:eastAsia="Open Sans Light" w:hAnsi="Open Sans Light" w:cs="Open Sans Light"/>
          <w:b/>
          <w:color w:val="303AB2"/>
          <w:sz w:val="22"/>
          <w:szCs w:val="22"/>
        </w:rPr>
      </w:pPr>
      <w:bookmarkStart w:id="0" w:name="_heading=h.gjdgxs" w:colFirst="0" w:colLast="0"/>
      <w:bookmarkEnd w:id="0"/>
      <w:r>
        <w:rPr>
          <w:rFonts w:ascii="Open Sans Light" w:eastAsia="Open Sans Light" w:hAnsi="Open Sans Light" w:cs="Open Sans Light"/>
          <w:b/>
          <w:color w:val="303AB2"/>
          <w:sz w:val="22"/>
          <w:szCs w:val="22"/>
        </w:rPr>
        <w:t>Madrid, 6 de agosto de 2024</w:t>
      </w:r>
    </w:p>
    <w:p w14:paraId="2A0D5C61" w14:textId="77777777" w:rsidR="004E6FF8"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España sube un 0,7% la variación mensual del precio de la vivienda de segunda mano y un 9% en su variación interanual, situando su precio en 2.344 euros/m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en julio, según los datos del Índice Inmobiliario </w:t>
      </w:r>
      <w:hyperlink r:id="rId10">
        <w:r>
          <w:rPr>
            <w:rFonts w:ascii="Open Sans" w:eastAsia="Open Sans" w:hAnsi="Open Sans" w:cs="Open Sans"/>
            <w:color w:val="0000FF"/>
            <w:u w:val="single"/>
          </w:rPr>
          <w:t>Fotocasa</w:t>
        </w:r>
      </w:hyperlink>
      <w:r>
        <w:rPr>
          <w:rFonts w:ascii="Open Sans" w:eastAsia="Open Sans" w:hAnsi="Open Sans" w:cs="Open Sans"/>
          <w:color w:val="000000"/>
        </w:rPr>
        <w:t xml:space="preserve">. Este último valor interanual (9%) es el incremento más alto de los últimos 12 meses. </w:t>
      </w:r>
    </w:p>
    <w:p w14:paraId="5D9DBEE4" w14:textId="77777777" w:rsidR="004E6FF8" w:rsidRDefault="00000000">
      <w:pPr>
        <w:pBdr>
          <w:top w:val="nil"/>
          <w:left w:val="nil"/>
          <w:bottom w:val="nil"/>
          <w:right w:val="nil"/>
          <w:between w:val="nil"/>
        </w:pBdr>
        <w:shd w:val="clear" w:color="auto" w:fill="FFFFFF"/>
        <w:tabs>
          <w:tab w:val="left" w:pos="3119"/>
        </w:tabs>
        <w:spacing w:before="280" w:after="280" w:line="276" w:lineRule="auto"/>
        <w:jc w:val="center"/>
        <w:rPr>
          <w:rFonts w:ascii="Open Sans" w:eastAsia="Open Sans" w:hAnsi="Open Sans" w:cs="Open Sans"/>
          <w:color w:val="000000"/>
        </w:rPr>
      </w:pPr>
      <w:r>
        <w:rPr>
          <w:rFonts w:ascii="Open Sans" w:eastAsia="Open Sans" w:hAnsi="Open Sans" w:cs="Open Sans"/>
          <w:b/>
          <w:color w:val="303AB2"/>
          <w:sz w:val="26"/>
          <w:szCs w:val="26"/>
        </w:rPr>
        <w:t>Variación mensual e interanual de España</w:t>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176F8561" wp14:editId="2C5C9309">
            <wp:extent cx="5760720" cy="2374710"/>
            <wp:effectExtent l="0" t="0" r="0" b="0"/>
            <wp:docPr id="1302301069" name="Gráfico 1302301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B11FE0" w14:textId="4BA36FFD" w:rsidR="004E6FF8"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b/>
        </w:rPr>
      </w:pPr>
      <w:r>
        <w:rPr>
          <w:rFonts w:ascii="Open Sans" w:eastAsia="Open Sans" w:hAnsi="Open Sans" w:cs="Open Sans"/>
        </w:rPr>
        <w:lastRenderedPageBreak/>
        <w:t xml:space="preserve">“Se cumplen dos años del encarecimiento abultado del precio de la vivienda. Una tendencia coincidente con el inicio de la subida de tipos de interés en julio de 2022 y que se ha mantenido a pesar de las restricciones de acceso al crédito impuestas por la nueva política monetaria del Banco Central Europeo. La razón principal de este incremento en el precio es el desequilibrio existente entre la alta e intensa demanda y la limitada oferta de vivienda que crean una fuerte presión al alza en los precios. Esta demanda de compra se enfrenta, además, a una escasez de nuevas viviendas, causada por las restricciones en el desarrollo urbano, la falta de suelos disponibles y los altos costes de construcción, lo que ha generado una tensión en los precios difícil de equilibrar. Los indicadores del mercado laboral y las tasas de renta familiares indican que la demanda se mantendrá fuerte, por lo que los precios continuarán presentando subidas. Las principales plazas con mayor poder de atracción poblacional y turística son las que presentarán incrementos más </w:t>
      </w:r>
      <w:r w:rsidR="00D24E3E">
        <w:rPr>
          <w:rFonts w:ascii="Open Sans" w:eastAsia="Open Sans" w:hAnsi="Open Sans" w:cs="Open Sans"/>
        </w:rPr>
        <w:t>significativos “</w:t>
      </w:r>
      <w:r>
        <w:rPr>
          <w:rFonts w:ascii="Open Sans" w:eastAsia="Open Sans" w:hAnsi="Open Sans" w:cs="Open Sans"/>
        </w:rPr>
        <w:t xml:space="preserve">, </w:t>
      </w:r>
      <w:r>
        <w:rPr>
          <w:rFonts w:ascii="Open Sans" w:eastAsia="Open Sans" w:hAnsi="Open Sans" w:cs="Open Sans"/>
          <w:b/>
        </w:rPr>
        <w:t xml:space="preserve">explica María Matos, directora de Estudios y portavoz de </w:t>
      </w:r>
      <w:hyperlink r:id="rId12">
        <w:r>
          <w:rPr>
            <w:rFonts w:ascii="Open Sans" w:eastAsia="Open Sans" w:hAnsi="Open Sans" w:cs="Open Sans"/>
            <w:b/>
            <w:color w:val="0000FF"/>
            <w:u w:val="single"/>
          </w:rPr>
          <w:t>Fotocasa</w:t>
        </w:r>
      </w:hyperlink>
      <w:r>
        <w:rPr>
          <w:rFonts w:ascii="Open Sans" w:eastAsia="Open Sans" w:hAnsi="Open Sans" w:cs="Open Sans"/>
          <w:b/>
        </w:rPr>
        <w:t xml:space="preserve">. </w:t>
      </w:r>
    </w:p>
    <w:p w14:paraId="666AFE5C" w14:textId="0A87351D" w:rsidR="00B426DF" w:rsidRDefault="00000000" w:rsidP="00B426DF">
      <w:pPr>
        <w:pBdr>
          <w:top w:val="nil"/>
          <w:left w:val="nil"/>
          <w:bottom w:val="nil"/>
          <w:right w:val="nil"/>
          <w:between w:val="nil"/>
        </w:pBdr>
        <w:shd w:val="clear" w:color="auto" w:fill="FFFFFF"/>
        <w:tabs>
          <w:tab w:val="left" w:pos="3119"/>
        </w:tabs>
        <w:spacing w:before="280" w:after="280" w:line="276" w:lineRule="auto"/>
        <w:jc w:val="center"/>
        <w:rPr>
          <w:rFonts w:ascii="Open Sans" w:eastAsia="Open Sans" w:hAnsi="Open Sans" w:cs="Open Sans"/>
          <w:b/>
        </w:rPr>
      </w:pPr>
      <w:hyperlink r:id="rId13" w:history="1">
        <w:r w:rsidR="00B426DF" w:rsidRPr="00B426DF">
          <w:rPr>
            <w:rStyle w:val="Hipervnculo"/>
            <w:rFonts w:ascii="Open Sans" w:eastAsia="Open Sans" w:hAnsi="Open Sans" w:cs="Open Sans"/>
            <w:b/>
          </w:rPr>
          <w:t>Declaraciones de María Matos, directora de Estudios de Fotocasa</w:t>
        </w:r>
      </w:hyperlink>
    </w:p>
    <w:p w14:paraId="617F3619" w14:textId="2836940D" w:rsidR="00B426DF" w:rsidRPr="00B426DF" w:rsidRDefault="00B426DF" w:rsidP="00B426DF">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b/>
          <w:lang w:val="es-ES"/>
        </w:rPr>
      </w:pPr>
      <w:r w:rsidRPr="00B426DF">
        <w:rPr>
          <w:rFonts w:ascii="Open Sans" w:eastAsia="Open Sans" w:hAnsi="Open Sans" w:cs="Open Sans"/>
          <w:b/>
          <w:noProof/>
          <w:lang w:val="es-ES"/>
        </w:rPr>
        <w:drawing>
          <wp:inline distT="0" distB="0" distL="0" distR="0" wp14:anchorId="3A517195" wp14:editId="69749681">
            <wp:extent cx="5760720" cy="2973705"/>
            <wp:effectExtent l="0" t="0" r="0" b="0"/>
            <wp:docPr id="171774302" name="Imagen 2" descr="Interfaz de usuario gráfica, Aplicación&#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4302" name="Imagen 2" descr="Interfaz de usuario gráfica, Aplicación&#10;&#10;Descripción generada automáticamente">
                      <a:hlinkClick r:id="rId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973705"/>
                    </a:xfrm>
                    <a:prstGeom prst="rect">
                      <a:avLst/>
                    </a:prstGeom>
                    <a:noFill/>
                    <a:ln>
                      <a:noFill/>
                    </a:ln>
                  </pic:spPr>
                </pic:pic>
              </a:graphicData>
            </a:graphic>
          </wp:inline>
        </w:drawing>
      </w:r>
    </w:p>
    <w:p w14:paraId="3355BAA0" w14:textId="77777777" w:rsidR="00375D6C" w:rsidRDefault="00375D6C" w:rsidP="00375D6C">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Así, España </w:t>
      </w:r>
      <w:r>
        <w:rPr>
          <w:rFonts w:ascii="Open Sans" w:eastAsia="Open Sans" w:hAnsi="Open Sans" w:cs="Open Sans"/>
          <w:b/>
          <w:color w:val="000000"/>
        </w:rPr>
        <w:t>ha pasado de una variación interanual del 9,7% de julio de 2023 al 9% detectado en el mismo periodo de 2024.</w:t>
      </w:r>
      <w:r>
        <w:rPr>
          <w:rFonts w:ascii="Open Sans" w:eastAsia="Open Sans" w:hAnsi="Open Sans" w:cs="Open Sans"/>
          <w:color w:val="000000"/>
        </w:rPr>
        <w:t xml:space="preserve"> En los últimos 12 meses analizados el precio de la vivienda se ha incrementado 194 euros por metro cuadrado, es decir, ha pasado de los 2.150 euros/m</w:t>
      </w:r>
      <w:r>
        <w:rPr>
          <w:rFonts w:ascii="Open Sans" w:eastAsia="Open Sans" w:hAnsi="Open Sans" w:cs="Open Sans"/>
          <w:color w:val="000000"/>
          <w:vertAlign w:val="superscript"/>
        </w:rPr>
        <w:t>2</w:t>
      </w:r>
      <w:r>
        <w:rPr>
          <w:rFonts w:ascii="Open Sans" w:eastAsia="Open Sans" w:hAnsi="Open Sans" w:cs="Open Sans"/>
          <w:color w:val="000000"/>
        </w:rPr>
        <w:t xml:space="preserve"> de julio de 2023 a los 2.344 euros/m</w:t>
      </w:r>
      <w:r>
        <w:rPr>
          <w:rFonts w:ascii="Open Sans" w:eastAsia="Open Sans" w:hAnsi="Open Sans" w:cs="Open Sans"/>
          <w:color w:val="000000"/>
          <w:vertAlign w:val="superscript"/>
        </w:rPr>
        <w:t>2</w:t>
      </w:r>
      <w:r>
        <w:rPr>
          <w:rFonts w:ascii="Open Sans" w:eastAsia="Open Sans" w:hAnsi="Open Sans" w:cs="Open Sans"/>
          <w:color w:val="000000"/>
        </w:rPr>
        <w:t xml:space="preserve"> de julio de 2024. </w:t>
      </w:r>
    </w:p>
    <w:p w14:paraId="7AE554E1" w14:textId="77777777" w:rsidR="00375D6C" w:rsidRDefault="00375D6C" w:rsidP="00375D6C">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lastRenderedPageBreak/>
        <w:t xml:space="preserve">Si analizamos los precios de la vivienda en venta respecto a los de hace un año, vemos que 17 comunidades incrementan el precio interanual en julio. Los incrementos superiores al 10% </w:t>
      </w:r>
      <w:r>
        <w:rPr>
          <w:rFonts w:ascii="Open Sans" w:eastAsia="Open Sans" w:hAnsi="Open Sans" w:cs="Open Sans"/>
        </w:rPr>
        <w:t>afectan</w:t>
      </w:r>
      <w:r>
        <w:rPr>
          <w:rFonts w:ascii="Open Sans" w:eastAsia="Open Sans" w:hAnsi="Open Sans" w:cs="Open Sans"/>
          <w:color w:val="000000"/>
        </w:rPr>
        <w:t xml:space="preserve"> a cinco comunidades y son: Madrid (21,7%), Canarias (16,1%), Baleares (14,9%), Comunitat Valenciana (13,7%) y Andalucía (12,3%). Le siguen las comunidades de Región de Murcia (9,0%), Galicia (7,9%), Cantabria (7,0%), País Vasco (6,9%), Asturias (5,3%), Cataluña (4,7%), Castilla-La Mancha (3,2%), Castilla y León (3,2%), Aragón (3,1%), Navarra (2,9%), La Rioja (2,2%), Extremadura (1,2%).</w:t>
      </w:r>
    </w:p>
    <w:p w14:paraId="4AF623E3" w14:textId="77777777" w:rsidR="00375D6C" w:rsidRDefault="00375D6C" w:rsidP="00375D6C">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cuanto al ranking de Comunidades Autónomas (CC.AA.) con </w:t>
      </w:r>
      <w:r>
        <w:rPr>
          <w:rFonts w:ascii="Open Sans" w:eastAsia="Open Sans" w:hAnsi="Open Sans" w:cs="Open Sans"/>
          <w:b/>
          <w:color w:val="000000"/>
        </w:rPr>
        <w:t>el precio de la vivienda de segunda mano más caras en España, se encuentran Baleares y Madrid con los precios de 4.273 euros/m</w:t>
      </w:r>
      <w:r>
        <w:rPr>
          <w:rFonts w:ascii="Open Sans" w:eastAsia="Open Sans" w:hAnsi="Open Sans" w:cs="Open Sans"/>
          <w:b/>
          <w:color w:val="000000"/>
          <w:vertAlign w:val="superscript"/>
        </w:rPr>
        <w:t>2</w:t>
      </w:r>
      <w:r>
        <w:rPr>
          <w:rFonts w:ascii="Open Sans" w:eastAsia="Open Sans" w:hAnsi="Open Sans" w:cs="Open Sans"/>
          <w:b/>
          <w:color w:val="000000"/>
        </w:rPr>
        <w:t xml:space="preserve"> y los 4.254 euros/m</w:t>
      </w:r>
      <w:r>
        <w:rPr>
          <w:rFonts w:ascii="Open Sans" w:eastAsia="Open Sans" w:hAnsi="Open Sans" w:cs="Open Sans"/>
          <w:b/>
          <w:color w:val="000000"/>
          <w:vertAlign w:val="superscript"/>
        </w:rPr>
        <w:t>2</w:t>
      </w:r>
      <w:r>
        <w:rPr>
          <w:rFonts w:ascii="Open Sans" w:eastAsia="Open Sans" w:hAnsi="Open Sans" w:cs="Open Sans"/>
          <w:color w:val="000000"/>
        </w:rPr>
        <w:t>, respectivamente. Le siguen, País Vasco con 3.218 euros/m</w:t>
      </w:r>
      <w:r>
        <w:rPr>
          <w:rFonts w:ascii="Open Sans" w:eastAsia="Open Sans" w:hAnsi="Open Sans" w:cs="Open Sans"/>
          <w:color w:val="000000"/>
          <w:vertAlign w:val="superscript"/>
        </w:rPr>
        <w:t>2</w:t>
      </w:r>
      <w:r>
        <w:rPr>
          <w:rFonts w:ascii="Open Sans" w:eastAsia="Open Sans" w:hAnsi="Open Sans" w:cs="Open Sans"/>
          <w:color w:val="000000"/>
        </w:rPr>
        <w:t>, Cataluña con 2.883 euros/m</w:t>
      </w:r>
      <w:r>
        <w:rPr>
          <w:rFonts w:ascii="Open Sans" w:eastAsia="Open Sans" w:hAnsi="Open Sans" w:cs="Open Sans"/>
          <w:color w:val="000000"/>
          <w:vertAlign w:val="superscript"/>
        </w:rPr>
        <w:t>2</w:t>
      </w:r>
      <w:r>
        <w:rPr>
          <w:rFonts w:ascii="Open Sans" w:eastAsia="Open Sans" w:hAnsi="Open Sans" w:cs="Open Sans"/>
          <w:color w:val="000000"/>
        </w:rPr>
        <w:t>, Canarias con 2.577 euros/m</w:t>
      </w:r>
      <w:r>
        <w:rPr>
          <w:rFonts w:ascii="Open Sans" w:eastAsia="Open Sans" w:hAnsi="Open Sans" w:cs="Open Sans"/>
          <w:color w:val="000000"/>
          <w:vertAlign w:val="superscript"/>
        </w:rPr>
        <w:t>2</w:t>
      </w:r>
      <w:r>
        <w:rPr>
          <w:rFonts w:ascii="Open Sans" w:eastAsia="Open Sans" w:hAnsi="Open Sans" w:cs="Open Sans"/>
          <w:color w:val="000000"/>
        </w:rPr>
        <w:t>, Andalucía con 2.147 euros/m</w:t>
      </w:r>
      <w:r>
        <w:rPr>
          <w:rFonts w:ascii="Open Sans" w:eastAsia="Open Sans" w:hAnsi="Open Sans" w:cs="Open Sans"/>
          <w:color w:val="000000"/>
          <w:vertAlign w:val="superscript"/>
        </w:rPr>
        <w:t>2</w:t>
      </w:r>
      <w:r>
        <w:rPr>
          <w:rFonts w:ascii="Open Sans" w:eastAsia="Open Sans" w:hAnsi="Open Sans" w:cs="Open Sans"/>
          <w:color w:val="000000"/>
        </w:rPr>
        <w:t>, Navarra con 2.079 euros/m</w:t>
      </w:r>
      <w:r>
        <w:rPr>
          <w:rFonts w:ascii="Open Sans" w:eastAsia="Open Sans" w:hAnsi="Open Sans" w:cs="Open Sans"/>
          <w:color w:val="000000"/>
          <w:vertAlign w:val="superscript"/>
        </w:rPr>
        <w:t>2</w:t>
      </w:r>
      <w:r>
        <w:rPr>
          <w:rFonts w:ascii="Open Sans" w:eastAsia="Open Sans" w:hAnsi="Open Sans" w:cs="Open Sans"/>
          <w:color w:val="000000"/>
        </w:rPr>
        <w:t>, Cantabria con 2.005 euros/m</w:t>
      </w:r>
      <w:r>
        <w:rPr>
          <w:rFonts w:ascii="Open Sans" w:eastAsia="Open Sans" w:hAnsi="Open Sans" w:cs="Open Sans"/>
          <w:color w:val="000000"/>
          <w:vertAlign w:val="superscript"/>
        </w:rPr>
        <w:t>2</w:t>
      </w:r>
      <w:r>
        <w:rPr>
          <w:rFonts w:ascii="Open Sans" w:eastAsia="Open Sans" w:hAnsi="Open Sans" w:cs="Open Sans"/>
          <w:color w:val="000000"/>
        </w:rPr>
        <w:t>, Comunitat Valenciana con 1.945 euros/m</w:t>
      </w:r>
      <w:r>
        <w:rPr>
          <w:rFonts w:ascii="Open Sans" w:eastAsia="Open Sans" w:hAnsi="Open Sans" w:cs="Open Sans"/>
          <w:color w:val="000000"/>
          <w:vertAlign w:val="superscript"/>
        </w:rPr>
        <w:t>2</w:t>
      </w:r>
      <w:r>
        <w:rPr>
          <w:rFonts w:ascii="Open Sans" w:eastAsia="Open Sans" w:hAnsi="Open Sans" w:cs="Open Sans"/>
          <w:color w:val="000000"/>
        </w:rPr>
        <w:t>, Galicia con 1.828 euros/m</w:t>
      </w:r>
      <w:r>
        <w:rPr>
          <w:rFonts w:ascii="Open Sans" w:eastAsia="Open Sans" w:hAnsi="Open Sans" w:cs="Open Sans"/>
          <w:color w:val="000000"/>
          <w:vertAlign w:val="superscript"/>
        </w:rPr>
        <w:t>2</w:t>
      </w:r>
      <w:r>
        <w:rPr>
          <w:rFonts w:ascii="Open Sans" w:eastAsia="Open Sans" w:hAnsi="Open Sans" w:cs="Open Sans"/>
          <w:color w:val="000000"/>
        </w:rPr>
        <w:t>, Aragón con 1.756 euros/m</w:t>
      </w:r>
      <w:r>
        <w:rPr>
          <w:rFonts w:ascii="Open Sans" w:eastAsia="Open Sans" w:hAnsi="Open Sans" w:cs="Open Sans"/>
          <w:color w:val="000000"/>
          <w:vertAlign w:val="superscript"/>
        </w:rPr>
        <w:t>2</w:t>
      </w:r>
      <w:r>
        <w:rPr>
          <w:rFonts w:ascii="Open Sans" w:eastAsia="Open Sans" w:hAnsi="Open Sans" w:cs="Open Sans"/>
          <w:color w:val="000000"/>
        </w:rPr>
        <w:t>, Asturias con 1.714 euros/m</w:t>
      </w:r>
      <w:r>
        <w:rPr>
          <w:rFonts w:ascii="Open Sans" w:eastAsia="Open Sans" w:hAnsi="Open Sans" w:cs="Open Sans"/>
          <w:color w:val="000000"/>
          <w:vertAlign w:val="superscript"/>
        </w:rPr>
        <w:t>2</w:t>
      </w:r>
      <w:r>
        <w:rPr>
          <w:rFonts w:ascii="Open Sans" w:eastAsia="Open Sans" w:hAnsi="Open Sans" w:cs="Open Sans"/>
          <w:color w:val="000000"/>
        </w:rPr>
        <w:t>, La Rioja con 1.665 euros/m</w:t>
      </w:r>
      <w:r>
        <w:rPr>
          <w:rFonts w:ascii="Open Sans" w:eastAsia="Open Sans" w:hAnsi="Open Sans" w:cs="Open Sans"/>
          <w:color w:val="000000"/>
          <w:vertAlign w:val="superscript"/>
        </w:rPr>
        <w:t>2</w:t>
      </w:r>
      <w:r>
        <w:rPr>
          <w:rFonts w:ascii="Open Sans" w:eastAsia="Open Sans" w:hAnsi="Open Sans" w:cs="Open Sans"/>
          <w:color w:val="000000"/>
        </w:rPr>
        <w:t>, Castilla y León con 1.505 euros/m</w:t>
      </w:r>
      <w:r>
        <w:rPr>
          <w:rFonts w:ascii="Open Sans" w:eastAsia="Open Sans" w:hAnsi="Open Sans" w:cs="Open Sans"/>
          <w:color w:val="000000"/>
          <w:vertAlign w:val="superscript"/>
        </w:rPr>
        <w:t>2</w:t>
      </w:r>
      <w:r>
        <w:rPr>
          <w:rFonts w:ascii="Open Sans" w:eastAsia="Open Sans" w:hAnsi="Open Sans" w:cs="Open Sans"/>
          <w:color w:val="000000"/>
        </w:rPr>
        <w:t>, Región de Murcia con 1.393 euros/m</w:t>
      </w:r>
      <w:r>
        <w:rPr>
          <w:rFonts w:ascii="Open Sans" w:eastAsia="Open Sans" w:hAnsi="Open Sans" w:cs="Open Sans"/>
          <w:color w:val="000000"/>
          <w:vertAlign w:val="superscript"/>
        </w:rPr>
        <w:t>2</w:t>
      </w:r>
      <w:r>
        <w:rPr>
          <w:rFonts w:ascii="Open Sans" w:eastAsia="Open Sans" w:hAnsi="Open Sans" w:cs="Open Sans"/>
          <w:color w:val="000000"/>
        </w:rPr>
        <w:t>, Castilla-La Mancha con 1.223 euros/m</w:t>
      </w:r>
      <w:r>
        <w:rPr>
          <w:rFonts w:ascii="Open Sans" w:eastAsia="Open Sans" w:hAnsi="Open Sans" w:cs="Open Sans"/>
          <w:color w:val="000000"/>
          <w:vertAlign w:val="superscript"/>
        </w:rPr>
        <w:t>2</w:t>
      </w:r>
      <w:r>
        <w:rPr>
          <w:rFonts w:ascii="Open Sans" w:eastAsia="Open Sans" w:hAnsi="Open Sans" w:cs="Open Sans"/>
          <w:color w:val="000000"/>
        </w:rPr>
        <w:t xml:space="preserve"> y Extremadura con 1.220 euros/m</w:t>
      </w:r>
      <w:r>
        <w:rPr>
          <w:rFonts w:ascii="Open Sans" w:eastAsia="Open Sans" w:hAnsi="Open Sans" w:cs="Open Sans"/>
          <w:color w:val="000000"/>
          <w:vertAlign w:val="superscript"/>
        </w:rPr>
        <w:t>2</w:t>
      </w:r>
      <w:r>
        <w:rPr>
          <w:rFonts w:ascii="Open Sans" w:eastAsia="Open Sans" w:hAnsi="Open Sans" w:cs="Open Sans"/>
          <w:color w:val="000000"/>
        </w:rPr>
        <w:t>.</w:t>
      </w:r>
    </w:p>
    <w:p w14:paraId="29D6E6BB" w14:textId="77777777" w:rsidR="004E6FF8"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CCAA de mayor a menor incremento interanual</w:t>
      </w:r>
    </w:p>
    <w:tbl>
      <w:tblPr>
        <w:tblStyle w:val="a"/>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4E6FF8" w14:paraId="6509E3B9" w14:textId="77777777" w:rsidTr="004E6FF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45E5FD6"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701" w:type="dxa"/>
            <w:vAlign w:val="center"/>
          </w:tcPr>
          <w:p w14:paraId="238F6EA8"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5094FBAC"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7E87CAC0"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3A7A1CB7"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79AC60C8"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4E6FF8" w14:paraId="295215F7" w14:textId="77777777" w:rsidTr="004E6F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7720ED7" w14:textId="0973910F"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Madrid </w:t>
            </w:r>
          </w:p>
        </w:tc>
        <w:tc>
          <w:tcPr>
            <w:tcW w:w="1701" w:type="dxa"/>
            <w:vAlign w:val="bottom"/>
          </w:tcPr>
          <w:p w14:paraId="7DB037C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4.254 €</w:t>
            </w:r>
          </w:p>
        </w:tc>
        <w:tc>
          <w:tcPr>
            <w:tcW w:w="1559" w:type="dxa"/>
            <w:vAlign w:val="bottom"/>
          </w:tcPr>
          <w:p w14:paraId="6C57C54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0,9%</w:t>
            </w:r>
          </w:p>
        </w:tc>
        <w:tc>
          <w:tcPr>
            <w:tcW w:w="1701" w:type="dxa"/>
            <w:vAlign w:val="bottom"/>
          </w:tcPr>
          <w:p w14:paraId="7E38DAE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21,7%</w:t>
            </w:r>
          </w:p>
        </w:tc>
        <w:tc>
          <w:tcPr>
            <w:tcW w:w="1700" w:type="dxa"/>
            <w:vAlign w:val="bottom"/>
          </w:tcPr>
          <w:p w14:paraId="66320E0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81,5%</w:t>
            </w:r>
          </w:p>
        </w:tc>
      </w:tr>
      <w:tr w:rsidR="004E6FF8" w14:paraId="0354F224" w14:textId="77777777" w:rsidTr="004E6FF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D216744" w14:textId="7581A3BD"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Canarias </w:t>
            </w:r>
          </w:p>
        </w:tc>
        <w:tc>
          <w:tcPr>
            <w:tcW w:w="1701" w:type="dxa"/>
            <w:vAlign w:val="bottom"/>
          </w:tcPr>
          <w:p w14:paraId="158380E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2.577 €</w:t>
            </w:r>
          </w:p>
        </w:tc>
        <w:tc>
          <w:tcPr>
            <w:tcW w:w="1559" w:type="dxa"/>
            <w:vAlign w:val="bottom"/>
          </w:tcPr>
          <w:p w14:paraId="70F6138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-0,17%</w:t>
            </w:r>
          </w:p>
        </w:tc>
        <w:tc>
          <w:tcPr>
            <w:tcW w:w="1701" w:type="dxa"/>
            <w:vAlign w:val="bottom"/>
          </w:tcPr>
          <w:p w14:paraId="2B57556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16,1%</w:t>
            </w:r>
          </w:p>
        </w:tc>
        <w:tc>
          <w:tcPr>
            <w:tcW w:w="1700" w:type="dxa"/>
            <w:vAlign w:val="bottom"/>
          </w:tcPr>
          <w:p w14:paraId="5073BE3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w:t>
            </w:r>
          </w:p>
        </w:tc>
      </w:tr>
      <w:tr w:rsidR="004E6FF8" w14:paraId="2C78EE75" w14:textId="77777777" w:rsidTr="004E6F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CD9FE5B" w14:textId="65AE9471"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Baleares </w:t>
            </w:r>
          </w:p>
        </w:tc>
        <w:tc>
          <w:tcPr>
            <w:tcW w:w="1701" w:type="dxa"/>
            <w:vAlign w:val="bottom"/>
          </w:tcPr>
          <w:p w14:paraId="01FFDA8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4.273 €</w:t>
            </w:r>
          </w:p>
        </w:tc>
        <w:tc>
          <w:tcPr>
            <w:tcW w:w="1559" w:type="dxa"/>
            <w:vAlign w:val="bottom"/>
          </w:tcPr>
          <w:p w14:paraId="4F6E519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563C053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14,9%</w:t>
            </w:r>
          </w:p>
        </w:tc>
        <w:tc>
          <w:tcPr>
            <w:tcW w:w="1700" w:type="dxa"/>
            <w:vAlign w:val="bottom"/>
          </w:tcPr>
          <w:p w14:paraId="579FE74A"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82,3%</w:t>
            </w:r>
          </w:p>
        </w:tc>
      </w:tr>
      <w:tr w:rsidR="004E6FF8" w14:paraId="7B8773EC" w14:textId="77777777" w:rsidTr="004E6FF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660B98C" w14:textId="580C29DB"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Comunitat Valenciana </w:t>
            </w:r>
          </w:p>
        </w:tc>
        <w:tc>
          <w:tcPr>
            <w:tcW w:w="1701" w:type="dxa"/>
            <w:vAlign w:val="bottom"/>
          </w:tcPr>
          <w:p w14:paraId="37BB0ECB"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1.945 €</w:t>
            </w:r>
          </w:p>
        </w:tc>
        <w:tc>
          <w:tcPr>
            <w:tcW w:w="1559" w:type="dxa"/>
            <w:vAlign w:val="bottom"/>
          </w:tcPr>
          <w:p w14:paraId="1E3360E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w:t>
            </w:r>
          </w:p>
        </w:tc>
        <w:tc>
          <w:tcPr>
            <w:tcW w:w="1701" w:type="dxa"/>
            <w:vAlign w:val="bottom"/>
          </w:tcPr>
          <w:p w14:paraId="341971F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13,7%</w:t>
            </w:r>
          </w:p>
        </w:tc>
        <w:tc>
          <w:tcPr>
            <w:tcW w:w="1700" w:type="dxa"/>
            <w:vAlign w:val="bottom"/>
          </w:tcPr>
          <w:p w14:paraId="4F3691E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-17,0%</w:t>
            </w:r>
          </w:p>
        </w:tc>
      </w:tr>
      <w:tr w:rsidR="004E6FF8" w14:paraId="4D495531" w14:textId="77777777" w:rsidTr="004E6F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677295C" w14:textId="3190A89E"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Andalucía </w:t>
            </w:r>
          </w:p>
        </w:tc>
        <w:tc>
          <w:tcPr>
            <w:tcW w:w="1701" w:type="dxa"/>
            <w:vAlign w:val="bottom"/>
          </w:tcPr>
          <w:p w14:paraId="747A756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2.147 €</w:t>
            </w:r>
          </w:p>
        </w:tc>
        <w:tc>
          <w:tcPr>
            <w:tcW w:w="1559" w:type="dxa"/>
            <w:vAlign w:val="bottom"/>
          </w:tcPr>
          <w:p w14:paraId="18F5E49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2C4FC42F"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12,3%</w:t>
            </w:r>
          </w:p>
        </w:tc>
        <w:tc>
          <w:tcPr>
            <w:tcW w:w="1700" w:type="dxa"/>
            <w:vAlign w:val="bottom"/>
          </w:tcPr>
          <w:p w14:paraId="0B26098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-8,4%</w:t>
            </w:r>
          </w:p>
        </w:tc>
      </w:tr>
      <w:tr w:rsidR="004E6FF8" w14:paraId="5932F55D" w14:textId="77777777" w:rsidTr="004E6FF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1561305" w14:textId="15A189C5"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Región de Murcia </w:t>
            </w:r>
          </w:p>
        </w:tc>
        <w:tc>
          <w:tcPr>
            <w:tcW w:w="1701" w:type="dxa"/>
            <w:vAlign w:val="bottom"/>
          </w:tcPr>
          <w:p w14:paraId="2E244E9B"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1.393 €</w:t>
            </w:r>
          </w:p>
        </w:tc>
        <w:tc>
          <w:tcPr>
            <w:tcW w:w="1559" w:type="dxa"/>
            <w:vAlign w:val="bottom"/>
          </w:tcPr>
          <w:p w14:paraId="41E8551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091549D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9,0%</w:t>
            </w:r>
          </w:p>
        </w:tc>
        <w:tc>
          <w:tcPr>
            <w:tcW w:w="1700" w:type="dxa"/>
            <w:vAlign w:val="bottom"/>
          </w:tcPr>
          <w:p w14:paraId="10BDB77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-40,6%</w:t>
            </w:r>
          </w:p>
        </w:tc>
      </w:tr>
      <w:tr w:rsidR="004E6FF8" w14:paraId="217F47A4" w14:textId="77777777" w:rsidTr="004E6F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2FBDB09"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 Galicia </w:t>
            </w:r>
          </w:p>
        </w:tc>
        <w:tc>
          <w:tcPr>
            <w:tcW w:w="1701" w:type="dxa"/>
            <w:vAlign w:val="bottom"/>
          </w:tcPr>
          <w:p w14:paraId="630EB17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1.828 €</w:t>
            </w:r>
          </w:p>
        </w:tc>
        <w:tc>
          <w:tcPr>
            <w:tcW w:w="1559" w:type="dxa"/>
            <w:vAlign w:val="bottom"/>
          </w:tcPr>
          <w:p w14:paraId="45BB5A8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3F8DCD2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7,9%</w:t>
            </w:r>
          </w:p>
        </w:tc>
        <w:tc>
          <w:tcPr>
            <w:tcW w:w="1700" w:type="dxa"/>
            <w:vAlign w:val="bottom"/>
          </w:tcPr>
          <w:p w14:paraId="3E03592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-22,0%</w:t>
            </w:r>
          </w:p>
        </w:tc>
      </w:tr>
      <w:tr w:rsidR="004E6FF8" w14:paraId="460D2CE7" w14:textId="77777777" w:rsidTr="004E6FF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AEC33B3" w14:textId="712F1245"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Cantabria </w:t>
            </w:r>
          </w:p>
        </w:tc>
        <w:tc>
          <w:tcPr>
            <w:tcW w:w="1701" w:type="dxa"/>
            <w:vAlign w:val="bottom"/>
          </w:tcPr>
          <w:p w14:paraId="42881AB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2.005 €</w:t>
            </w:r>
          </w:p>
        </w:tc>
        <w:tc>
          <w:tcPr>
            <w:tcW w:w="1559" w:type="dxa"/>
            <w:vAlign w:val="bottom"/>
          </w:tcPr>
          <w:p w14:paraId="7A74C8C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c>
          <w:tcPr>
            <w:tcW w:w="1701" w:type="dxa"/>
            <w:vAlign w:val="bottom"/>
          </w:tcPr>
          <w:p w14:paraId="6D4730E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7,0%</w:t>
            </w:r>
          </w:p>
        </w:tc>
        <w:tc>
          <w:tcPr>
            <w:tcW w:w="1700" w:type="dxa"/>
            <w:vAlign w:val="bottom"/>
          </w:tcPr>
          <w:p w14:paraId="5F2C6AE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-14,5%</w:t>
            </w:r>
          </w:p>
        </w:tc>
      </w:tr>
      <w:tr w:rsidR="004E6FF8" w14:paraId="7EBCE269" w14:textId="77777777" w:rsidTr="004E6F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2807ABB" w14:textId="35DCDAC0"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País Vasco </w:t>
            </w:r>
          </w:p>
        </w:tc>
        <w:tc>
          <w:tcPr>
            <w:tcW w:w="1701" w:type="dxa"/>
            <w:vAlign w:val="center"/>
          </w:tcPr>
          <w:p w14:paraId="15F0FF2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3.218 €</w:t>
            </w:r>
          </w:p>
        </w:tc>
        <w:tc>
          <w:tcPr>
            <w:tcW w:w="1559" w:type="dxa"/>
            <w:vAlign w:val="bottom"/>
          </w:tcPr>
          <w:p w14:paraId="5978220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w:t>
            </w:r>
          </w:p>
        </w:tc>
        <w:tc>
          <w:tcPr>
            <w:tcW w:w="1701" w:type="dxa"/>
            <w:vAlign w:val="bottom"/>
          </w:tcPr>
          <w:p w14:paraId="70BE483F"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6,9%</w:t>
            </w:r>
          </w:p>
        </w:tc>
        <w:tc>
          <w:tcPr>
            <w:tcW w:w="1700" w:type="dxa"/>
            <w:vAlign w:val="bottom"/>
          </w:tcPr>
          <w:p w14:paraId="4EE693B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37,3%</w:t>
            </w:r>
          </w:p>
        </w:tc>
      </w:tr>
      <w:tr w:rsidR="004E6FF8" w14:paraId="2286A1B9" w14:textId="77777777" w:rsidTr="004E6FF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F46D2AD" w14:textId="74C0D0FD"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Asturias </w:t>
            </w:r>
          </w:p>
        </w:tc>
        <w:tc>
          <w:tcPr>
            <w:tcW w:w="1701" w:type="dxa"/>
            <w:vAlign w:val="bottom"/>
          </w:tcPr>
          <w:p w14:paraId="4B0D0C7E"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1.714 €</w:t>
            </w:r>
          </w:p>
        </w:tc>
        <w:tc>
          <w:tcPr>
            <w:tcW w:w="1559" w:type="dxa"/>
            <w:vAlign w:val="bottom"/>
          </w:tcPr>
          <w:p w14:paraId="4EA508D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2C516D3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c>
          <w:tcPr>
            <w:tcW w:w="1700" w:type="dxa"/>
            <w:vAlign w:val="bottom"/>
          </w:tcPr>
          <w:p w14:paraId="4AD683A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-26,9%</w:t>
            </w:r>
          </w:p>
        </w:tc>
      </w:tr>
      <w:tr w:rsidR="004E6FF8" w14:paraId="311ABAD5" w14:textId="77777777" w:rsidTr="004E6F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1F7052F" w14:textId="241E6090"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Cataluña </w:t>
            </w:r>
          </w:p>
        </w:tc>
        <w:tc>
          <w:tcPr>
            <w:tcW w:w="1701" w:type="dxa"/>
            <w:vAlign w:val="bottom"/>
          </w:tcPr>
          <w:p w14:paraId="1C8EA0C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2.883 €</w:t>
            </w:r>
          </w:p>
        </w:tc>
        <w:tc>
          <w:tcPr>
            <w:tcW w:w="1559" w:type="dxa"/>
            <w:vAlign w:val="bottom"/>
          </w:tcPr>
          <w:p w14:paraId="26BB082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70347E6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c>
          <w:tcPr>
            <w:tcW w:w="1700" w:type="dxa"/>
            <w:vAlign w:val="bottom"/>
          </w:tcPr>
          <w:p w14:paraId="28E33FF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23,0%</w:t>
            </w:r>
          </w:p>
        </w:tc>
      </w:tr>
      <w:tr w:rsidR="004E6FF8" w14:paraId="1A629165" w14:textId="77777777" w:rsidTr="004E6FF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97E42C3" w14:textId="3C6B4875"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Castilla-La Mancha </w:t>
            </w:r>
          </w:p>
        </w:tc>
        <w:tc>
          <w:tcPr>
            <w:tcW w:w="1701" w:type="dxa"/>
            <w:vAlign w:val="bottom"/>
          </w:tcPr>
          <w:p w14:paraId="2BD4145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1.223 €</w:t>
            </w:r>
          </w:p>
        </w:tc>
        <w:tc>
          <w:tcPr>
            <w:tcW w:w="1559" w:type="dxa"/>
            <w:vAlign w:val="bottom"/>
          </w:tcPr>
          <w:p w14:paraId="021C73B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188F285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1700" w:type="dxa"/>
            <w:vAlign w:val="bottom"/>
          </w:tcPr>
          <w:p w14:paraId="470B5FA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-47,8%</w:t>
            </w:r>
          </w:p>
        </w:tc>
      </w:tr>
      <w:tr w:rsidR="004E6FF8" w14:paraId="404D8E40" w14:textId="77777777" w:rsidTr="004E6F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2709AD8" w14:textId="7AC789AA"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Castilla y León </w:t>
            </w:r>
          </w:p>
        </w:tc>
        <w:tc>
          <w:tcPr>
            <w:tcW w:w="1701" w:type="dxa"/>
            <w:vAlign w:val="bottom"/>
          </w:tcPr>
          <w:p w14:paraId="44F1316D"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1.505 €</w:t>
            </w:r>
          </w:p>
        </w:tc>
        <w:tc>
          <w:tcPr>
            <w:tcW w:w="1559" w:type="dxa"/>
            <w:vAlign w:val="bottom"/>
          </w:tcPr>
          <w:p w14:paraId="7401FE1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0B7D638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1700" w:type="dxa"/>
            <w:vAlign w:val="bottom"/>
          </w:tcPr>
          <w:p w14:paraId="645F8A6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-35,8%</w:t>
            </w:r>
          </w:p>
        </w:tc>
      </w:tr>
      <w:tr w:rsidR="004E6FF8" w14:paraId="20F313B7" w14:textId="77777777" w:rsidTr="004E6FF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A56F840" w14:textId="53F944CE"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Aragón </w:t>
            </w:r>
          </w:p>
        </w:tc>
        <w:tc>
          <w:tcPr>
            <w:tcW w:w="1701" w:type="dxa"/>
            <w:vAlign w:val="bottom"/>
          </w:tcPr>
          <w:p w14:paraId="757EA8A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1.756 €</w:t>
            </w:r>
          </w:p>
        </w:tc>
        <w:tc>
          <w:tcPr>
            <w:tcW w:w="1559" w:type="dxa"/>
            <w:vAlign w:val="bottom"/>
          </w:tcPr>
          <w:p w14:paraId="1718329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16594EFB"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700" w:type="dxa"/>
            <w:vAlign w:val="bottom"/>
          </w:tcPr>
          <w:p w14:paraId="7B37A64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-25,1%</w:t>
            </w:r>
          </w:p>
        </w:tc>
      </w:tr>
      <w:tr w:rsidR="004E6FF8" w14:paraId="46D02C52" w14:textId="77777777" w:rsidTr="004E6F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8481B30" w14:textId="1CD16B07"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Navarra </w:t>
            </w:r>
          </w:p>
        </w:tc>
        <w:tc>
          <w:tcPr>
            <w:tcW w:w="1701" w:type="dxa"/>
            <w:vAlign w:val="bottom"/>
          </w:tcPr>
          <w:p w14:paraId="7147D3C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2.079 €</w:t>
            </w:r>
          </w:p>
        </w:tc>
        <w:tc>
          <w:tcPr>
            <w:tcW w:w="1559" w:type="dxa"/>
            <w:vAlign w:val="bottom"/>
          </w:tcPr>
          <w:p w14:paraId="6B9392B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701" w:type="dxa"/>
            <w:vAlign w:val="bottom"/>
          </w:tcPr>
          <w:p w14:paraId="17705D3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700" w:type="dxa"/>
            <w:vAlign w:val="bottom"/>
          </w:tcPr>
          <w:p w14:paraId="4CB4954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-11,3%</w:t>
            </w:r>
          </w:p>
        </w:tc>
      </w:tr>
      <w:tr w:rsidR="004E6FF8" w14:paraId="736E8A24" w14:textId="77777777" w:rsidTr="004E6FF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B4129F8" w14:textId="2903BD5E" w:rsidR="004E6FF8"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 xml:space="preserve">La Rioja </w:t>
            </w:r>
          </w:p>
        </w:tc>
        <w:tc>
          <w:tcPr>
            <w:tcW w:w="1701" w:type="dxa"/>
            <w:vAlign w:val="bottom"/>
          </w:tcPr>
          <w:p w14:paraId="4DF3E35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1.665 €</w:t>
            </w:r>
          </w:p>
        </w:tc>
        <w:tc>
          <w:tcPr>
            <w:tcW w:w="1559" w:type="dxa"/>
            <w:vAlign w:val="bottom"/>
          </w:tcPr>
          <w:p w14:paraId="2064543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701" w:type="dxa"/>
            <w:vAlign w:val="bottom"/>
          </w:tcPr>
          <w:p w14:paraId="43FEDDB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2,2%</w:t>
            </w:r>
          </w:p>
        </w:tc>
        <w:tc>
          <w:tcPr>
            <w:tcW w:w="1700" w:type="dxa"/>
            <w:vAlign w:val="bottom"/>
          </w:tcPr>
          <w:p w14:paraId="238D011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-29,0%</w:t>
            </w:r>
          </w:p>
        </w:tc>
      </w:tr>
      <w:tr w:rsidR="004E6FF8" w14:paraId="1092C60E" w14:textId="77777777" w:rsidTr="004E6FF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2B68448" w14:textId="0F84801D"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Extremadura </w:t>
            </w:r>
          </w:p>
        </w:tc>
        <w:tc>
          <w:tcPr>
            <w:tcW w:w="1701" w:type="dxa"/>
            <w:vAlign w:val="bottom"/>
          </w:tcPr>
          <w:p w14:paraId="5EFDAC13"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1.220 €</w:t>
            </w:r>
          </w:p>
        </w:tc>
        <w:tc>
          <w:tcPr>
            <w:tcW w:w="1559" w:type="dxa"/>
            <w:vAlign w:val="bottom"/>
          </w:tcPr>
          <w:p w14:paraId="44BF40B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7822E1A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w:t>
            </w:r>
          </w:p>
        </w:tc>
        <w:tc>
          <w:tcPr>
            <w:tcW w:w="1700" w:type="dxa"/>
            <w:vAlign w:val="bottom"/>
          </w:tcPr>
          <w:p w14:paraId="6D37CBCF"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-47,9%</w:t>
            </w:r>
          </w:p>
        </w:tc>
      </w:tr>
      <w:tr w:rsidR="004E6FF8" w14:paraId="036DAC9D" w14:textId="77777777" w:rsidTr="004E6FF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9C4B251" w14:textId="69339E84" w:rsidR="004E6FF8" w:rsidRDefault="00000000">
            <w:pPr>
              <w:rPr>
                <w:rFonts w:ascii="Open Sans" w:eastAsia="Open Sans" w:hAnsi="Open Sans" w:cs="Open Sans"/>
                <w:sz w:val="22"/>
                <w:szCs w:val="22"/>
              </w:rPr>
            </w:pPr>
            <w:r>
              <w:rPr>
                <w:rFonts w:ascii="Open Sans" w:eastAsia="Open Sans" w:hAnsi="Open Sans" w:cs="Open Sans"/>
                <w:b w:val="0"/>
                <w:sz w:val="22"/>
                <w:szCs w:val="22"/>
              </w:rPr>
              <w:t xml:space="preserve">España </w:t>
            </w:r>
          </w:p>
        </w:tc>
        <w:tc>
          <w:tcPr>
            <w:tcW w:w="1701" w:type="dxa"/>
            <w:vAlign w:val="center"/>
          </w:tcPr>
          <w:p w14:paraId="39F9C63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2.344 €</w:t>
            </w:r>
          </w:p>
        </w:tc>
        <w:tc>
          <w:tcPr>
            <w:tcW w:w="1559" w:type="dxa"/>
            <w:vAlign w:val="bottom"/>
          </w:tcPr>
          <w:p w14:paraId="3E35D7F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0,7%</w:t>
            </w:r>
          </w:p>
        </w:tc>
        <w:tc>
          <w:tcPr>
            <w:tcW w:w="1701" w:type="dxa"/>
            <w:vAlign w:val="bottom"/>
          </w:tcPr>
          <w:p w14:paraId="32AAEA1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9,0%</w:t>
            </w:r>
          </w:p>
        </w:tc>
        <w:tc>
          <w:tcPr>
            <w:tcW w:w="1700" w:type="dxa"/>
            <w:vAlign w:val="bottom"/>
          </w:tcPr>
          <w:p w14:paraId="61E403AB"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r>
    </w:tbl>
    <w:p w14:paraId="2183AF52" w14:textId="77777777" w:rsidR="004E6FF8"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 xml:space="preserve">Provincias </w:t>
      </w:r>
    </w:p>
    <w:p w14:paraId="53E99DAD" w14:textId="77777777" w:rsidR="004E6FF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el 88% de las 50 provincias analizadas sube el precio interanual de la vivienda en el mes de julio. En 13 provincias se supera el 10%, en concreto en</w:t>
      </w:r>
      <w:r>
        <w:t xml:space="preserve"> </w:t>
      </w:r>
      <w:r>
        <w:rPr>
          <w:rFonts w:ascii="Open Sans" w:eastAsia="Open Sans" w:hAnsi="Open Sans" w:cs="Open Sans"/>
          <w:color w:val="000000"/>
        </w:rPr>
        <w:t>Madrid (21,7%), Málaga (18,7%), Santa Cruz de Tenerife (16,8%), Granada (15,0%), Illes Balears (14,9%), Alicante (13,9%), Segovia (13,7%), Pontevedra (13,2%), Las Palmas (13,0%), Girona (11,8%), Tarragona (11,8%), Valencia (10,7%) y Castellón (10,6%). Por otro lado, las provincias con descensos interanuales son:</w:t>
      </w:r>
      <w:r>
        <w:t xml:space="preserve"> </w:t>
      </w:r>
      <w:r>
        <w:rPr>
          <w:rFonts w:ascii="Open Sans" w:eastAsia="Open Sans" w:hAnsi="Open Sans" w:cs="Open Sans"/>
          <w:color w:val="000000"/>
        </w:rPr>
        <w:t>Córdoba (-0,1%), Badajoz (-0,7%), León (-0,8%), Ciudad Real (-0,8%), Teruel (-3,3%) y Cuenca (-6,9%).</w:t>
      </w:r>
    </w:p>
    <w:p w14:paraId="4452DB3A" w14:textId="77777777" w:rsidR="004E6FF8" w:rsidRDefault="004E6FF8">
      <w:pPr>
        <w:spacing w:line="276" w:lineRule="auto"/>
        <w:jc w:val="both"/>
        <w:rPr>
          <w:rFonts w:ascii="Open Sans" w:eastAsia="Open Sans" w:hAnsi="Open Sans" w:cs="Open Sans"/>
          <w:color w:val="000000"/>
        </w:rPr>
      </w:pPr>
    </w:p>
    <w:p w14:paraId="39B110B2" w14:textId="77777777" w:rsidR="004E6FF8" w:rsidRDefault="00000000">
      <w:pPr>
        <w:pBdr>
          <w:top w:val="nil"/>
          <w:left w:val="nil"/>
          <w:bottom w:val="nil"/>
          <w:right w:val="nil"/>
          <w:between w:val="nil"/>
        </w:pBdr>
        <w:shd w:val="clear" w:color="auto" w:fill="FFFFFF"/>
        <w:spacing w:after="225" w:line="276" w:lineRule="auto"/>
        <w:jc w:val="both"/>
        <w:rPr>
          <w:rFonts w:ascii="Open Sans" w:eastAsia="Open Sans" w:hAnsi="Open Sans" w:cs="Open Sans"/>
          <w:color w:val="000000"/>
        </w:rPr>
      </w:pPr>
      <w:r>
        <w:rPr>
          <w:rFonts w:ascii="Open Sans" w:eastAsia="Open Sans" w:hAnsi="Open Sans" w:cs="Open Sans"/>
          <w:color w:val="000000"/>
        </w:rPr>
        <w:t xml:space="preserve">En cuanto a los precios, Madrid e Illes Balears han superado los 4.000 euros por metro cuadrado. </w:t>
      </w:r>
      <w:r>
        <w:rPr>
          <w:rFonts w:ascii="Open Sans" w:eastAsia="Open Sans" w:hAnsi="Open Sans" w:cs="Open Sans"/>
          <w:b/>
          <w:color w:val="000000"/>
        </w:rPr>
        <w:t>Las dos provincias con el precio más elevado son: Illes Balears es la provincia más cara con 4.273 euros/m</w:t>
      </w:r>
      <w:r>
        <w:rPr>
          <w:rFonts w:ascii="Open Sans" w:eastAsia="Open Sans" w:hAnsi="Open Sans" w:cs="Open Sans"/>
          <w:b/>
          <w:color w:val="000000"/>
          <w:vertAlign w:val="superscript"/>
        </w:rPr>
        <w:t>2</w:t>
      </w:r>
      <w:r>
        <w:rPr>
          <w:rFonts w:ascii="Open Sans" w:eastAsia="Open Sans" w:hAnsi="Open Sans" w:cs="Open Sans"/>
          <w:b/>
          <w:color w:val="000000"/>
        </w:rPr>
        <w:t>, seguida de Madrid con 4.254 euros/m</w:t>
      </w:r>
      <w:r>
        <w:rPr>
          <w:rFonts w:ascii="Open Sans" w:eastAsia="Open Sans" w:hAnsi="Open Sans" w:cs="Open Sans"/>
          <w:b/>
          <w:color w:val="000000"/>
          <w:vertAlign w:val="superscript"/>
        </w:rPr>
        <w:t>2</w:t>
      </w:r>
      <w:r>
        <w:rPr>
          <w:rFonts w:ascii="Open Sans" w:eastAsia="Open Sans" w:hAnsi="Open Sans" w:cs="Open Sans"/>
          <w:b/>
          <w:color w:val="000000"/>
        </w:rPr>
        <w:t>.</w:t>
      </w:r>
      <w:r>
        <w:rPr>
          <w:rFonts w:ascii="Open Sans" w:eastAsia="Open Sans" w:hAnsi="Open Sans" w:cs="Open Sans"/>
          <w:color w:val="000000"/>
        </w:rPr>
        <w:t xml:space="preserve"> Por otro lado, la provincia con el precio por metro cuadrado por debajo de los 1.000 euros son Ciudad Real con 958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
    <w:p w14:paraId="62ABB1BE" w14:textId="3A10308F" w:rsidR="00D24E3E" w:rsidRPr="00D24E3E" w:rsidRDefault="00D24E3E" w:rsidP="00D24E3E">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de mayor a menor incremento interanual</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4E6FF8" w14:paraId="716E1EFA" w14:textId="77777777" w:rsidTr="004E6FF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8DA4139"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48050943"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04413C37"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55AFBA88"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5193E838"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32408D01"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4E6FF8" w14:paraId="2FB62844"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8A73ED4"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332214F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4.254 €</w:t>
            </w:r>
          </w:p>
        </w:tc>
        <w:tc>
          <w:tcPr>
            <w:tcW w:w="1559" w:type="dxa"/>
            <w:vAlign w:val="bottom"/>
          </w:tcPr>
          <w:p w14:paraId="3D8B52A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0,9%</w:t>
            </w:r>
          </w:p>
        </w:tc>
        <w:tc>
          <w:tcPr>
            <w:tcW w:w="1701" w:type="dxa"/>
            <w:vAlign w:val="bottom"/>
          </w:tcPr>
          <w:p w14:paraId="24EE7B0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21,7%</w:t>
            </w:r>
          </w:p>
        </w:tc>
        <w:tc>
          <w:tcPr>
            <w:tcW w:w="1700" w:type="dxa"/>
            <w:vAlign w:val="bottom"/>
          </w:tcPr>
          <w:p w14:paraId="6BF1A0E3"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82,8%</w:t>
            </w:r>
          </w:p>
        </w:tc>
      </w:tr>
      <w:tr w:rsidR="004E6FF8" w14:paraId="062177AD"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A337FA8"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24B550C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3.656 €</w:t>
            </w:r>
          </w:p>
        </w:tc>
        <w:tc>
          <w:tcPr>
            <w:tcW w:w="1559" w:type="dxa"/>
            <w:vAlign w:val="bottom"/>
          </w:tcPr>
          <w:p w14:paraId="5AE7FEB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9C0006"/>
                <w:sz w:val="22"/>
                <w:szCs w:val="22"/>
              </w:rPr>
              <w:t>-0,2%</w:t>
            </w:r>
          </w:p>
        </w:tc>
        <w:tc>
          <w:tcPr>
            <w:tcW w:w="1701" w:type="dxa"/>
            <w:vAlign w:val="bottom"/>
          </w:tcPr>
          <w:p w14:paraId="11237CF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18,7%</w:t>
            </w:r>
          </w:p>
        </w:tc>
        <w:tc>
          <w:tcPr>
            <w:tcW w:w="1700" w:type="dxa"/>
            <w:vAlign w:val="bottom"/>
          </w:tcPr>
          <w:p w14:paraId="197DB1F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57,1%</w:t>
            </w:r>
          </w:p>
        </w:tc>
      </w:tr>
      <w:tr w:rsidR="004E6FF8" w14:paraId="6A105EA8"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CF8CFA2"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4" w:type="dxa"/>
            <w:vAlign w:val="bottom"/>
          </w:tcPr>
          <w:p w14:paraId="0042650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2.796 €</w:t>
            </w:r>
          </w:p>
        </w:tc>
        <w:tc>
          <w:tcPr>
            <w:tcW w:w="1559" w:type="dxa"/>
            <w:vAlign w:val="bottom"/>
          </w:tcPr>
          <w:p w14:paraId="0E29811A"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694A7C9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16,8%</w:t>
            </w:r>
          </w:p>
        </w:tc>
        <w:tc>
          <w:tcPr>
            <w:tcW w:w="1700" w:type="dxa"/>
            <w:vAlign w:val="bottom"/>
          </w:tcPr>
          <w:p w14:paraId="699A9343"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20,1%</w:t>
            </w:r>
          </w:p>
        </w:tc>
      </w:tr>
      <w:tr w:rsidR="004E6FF8" w14:paraId="7C78E7E5"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10C53C3"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4" w:type="dxa"/>
            <w:vAlign w:val="bottom"/>
          </w:tcPr>
          <w:p w14:paraId="20F6159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2.097 €</w:t>
            </w:r>
          </w:p>
        </w:tc>
        <w:tc>
          <w:tcPr>
            <w:tcW w:w="1559" w:type="dxa"/>
            <w:vAlign w:val="bottom"/>
          </w:tcPr>
          <w:p w14:paraId="1BA6183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701" w:type="dxa"/>
            <w:vAlign w:val="bottom"/>
          </w:tcPr>
          <w:p w14:paraId="4DFBED3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15,0%</w:t>
            </w:r>
          </w:p>
        </w:tc>
        <w:tc>
          <w:tcPr>
            <w:tcW w:w="1700" w:type="dxa"/>
            <w:vAlign w:val="bottom"/>
          </w:tcPr>
          <w:p w14:paraId="54C74A44"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-9,9%</w:t>
            </w:r>
          </w:p>
        </w:tc>
      </w:tr>
      <w:tr w:rsidR="004E6FF8" w14:paraId="6D06681D"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5652A30"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55103FCA"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4.273 €</w:t>
            </w:r>
          </w:p>
        </w:tc>
        <w:tc>
          <w:tcPr>
            <w:tcW w:w="1559" w:type="dxa"/>
            <w:vAlign w:val="bottom"/>
          </w:tcPr>
          <w:p w14:paraId="6B6C05B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2A25304D"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14,9%</w:t>
            </w:r>
          </w:p>
        </w:tc>
        <w:tc>
          <w:tcPr>
            <w:tcW w:w="1700" w:type="dxa"/>
            <w:vAlign w:val="bottom"/>
          </w:tcPr>
          <w:p w14:paraId="6FBAD19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83,6%</w:t>
            </w:r>
          </w:p>
        </w:tc>
      </w:tr>
      <w:tr w:rsidR="004E6FF8" w14:paraId="7AF824EC"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9D50278"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4" w:type="dxa"/>
            <w:vAlign w:val="bottom"/>
          </w:tcPr>
          <w:p w14:paraId="6BCC78A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2.261 €</w:t>
            </w:r>
          </w:p>
        </w:tc>
        <w:tc>
          <w:tcPr>
            <w:tcW w:w="1559" w:type="dxa"/>
            <w:vAlign w:val="bottom"/>
          </w:tcPr>
          <w:p w14:paraId="1E3D8E5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3A895F6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13,9%</w:t>
            </w:r>
          </w:p>
        </w:tc>
        <w:tc>
          <w:tcPr>
            <w:tcW w:w="1700" w:type="dxa"/>
            <w:vAlign w:val="bottom"/>
          </w:tcPr>
          <w:p w14:paraId="431E42DE"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r>
      <w:tr w:rsidR="004E6FF8" w14:paraId="66589617"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CAD6F9E"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84" w:type="dxa"/>
            <w:vAlign w:val="bottom"/>
          </w:tcPr>
          <w:p w14:paraId="449FB9D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1.589 €</w:t>
            </w:r>
          </w:p>
        </w:tc>
        <w:tc>
          <w:tcPr>
            <w:tcW w:w="1559" w:type="dxa"/>
            <w:vAlign w:val="bottom"/>
          </w:tcPr>
          <w:p w14:paraId="3EAA5FB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29263F0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13,7%</w:t>
            </w:r>
          </w:p>
        </w:tc>
        <w:tc>
          <w:tcPr>
            <w:tcW w:w="1700" w:type="dxa"/>
            <w:vAlign w:val="bottom"/>
          </w:tcPr>
          <w:p w14:paraId="3B4BCF3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-31,7%</w:t>
            </w:r>
          </w:p>
        </w:tc>
      </w:tr>
      <w:tr w:rsidR="004E6FF8" w14:paraId="4A39D268"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F82E3E4"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4" w:type="dxa"/>
            <w:vAlign w:val="bottom"/>
          </w:tcPr>
          <w:p w14:paraId="0B6DA57B"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2.247 €</w:t>
            </w:r>
          </w:p>
        </w:tc>
        <w:tc>
          <w:tcPr>
            <w:tcW w:w="1559" w:type="dxa"/>
            <w:vAlign w:val="bottom"/>
          </w:tcPr>
          <w:p w14:paraId="087218B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1C2A940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13,2%</w:t>
            </w:r>
          </w:p>
        </w:tc>
        <w:tc>
          <w:tcPr>
            <w:tcW w:w="1700" w:type="dxa"/>
            <w:vAlign w:val="bottom"/>
          </w:tcPr>
          <w:p w14:paraId="287C78F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w:t>
            </w:r>
          </w:p>
        </w:tc>
      </w:tr>
      <w:tr w:rsidR="004E6FF8" w14:paraId="393E22E0"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749B37A"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5177250A"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2.283 €</w:t>
            </w:r>
          </w:p>
        </w:tc>
        <w:tc>
          <w:tcPr>
            <w:tcW w:w="1559" w:type="dxa"/>
            <w:vAlign w:val="bottom"/>
          </w:tcPr>
          <w:p w14:paraId="62D4C2AD"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173D631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13,0%</w:t>
            </w:r>
          </w:p>
        </w:tc>
        <w:tc>
          <w:tcPr>
            <w:tcW w:w="1700" w:type="dxa"/>
            <w:vAlign w:val="bottom"/>
          </w:tcPr>
          <w:p w14:paraId="290ED64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r>
      <w:tr w:rsidR="004E6FF8" w14:paraId="35E4F851"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FCCCC1C"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4" w:type="dxa"/>
            <w:vAlign w:val="bottom"/>
          </w:tcPr>
          <w:p w14:paraId="0EBF14C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2.712 €</w:t>
            </w:r>
          </w:p>
        </w:tc>
        <w:tc>
          <w:tcPr>
            <w:tcW w:w="1559" w:type="dxa"/>
            <w:vAlign w:val="bottom"/>
          </w:tcPr>
          <w:p w14:paraId="538C0DF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3F01E054"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11,8%</w:t>
            </w:r>
          </w:p>
        </w:tc>
        <w:tc>
          <w:tcPr>
            <w:tcW w:w="1700" w:type="dxa"/>
            <w:vAlign w:val="bottom"/>
          </w:tcPr>
          <w:p w14:paraId="4607D78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w:t>
            </w:r>
          </w:p>
        </w:tc>
      </w:tr>
      <w:tr w:rsidR="004E6FF8" w14:paraId="6841327D"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C1708D4"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4" w:type="dxa"/>
            <w:vAlign w:val="bottom"/>
          </w:tcPr>
          <w:p w14:paraId="0ABA78D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1.916 €</w:t>
            </w:r>
          </w:p>
        </w:tc>
        <w:tc>
          <w:tcPr>
            <w:tcW w:w="1559" w:type="dxa"/>
            <w:vAlign w:val="bottom"/>
          </w:tcPr>
          <w:p w14:paraId="2EBAC96A"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4ECDC44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11,8%</w:t>
            </w:r>
          </w:p>
        </w:tc>
        <w:tc>
          <w:tcPr>
            <w:tcW w:w="1700" w:type="dxa"/>
            <w:vAlign w:val="bottom"/>
          </w:tcPr>
          <w:p w14:paraId="46EF5FF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-17,7%</w:t>
            </w:r>
          </w:p>
        </w:tc>
      </w:tr>
      <w:tr w:rsidR="004E6FF8" w14:paraId="3BF5C146"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83AC240"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713AC6B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1.743 €</w:t>
            </w:r>
          </w:p>
        </w:tc>
        <w:tc>
          <w:tcPr>
            <w:tcW w:w="1559" w:type="dxa"/>
            <w:vAlign w:val="bottom"/>
          </w:tcPr>
          <w:p w14:paraId="76E781B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2A69800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10,7%</w:t>
            </w:r>
          </w:p>
        </w:tc>
        <w:tc>
          <w:tcPr>
            <w:tcW w:w="1700" w:type="dxa"/>
            <w:vAlign w:val="bottom"/>
          </w:tcPr>
          <w:p w14:paraId="2C61B8A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-25,1%</w:t>
            </w:r>
          </w:p>
        </w:tc>
      </w:tr>
      <w:tr w:rsidR="004E6FF8" w14:paraId="4F07E8E7"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E0475C4"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4" w:type="dxa"/>
            <w:vAlign w:val="bottom"/>
          </w:tcPr>
          <w:p w14:paraId="6C26CA2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1.348 €</w:t>
            </w:r>
          </w:p>
        </w:tc>
        <w:tc>
          <w:tcPr>
            <w:tcW w:w="1559" w:type="dxa"/>
            <w:vAlign w:val="bottom"/>
          </w:tcPr>
          <w:p w14:paraId="27260DDD"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79EEAD13"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10,6%</w:t>
            </w:r>
          </w:p>
        </w:tc>
        <w:tc>
          <w:tcPr>
            <w:tcW w:w="1700" w:type="dxa"/>
            <w:vAlign w:val="bottom"/>
          </w:tcPr>
          <w:p w14:paraId="5472B14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-42,1%</w:t>
            </w:r>
          </w:p>
        </w:tc>
      </w:tr>
      <w:tr w:rsidR="004E6FF8" w14:paraId="566F00AB"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D7EC646"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4" w:type="dxa"/>
            <w:vAlign w:val="bottom"/>
          </w:tcPr>
          <w:p w14:paraId="03895BE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1.136 €</w:t>
            </w:r>
          </w:p>
        </w:tc>
        <w:tc>
          <w:tcPr>
            <w:tcW w:w="1559" w:type="dxa"/>
            <w:vAlign w:val="bottom"/>
          </w:tcPr>
          <w:p w14:paraId="479752C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c>
          <w:tcPr>
            <w:tcW w:w="1701" w:type="dxa"/>
            <w:vAlign w:val="bottom"/>
          </w:tcPr>
          <w:p w14:paraId="134EABE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9,7%</w:t>
            </w:r>
          </w:p>
        </w:tc>
        <w:tc>
          <w:tcPr>
            <w:tcW w:w="1700" w:type="dxa"/>
            <w:vAlign w:val="bottom"/>
          </w:tcPr>
          <w:p w14:paraId="4C25851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-51,2%</w:t>
            </w:r>
          </w:p>
        </w:tc>
      </w:tr>
      <w:tr w:rsidR="004E6FF8" w14:paraId="753FE6B5"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B7986FF"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003CCD8A"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1.393 €</w:t>
            </w:r>
          </w:p>
        </w:tc>
        <w:tc>
          <w:tcPr>
            <w:tcW w:w="1559" w:type="dxa"/>
            <w:vAlign w:val="bottom"/>
          </w:tcPr>
          <w:p w14:paraId="37A5E60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727550AF"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9,0%</w:t>
            </w:r>
          </w:p>
        </w:tc>
        <w:tc>
          <w:tcPr>
            <w:tcW w:w="1700" w:type="dxa"/>
            <w:vAlign w:val="bottom"/>
          </w:tcPr>
          <w:p w14:paraId="19A54B2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-40,2%</w:t>
            </w:r>
          </w:p>
        </w:tc>
      </w:tr>
      <w:tr w:rsidR="004E6FF8" w14:paraId="7AF28C7F"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F82B706"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44B4320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1.734 €</w:t>
            </w:r>
          </w:p>
        </w:tc>
        <w:tc>
          <w:tcPr>
            <w:tcW w:w="1559" w:type="dxa"/>
            <w:vAlign w:val="bottom"/>
          </w:tcPr>
          <w:p w14:paraId="4FF0100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47A2F1EB"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8,9%</w:t>
            </w:r>
          </w:p>
        </w:tc>
        <w:tc>
          <w:tcPr>
            <w:tcW w:w="1700" w:type="dxa"/>
            <w:vAlign w:val="bottom"/>
          </w:tcPr>
          <w:p w14:paraId="5127B25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-25,5%</w:t>
            </w:r>
          </w:p>
        </w:tc>
      </w:tr>
      <w:tr w:rsidR="004E6FF8" w14:paraId="69BD34E3"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604E7DC"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Cádiz</w:t>
            </w:r>
          </w:p>
        </w:tc>
        <w:tc>
          <w:tcPr>
            <w:tcW w:w="1984" w:type="dxa"/>
            <w:vAlign w:val="bottom"/>
          </w:tcPr>
          <w:p w14:paraId="453FC95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1.954 €</w:t>
            </w:r>
          </w:p>
        </w:tc>
        <w:tc>
          <w:tcPr>
            <w:tcW w:w="1559" w:type="dxa"/>
            <w:vAlign w:val="bottom"/>
          </w:tcPr>
          <w:p w14:paraId="3B1C40C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45EE369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8,9%</w:t>
            </w:r>
          </w:p>
        </w:tc>
        <w:tc>
          <w:tcPr>
            <w:tcW w:w="1700" w:type="dxa"/>
            <w:vAlign w:val="bottom"/>
          </w:tcPr>
          <w:p w14:paraId="5EB1E57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-16,1%</w:t>
            </w:r>
          </w:p>
        </w:tc>
      </w:tr>
      <w:tr w:rsidR="004E6FF8" w14:paraId="766F38FF"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AA2D1D1"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84" w:type="dxa"/>
            <w:vAlign w:val="bottom"/>
          </w:tcPr>
          <w:p w14:paraId="7358013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1.423 €</w:t>
            </w:r>
          </w:p>
        </w:tc>
        <w:tc>
          <w:tcPr>
            <w:tcW w:w="1559" w:type="dxa"/>
            <w:vAlign w:val="bottom"/>
          </w:tcPr>
          <w:p w14:paraId="1234517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701" w:type="dxa"/>
            <w:vAlign w:val="bottom"/>
          </w:tcPr>
          <w:p w14:paraId="7C26D11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8,6%</w:t>
            </w:r>
          </w:p>
        </w:tc>
        <w:tc>
          <w:tcPr>
            <w:tcW w:w="1700" w:type="dxa"/>
            <w:vAlign w:val="bottom"/>
          </w:tcPr>
          <w:p w14:paraId="783077C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-38,9%</w:t>
            </w:r>
          </w:p>
        </w:tc>
      </w:tr>
      <w:tr w:rsidR="004E6FF8" w14:paraId="2869C1AB"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3EA81A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767CB69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3.645 €</w:t>
            </w:r>
          </w:p>
        </w:tc>
        <w:tc>
          <w:tcPr>
            <w:tcW w:w="1559" w:type="dxa"/>
            <w:vAlign w:val="bottom"/>
          </w:tcPr>
          <w:p w14:paraId="297681C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425E442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7,6%</w:t>
            </w:r>
          </w:p>
        </w:tc>
        <w:tc>
          <w:tcPr>
            <w:tcW w:w="1700" w:type="dxa"/>
            <w:vAlign w:val="bottom"/>
          </w:tcPr>
          <w:p w14:paraId="35696C3A"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56,6%</w:t>
            </w:r>
          </w:p>
        </w:tc>
      </w:tr>
      <w:tr w:rsidR="004E6FF8" w14:paraId="5CB7F448"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C37735E"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4" w:type="dxa"/>
            <w:vAlign w:val="bottom"/>
          </w:tcPr>
          <w:p w14:paraId="7651CA7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1.859 €</w:t>
            </w:r>
          </w:p>
        </w:tc>
        <w:tc>
          <w:tcPr>
            <w:tcW w:w="1559" w:type="dxa"/>
            <w:vAlign w:val="bottom"/>
          </w:tcPr>
          <w:p w14:paraId="3AD1380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075F6E0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7,6%</w:t>
            </w:r>
          </w:p>
        </w:tc>
        <w:tc>
          <w:tcPr>
            <w:tcW w:w="1700" w:type="dxa"/>
            <w:vAlign w:val="bottom"/>
          </w:tcPr>
          <w:p w14:paraId="730D350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-20,1%</w:t>
            </w:r>
          </w:p>
        </w:tc>
      </w:tr>
      <w:tr w:rsidR="004E6FF8" w14:paraId="4AD6DA62"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823448D"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1C099943"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2.005 €</w:t>
            </w:r>
          </w:p>
        </w:tc>
        <w:tc>
          <w:tcPr>
            <w:tcW w:w="1559" w:type="dxa"/>
            <w:vAlign w:val="bottom"/>
          </w:tcPr>
          <w:p w14:paraId="3749501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1293724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7,0%</w:t>
            </w:r>
          </w:p>
        </w:tc>
        <w:tc>
          <w:tcPr>
            <w:tcW w:w="1700" w:type="dxa"/>
            <w:vAlign w:val="bottom"/>
          </w:tcPr>
          <w:p w14:paraId="3D92FBE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-13,9%</w:t>
            </w:r>
          </w:p>
        </w:tc>
      </w:tr>
      <w:tr w:rsidR="004E6FF8" w14:paraId="5FEA1B9C"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F84B90B"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4" w:type="dxa"/>
            <w:vAlign w:val="bottom"/>
          </w:tcPr>
          <w:p w14:paraId="11BBB3D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1.524 €</w:t>
            </w:r>
          </w:p>
        </w:tc>
        <w:tc>
          <w:tcPr>
            <w:tcW w:w="1559" w:type="dxa"/>
            <w:vAlign w:val="bottom"/>
          </w:tcPr>
          <w:p w14:paraId="68EFE91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56CE265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6,7%</w:t>
            </w:r>
          </w:p>
        </w:tc>
        <w:tc>
          <w:tcPr>
            <w:tcW w:w="1700" w:type="dxa"/>
            <w:vAlign w:val="bottom"/>
          </w:tcPr>
          <w:p w14:paraId="3DA0E12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-34,5%</w:t>
            </w:r>
          </w:p>
        </w:tc>
      </w:tr>
      <w:tr w:rsidR="004E6FF8" w14:paraId="2ABC1388"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332215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4" w:type="dxa"/>
            <w:vAlign w:val="bottom"/>
          </w:tcPr>
          <w:p w14:paraId="2535CF23"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1.584 €</w:t>
            </w:r>
          </w:p>
        </w:tc>
        <w:tc>
          <w:tcPr>
            <w:tcW w:w="1559" w:type="dxa"/>
            <w:vAlign w:val="bottom"/>
          </w:tcPr>
          <w:p w14:paraId="1C5844F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c>
          <w:tcPr>
            <w:tcW w:w="1701" w:type="dxa"/>
            <w:vAlign w:val="bottom"/>
          </w:tcPr>
          <w:p w14:paraId="015A63A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5,7%</w:t>
            </w:r>
          </w:p>
        </w:tc>
        <w:tc>
          <w:tcPr>
            <w:tcW w:w="1700" w:type="dxa"/>
            <w:vAlign w:val="bottom"/>
          </w:tcPr>
          <w:p w14:paraId="03AD4EF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-31,9%</w:t>
            </w:r>
          </w:p>
        </w:tc>
      </w:tr>
      <w:tr w:rsidR="004E6FF8" w14:paraId="4F196F96"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C4622A8"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84" w:type="dxa"/>
            <w:vAlign w:val="bottom"/>
          </w:tcPr>
          <w:p w14:paraId="79AC3DD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2.748 €</w:t>
            </w:r>
          </w:p>
        </w:tc>
        <w:tc>
          <w:tcPr>
            <w:tcW w:w="1559" w:type="dxa"/>
            <w:vAlign w:val="bottom"/>
          </w:tcPr>
          <w:p w14:paraId="5FCD4924"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617BDF3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5,6%</w:t>
            </w:r>
          </w:p>
        </w:tc>
        <w:tc>
          <w:tcPr>
            <w:tcW w:w="1700" w:type="dxa"/>
            <w:vAlign w:val="bottom"/>
          </w:tcPr>
          <w:p w14:paraId="682E30F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w:t>
            </w:r>
          </w:p>
        </w:tc>
      </w:tr>
      <w:tr w:rsidR="004E6FF8" w14:paraId="5FF901A0"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DDAB100"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84" w:type="dxa"/>
            <w:vAlign w:val="bottom"/>
          </w:tcPr>
          <w:p w14:paraId="69C508D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3.104 €</w:t>
            </w:r>
          </w:p>
        </w:tc>
        <w:tc>
          <w:tcPr>
            <w:tcW w:w="1559" w:type="dxa"/>
            <w:vAlign w:val="bottom"/>
          </w:tcPr>
          <w:p w14:paraId="46F20B8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4EB0526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c>
          <w:tcPr>
            <w:tcW w:w="1700" w:type="dxa"/>
            <w:vAlign w:val="bottom"/>
          </w:tcPr>
          <w:p w14:paraId="5D56A4B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33,4%</w:t>
            </w:r>
          </w:p>
        </w:tc>
      </w:tr>
      <w:tr w:rsidR="004E6FF8" w14:paraId="66178BC4"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EC04378"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60E9457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1.714 €</w:t>
            </w:r>
          </w:p>
        </w:tc>
        <w:tc>
          <w:tcPr>
            <w:tcW w:w="1559" w:type="dxa"/>
            <w:vAlign w:val="bottom"/>
          </w:tcPr>
          <w:p w14:paraId="701A84E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44686A6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c>
          <w:tcPr>
            <w:tcW w:w="1700" w:type="dxa"/>
            <w:vAlign w:val="bottom"/>
          </w:tcPr>
          <w:p w14:paraId="74C5DF6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-26,3%</w:t>
            </w:r>
          </w:p>
        </w:tc>
      </w:tr>
      <w:tr w:rsidR="004E6FF8" w14:paraId="7448BD97"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059BE0A"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84" w:type="dxa"/>
            <w:vAlign w:val="bottom"/>
          </w:tcPr>
          <w:p w14:paraId="7DDC455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1.327 €</w:t>
            </w:r>
          </w:p>
        </w:tc>
        <w:tc>
          <w:tcPr>
            <w:tcW w:w="1559" w:type="dxa"/>
            <w:vAlign w:val="bottom"/>
          </w:tcPr>
          <w:p w14:paraId="065C43C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1CA07C1D"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c>
          <w:tcPr>
            <w:tcW w:w="1700" w:type="dxa"/>
            <w:vAlign w:val="bottom"/>
          </w:tcPr>
          <w:p w14:paraId="53C62A1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-43,0%</w:t>
            </w:r>
          </w:p>
        </w:tc>
      </w:tr>
      <w:tr w:rsidR="004E6FF8" w14:paraId="0E1C8BDC"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59E4DE2"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984" w:type="dxa"/>
            <w:vAlign w:val="bottom"/>
          </w:tcPr>
          <w:p w14:paraId="451E8CA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1.532 €</w:t>
            </w:r>
          </w:p>
        </w:tc>
        <w:tc>
          <w:tcPr>
            <w:tcW w:w="1559" w:type="dxa"/>
            <w:vAlign w:val="bottom"/>
          </w:tcPr>
          <w:p w14:paraId="40079DD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7F3E340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c>
          <w:tcPr>
            <w:tcW w:w="1700" w:type="dxa"/>
            <w:vAlign w:val="bottom"/>
          </w:tcPr>
          <w:p w14:paraId="105E562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-34,2%</w:t>
            </w:r>
          </w:p>
        </w:tc>
      </w:tr>
      <w:tr w:rsidR="004E6FF8" w14:paraId="147EA9FE"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82E4166"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4" w:type="dxa"/>
            <w:vAlign w:val="bottom"/>
          </w:tcPr>
          <w:p w14:paraId="218FD50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1.363 €</w:t>
            </w:r>
          </w:p>
        </w:tc>
        <w:tc>
          <w:tcPr>
            <w:tcW w:w="1559" w:type="dxa"/>
            <w:vAlign w:val="bottom"/>
          </w:tcPr>
          <w:p w14:paraId="25EC217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6ECCCDB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c>
          <w:tcPr>
            <w:tcW w:w="1700" w:type="dxa"/>
            <w:vAlign w:val="bottom"/>
          </w:tcPr>
          <w:p w14:paraId="41FCA62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-41,4%</w:t>
            </w:r>
          </w:p>
        </w:tc>
      </w:tr>
      <w:tr w:rsidR="004E6FF8" w14:paraId="0437F747"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A4C32DD"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984" w:type="dxa"/>
            <w:vAlign w:val="bottom"/>
          </w:tcPr>
          <w:p w14:paraId="38482DF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1.839 €</w:t>
            </w:r>
          </w:p>
        </w:tc>
        <w:tc>
          <w:tcPr>
            <w:tcW w:w="1559" w:type="dxa"/>
            <w:vAlign w:val="bottom"/>
          </w:tcPr>
          <w:p w14:paraId="441822D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6CFE52B9"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4,5%</w:t>
            </w:r>
          </w:p>
        </w:tc>
        <w:tc>
          <w:tcPr>
            <w:tcW w:w="1700" w:type="dxa"/>
            <w:vAlign w:val="bottom"/>
          </w:tcPr>
          <w:p w14:paraId="73B8664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-21,0%</w:t>
            </w:r>
          </w:p>
        </w:tc>
      </w:tr>
      <w:tr w:rsidR="004E6FF8" w14:paraId="0476FC8F"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21617A9"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5496A96D"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1.248 €</w:t>
            </w:r>
          </w:p>
        </w:tc>
        <w:tc>
          <w:tcPr>
            <w:tcW w:w="1559" w:type="dxa"/>
            <w:vAlign w:val="bottom"/>
          </w:tcPr>
          <w:p w14:paraId="32EE9E5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073CCD4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4,1%</w:t>
            </w:r>
          </w:p>
        </w:tc>
        <w:tc>
          <w:tcPr>
            <w:tcW w:w="1700" w:type="dxa"/>
            <w:vAlign w:val="bottom"/>
          </w:tcPr>
          <w:p w14:paraId="429C626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-46,4%</w:t>
            </w:r>
          </w:p>
        </w:tc>
      </w:tr>
      <w:tr w:rsidR="004E6FF8" w14:paraId="56E4BE1E"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3C39AD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6218205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1.433 €</w:t>
            </w:r>
          </w:p>
        </w:tc>
        <w:tc>
          <w:tcPr>
            <w:tcW w:w="1559" w:type="dxa"/>
            <w:vAlign w:val="bottom"/>
          </w:tcPr>
          <w:p w14:paraId="529D9B9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701" w:type="dxa"/>
            <w:vAlign w:val="bottom"/>
          </w:tcPr>
          <w:p w14:paraId="0366147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3,7%</w:t>
            </w:r>
          </w:p>
        </w:tc>
        <w:tc>
          <w:tcPr>
            <w:tcW w:w="1700" w:type="dxa"/>
            <w:vAlign w:val="bottom"/>
          </w:tcPr>
          <w:p w14:paraId="7E2B1C2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-38,4%</w:t>
            </w:r>
          </w:p>
        </w:tc>
      </w:tr>
      <w:tr w:rsidR="004E6FF8" w14:paraId="53BCEA3C"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05E61BD"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84" w:type="dxa"/>
            <w:vAlign w:val="bottom"/>
          </w:tcPr>
          <w:p w14:paraId="5FD8452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1.645 €</w:t>
            </w:r>
          </w:p>
        </w:tc>
        <w:tc>
          <w:tcPr>
            <w:tcW w:w="1559" w:type="dxa"/>
            <w:vAlign w:val="bottom"/>
          </w:tcPr>
          <w:p w14:paraId="06E203E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27BC456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3,7%</w:t>
            </w:r>
          </w:p>
        </w:tc>
        <w:tc>
          <w:tcPr>
            <w:tcW w:w="1700" w:type="dxa"/>
            <w:vAlign w:val="bottom"/>
          </w:tcPr>
          <w:p w14:paraId="7CBF58C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-29,3%</w:t>
            </w:r>
          </w:p>
        </w:tc>
      </w:tr>
      <w:tr w:rsidR="004E6FF8" w14:paraId="7756600F"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172DF09"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4" w:type="dxa"/>
            <w:vAlign w:val="bottom"/>
          </w:tcPr>
          <w:p w14:paraId="7EE30A9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1.743 €</w:t>
            </w:r>
          </w:p>
        </w:tc>
        <w:tc>
          <w:tcPr>
            <w:tcW w:w="1559" w:type="dxa"/>
            <w:vAlign w:val="bottom"/>
          </w:tcPr>
          <w:p w14:paraId="67198CFB"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5A42627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c>
          <w:tcPr>
            <w:tcW w:w="1700" w:type="dxa"/>
            <w:vAlign w:val="bottom"/>
          </w:tcPr>
          <w:p w14:paraId="3FC8043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-25,1%</w:t>
            </w:r>
          </w:p>
        </w:tc>
      </w:tr>
      <w:tr w:rsidR="004E6FF8" w14:paraId="66E6A449"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7B0147D"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490ECEC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3.158 €</w:t>
            </w:r>
          </w:p>
        </w:tc>
        <w:tc>
          <w:tcPr>
            <w:tcW w:w="1559" w:type="dxa"/>
            <w:vAlign w:val="bottom"/>
          </w:tcPr>
          <w:p w14:paraId="581ED00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311F776F"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700" w:type="dxa"/>
            <w:vAlign w:val="bottom"/>
          </w:tcPr>
          <w:p w14:paraId="1F359D7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35,7%</w:t>
            </w:r>
          </w:p>
        </w:tc>
      </w:tr>
      <w:tr w:rsidR="004E6FF8" w14:paraId="39DD793A"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9397E5B"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4" w:type="dxa"/>
            <w:vAlign w:val="bottom"/>
          </w:tcPr>
          <w:p w14:paraId="6DB129DE"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1.538 €</w:t>
            </w:r>
          </w:p>
        </w:tc>
        <w:tc>
          <w:tcPr>
            <w:tcW w:w="1559" w:type="dxa"/>
            <w:vAlign w:val="bottom"/>
          </w:tcPr>
          <w:p w14:paraId="40A02E6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5C21B9F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700" w:type="dxa"/>
            <w:vAlign w:val="bottom"/>
          </w:tcPr>
          <w:p w14:paraId="14E8965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-33,9%</w:t>
            </w:r>
          </w:p>
        </w:tc>
      </w:tr>
      <w:tr w:rsidR="004E6FF8" w14:paraId="027F3666"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0808130"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5CE8BD1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2.079 €</w:t>
            </w:r>
          </w:p>
        </w:tc>
        <w:tc>
          <w:tcPr>
            <w:tcW w:w="1559" w:type="dxa"/>
            <w:vAlign w:val="bottom"/>
          </w:tcPr>
          <w:p w14:paraId="67AC07F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701" w:type="dxa"/>
            <w:vAlign w:val="bottom"/>
          </w:tcPr>
          <w:p w14:paraId="4DBA221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700" w:type="dxa"/>
            <w:vAlign w:val="bottom"/>
          </w:tcPr>
          <w:p w14:paraId="78B9946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-10,7%</w:t>
            </w:r>
          </w:p>
        </w:tc>
      </w:tr>
      <w:tr w:rsidR="004E6FF8" w14:paraId="084F36E4"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55687A6"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439EC5A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1.742 €</w:t>
            </w:r>
          </w:p>
        </w:tc>
        <w:tc>
          <w:tcPr>
            <w:tcW w:w="1559" w:type="dxa"/>
            <w:vAlign w:val="bottom"/>
          </w:tcPr>
          <w:p w14:paraId="3D12243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7C040574"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700" w:type="dxa"/>
            <w:vAlign w:val="bottom"/>
          </w:tcPr>
          <w:p w14:paraId="41522B2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-25,1%</w:t>
            </w:r>
          </w:p>
        </w:tc>
      </w:tr>
      <w:tr w:rsidR="004E6FF8" w14:paraId="58036B50"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1F97EA0"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3B7BAA0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1.665 €</w:t>
            </w:r>
          </w:p>
        </w:tc>
        <w:tc>
          <w:tcPr>
            <w:tcW w:w="1559" w:type="dxa"/>
            <w:vAlign w:val="bottom"/>
          </w:tcPr>
          <w:p w14:paraId="12358EB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701" w:type="dxa"/>
            <w:vAlign w:val="bottom"/>
          </w:tcPr>
          <w:p w14:paraId="2BB14F6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2,2%</w:t>
            </w:r>
          </w:p>
        </w:tc>
        <w:tc>
          <w:tcPr>
            <w:tcW w:w="1700" w:type="dxa"/>
            <w:vAlign w:val="bottom"/>
          </w:tcPr>
          <w:p w14:paraId="4C4040D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-28,5%</w:t>
            </w:r>
          </w:p>
        </w:tc>
      </w:tr>
      <w:tr w:rsidR="004E6FF8" w14:paraId="560F4D75"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638D0A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84" w:type="dxa"/>
            <w:vAlign w:val="bottom"/>
          </w:tcPr>
          <w:p w14:paraId="1CA9626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1.134 €</w:t>
            </w:r>
          </w:p>
        </w:tc>
        <w:tc>
          <w:tcPr>
            <w:tcW w:w="1559" w:type="dxa"/>
            <w:vAlign w:val="bottom"/>
          </w:tcPr>
          <w:p w14:paraId="2931953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6E36197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2,2%</w:t>
            </w:r>
          </w:p>
        </w:tc>
        <w:tc>
          <w:tcPr>
            <w:tcW w:w="1700" w:type="dxa"/>
            <w:vAlign w:val="bottom"/>
          </w:tcPr>
          <w:p w14:paraId="2C7D180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-51,3%</w:t>
            </w:r>
          </w:p>
        </w:tc>
      </w:tr>
      <w:tr w:rsidR="004E6FF8" w14:paraId="656B58DF"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41B72F3"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84" w:type="dxa"/>
            <w:vAlign w:val="bottom"/>
          </w:tcPr>
          <w:p w14:paraId="4C1587E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1.395 €</w:t>
            </w:r>
          </w:p>
        </w:tc>
        <w:tc>
          <w:tcPr>
            <w:tcW w:w="1559" w:type="dxa"/>
            <w:vAlign w:val="bottom"/>
          </w:tcPr>
          <w:p w14:paraId="710B888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6281743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2,0%</w:t>
            </w:r>
          </w:p>
        </w:tc>
        <w:tc>
          <w:tcPr>
            <w:tcW w:w="1700" w:type="dxa"/>
            <w:vAlign w:val="bottom"/>
          </w:tcPr>
          <w:p w14:paraId="1B534ADA"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-40,0%</w:t>
            </w:r>
          </w:p>
        </w:tc>
      </w:tr>
      <w:tr w:rsidR="004E6FF8" w14:paraId="2C628B02"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23D4E62"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84" w:type="dxa"/>
            <w:vAlign w:val="bottom"/>
          </w:tcPr>
          <w:p w14:paraId="64F4EA9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1.463 €</w:t>
            </w:r>
          </w:p>
        </w:tc>
        <w:tc>
          <w:tcPr>
            <w:tcW w:w="1559" w:type="dxa"/>
            <w:vAlign w:val="bottom"/>
          </w:tcPr>
          <w:p w14:paraId="22D9107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7C590B4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w:t>
            </w:r>
          </w:p>
        </w:tc>
        <w:tc>
          <w:tcPr>
            <w:tcW w:w="1700" w:type="dxa"/>
            <w:vAlign w:val="bottom"/>
          </w:tcPr>
          <w:p w14:paraId="7F138F04"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-37,1%</w:t>
            </w:r>
          </w:p>
        </w:tc>
      </w:tr>
      <w:tr w:rsidR="004E6FF8" w14:paraId="3BA10429"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B7B9D9F"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4" w:type="dxa"/>
            <w:vAlign w:val="bottom"/>
          </w:tcPr>
          <w:p w14:paraId="305ACB0F"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1.163 €</w:t>
            </w:r>
          </w:p>
        </w:tc>
        <w:tc>
          <w:tcPr>
            <w:tcW w:w="1559" w:type="dxa"/>
            <w:vAlign w:val="bottom"/>
          </w:tcPr>
          <w:p w14:paraId="262CC05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1DDA89F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w:t>
            </w:r>
          </w:p>
        </w:tc>
        <w:tc>
          <w:tcPr>
            <w:tcW w:w="1700" w:type="dxa"/>
            <w:vAlign w:val="bottom"/>
          </w:tcPr>
          <w:p w14:paraId="63EAA3F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-50,0%</w:t>
            </w:r>
          </w:p>
        </w:tc>
      </w:tr>
      <w:tr w:rsidR="004E6FF8" w14:paraId="0AA4B292"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297309"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702EE77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1.022 €</w:t>
            </w:r>
          </w:p>
        </w:tc>
        <w:tc>
          <w:tcPr>
            <w:tcW w:w="1559" w:type="dxa"/>
            <w:vAlign w:val="bottom"/>
          </w:tcPr>
          <w:p w14:paraId="5272160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7DC49A2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w:t>
            </w:r>
          </w:p>
        </w:tc>
        <w:tc>
          <w:tcPr>
            <w:tcW w:w="1700" w:type="dxa"/>
            <w:vAlign w:val="bottom"/>
          </w:tcPr>
          <w:p w14:paraId="7A5ADB8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-56,1%</w:t>
            </w:r>
          </w:p>
        </w:tc>
      </w:tr>
      <w:tr w:rsidR="004E6FF8" w14:paraId="425AAAE7"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B634D80"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5BA105C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1.459 €</w:t>
            </w:r>
          </w:p>
        </w:tc>
        <w:tc>
          <w:tcPr>
            <w:tcW w:w="1559" w:type="dxa"/>
            <w:vAlign w:val="bottom"/>
          </w:tcPr>
          <w:p w14:paraId="4B66D0C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701" w:type="dxa"/>
            <w:vAlign w:val="bottom"/>
          </w:tcPr>
          <w:p w14:paraId="4264FC7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-0,1%</w:t>
            </w:r>
          </w:p>
        </w:tc>
        <w:tc>
          <w:tcPr>
            <w:tcW w:w="1700" w:type="dxa"/>
            <w:vAlign w:val="bottom"/>
          </w:tcPr>
          <w:p w14:paraId="37368A0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-37,3%</w:t>
            </w:r>
          </w:p>
        </w:tc>
      </w:tr>
      <w:tr w:rsidR="004E6FF8" w14:paraId="132788D6"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5B30C4"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646AA8A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1.200 €</w:t>
            </w:r>
          </w:p>
        </w:tc>
        <w:tc>
          <w:tcPr>
            <w:tcW w:w="1559" w:type="dxa"/>
            <w:vAlign w:val="bottom"/>
          </w:tcPr>
          <w:p w14:paraId="6AD57D5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-1,1%</w:t>
            </w:r>
          </w:p>
        </w:tc>
        <w:tc>
          <w:tcPr>
            <w:tcW w:w="1701" w:type="dxa"/>
            <w:vAlign w:val="bottom"/>
          </w:tcPr>
          <w:p w14:paraId="1B35540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-0,7%</w:t>
            </w:r>
          </w:p>
        </w:tc>
        <w:tc>
          <w:tcPr>
            <w:tcW w:w="1700" w:type="dxa"/>
            <w:vAlign w:val="bottom"/>
          </w:tcPr>
          <w:p w14:paraId="67E68FC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-48,4%</w:t>
            </w:r>
          </w:p>
        </w:tc>
      </w:tr>
      <w:tr w:rsidR="004E6FF8" w14:paraId="425F5451"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EB939A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52E5B98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1.270 €</w:t>
            </w:r>
          </w:p>
        </w:tc>
        <w:tc>
          <w:tcPr>
            <w:tcW w:w="1559" w:type="dxa"/>
            <w:vAlign w:val="bottom"/>
          </w:tcPr>
          <w:p w14:paraId="520C0FB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33C2DF5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-0,8%</w:t>
            </w:r>
          </w:p>
        </w:tc>
        <w:tc>
          <w:tcPr>
            <w:tcW w:w="1700" w:type="dxa"/>
            <w:vAlign w:val="bottom"/>
          </w:tcPr>
          <w:p w14:paraId="55FF68A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-45,4%</w:t>
            </w:r>
          </w:p>
        </w:tc>
      </w:tr>
      <w:tr w:rsidR="004E6FF8" w14:paraId="24623F1D"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E328C5A"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543F4C3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958 €</w:t>
            </w:r>
          </w:p>
        </w:tc>
        <w:tc>
          <w:tcPr>
            <w:tcW w:w="1559" w:type="dxa"/>
            <w:vAlign w:val="bottom"/>
          </w:tcPr>
          <w:p w14:paraId="1B5C771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45513FF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-0,8%</w:t>
            </w:r>
          </w:p>
        </w:tc>
        <w:tc>
          <w:tcPr>
            <w:tcW w:w="1700" w:type="dxa"/>
            <w:vAlign w:val="bottom"/>
          </w:tcPr>
          <w:p w14:paraId="590EB5D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-58,8%</w:t>
            </w:r>
          </w:p>
        </w:tc>
      </w:tr>
      <w:tr w:rsidR="004E6FF8" w14:paraId="5DAB5122" w14:textId="77777777" w:rsidTr="004E6FF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81BFEBE"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984" w:type="dxa"/>
            <w:vAlign w:val="bottom"/>
          </w:tcPr>
          <w:p w14:paraId="1508BC9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1.212 €</w:t>
            </w:r>
          </w:p>
        </w:tc>
        <w:tc>
          <w:tcPr>
            <w:tcW w:w="1559" w:type="dxa"/>
            <w:vAlign w:val="bottom"/>
          </w:tcPr>
          <w:p w14:paraId="0B384A4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-4,8%</w:t>
            </w:r>
          </w:p>
        </w:tc>
        <w:tc>
          <w:tcPr>
            <w:tcW w:w="1701" w:type="dxa"/>
            <w:vAlign w:val="bottom"/>
          </w:tcPr>
          <w:p w14:paraId="0986093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-3,3%</w:t>
            </w:r>
          </w:p>
        </w:tc>
        <w:tc>
          <w:tcPr>
            <w:tcW w:w="1700" w:type="dxa"/>
            <w:vAlign w:val="bottom"/>
          </w:tcPr>
          <w:p w14:paraId="761D50A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-47,9%</w:t>
            </w:r>
          </w:p>
        </w:tc>
      </w:tr>
      <w:tr w:rsidR="004E6FF8" w14:paraId="6F289C68" w14:textId="77777777" w:rsidTr="004E6FF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0546FFA"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4" w:type="dxa"/>
            <w:vAlign w:val="bottom"/>
          </w:tcPr>
          <w:p w14:paraId="12588F8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1.221 €</w:t>
            </w:r>
          </w:p>
        </w:tc>
        <w:tc>
          <w:tcPr>
            <w:tcW w:w="1559" w:type="dxa"/>
            <w:vAlign w:val="bottom"/>
          </w:tcPr>
          <w:p w14:paraId="6A861ED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c>
          <w:tcPr>
            <w:tcW w:w="1701" w:type="dxa"/>
            <w:vAlign w:val="bottom"/>
          </w:tcPr>
          <w:p w14:paraId="365A8CF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-6,9%</w:t>
            </w:r>
          </w:p>
        </w:tc>
        <w:tc>
          <w:tcPr>
            <w:tcW w:w="1700" w:type="dxa"/>
            <w:vAlign w:val="bottom"/>
          </w:tcPr>
          <w:p w14:paraId="4ADF2F5B"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-47,6%</w:t>
            </w:r>
          </w:p>
        </w:tc>
      </w:tr>
    </w:tbl>
    <w:p w14:paraId="59736A46" w14:textId="7F2E836A" w:rsidR="004E6FF8"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provincias</w:t>
      </w:r>
    </w:p>
    <w:p w14:paraId="3BC0ECD3" w14:textId="77777777" w:rsidR="004E6FF8"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49 de las 50 capitales de provincia (en el 98%) con variación interanual sube el precio en julio respecto al año anterior, de los cuales </w:t>
      </w:r>
      <w:r>
        <w:rPr>
          <w:rFonts w:ascii="Open Sans" w:eastAsia="Open Sans" w:hAnsi="Open Sans" w:cs="Open Sans"/>
          <w:b/>
          <w:color w:val="000000"/>
        </w:rPr>
        <w:t xml:space="preserve">17 de las capitales tienen un incremento superior al 10% </w:t>
      </w:r>
      <w:r>
        <w:rPr>
          <w:rFonts w:ascii="Open Sans" w:eastAsia="Open Sans" w:hAnsi="Open Sans" w:cs="Open Sans"/>
          <w:color w:val="000000"/>
        </w:rPr>
        <w:t>y son:</w:t>
      </w:r>
      <w:r>
        <w:rPr>
          <w:rFonts w:ascii="Times New Roman" w:eastAsia="Times New Roman" w:hAnsi="Times New Roman" w:cs="Times New Roman"/>
          <w:color w:val="000000"/>
        </w:rPr>
        <w:t xml:space="preserve"> </w:t>
      </w:r>
      <w:r>
        <w:rPr>
          <w:rFonts w:ascii="Open Sans" w:eastAsia="Open Sans" w:hAnsi="Open Sans" w:cs="Open Sans"/>
          <w:color w:val="000000"/>
        </w:rPr>
        <w:t xml:space="preserve">Madrid capital (23,2%), Málaga capital (23,0%), Toledo capital (19,8%), Valencia capital (16,9%), Granada capital (16,2%), Alicante / Alacant (16,0%), Soria capital (14,5%), Castellón de la Plana / Castelló de la Plana (14,0%), Santander (13,7%), Murcia capital (13,5%), Segovia capital (13,1%), </w:t>
      </w:r>
      <w:r>
        <w:rPr>
          <w:rFonts w:ascii="Open Sans" w:eastAsia="Open Sans" w:hAnsi="Open Sans" w:cs="Open Sans"/>
          <w:color w:val="000000"/>
        </w:rPr>
        <w:lastRenderedPageBreak/>
        <w:t>Sevilla capital (12,2%), Teruel capital (11,1%), Oviedo (11,1%), Valladolid capital (11,0%), Las Palmas de Gran Canaria (10,2%) y Palma de Mallorca (10,1%).</w:t>
      </w:r>
    </w:p>
    <w:p w14:paraId="734A3BFB" w14:textId="77777777" w:rsidR="004E6FF8"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Por otro lado, </w:t>
      </w:r>
      <w:r>
        <w:rPr>
          <w:rFonts w:ascii="Open Sans" w:eastAsia="Open Sans" w:hAnsi="Open Sans" w:cs="Open Sans"/>
          <w:b/>
          <w:color w:val="000000"/>
        </w:rPr>
        <w:t>la ciudad de Madrid lleva nueve meses con incrementos en cadena superiores al 10% y, en concreto, desde abril de este año las subidas del metro cuadrado superan el 20%</w:t>
      </w:r>
      <w:r>
        <w:rPr>
          <w:rFonts w:ascii="Open Sans" w:eastAsia="Open Sans" w:hAnsi="Open Sans" w:cs="Open Sans"/>
          <w:color w:val="000000"/>
        </w:rPr>
        <w:t xml:space="preserve">. </w:t>
      </w:r>
    </w:p>
    <w:p w14:paraId="1F02386B" w14:textId="3B195887" w:rsidR="00D24E3E"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Respecto a los precios, la capital de provincia más cara es Donostia - San Sebastián con 6.440 euros/m</w:t>
      </w:r>
      <w:r>
        <w:rPr>
          <w:rFonts w:ascii="Open Sans" w:eastAsia="Open Sans" w:hAnsi="Open Sans" w:cs="Open Sans"/>
          <w:color w:val="000000"/>
          <w:vertAlign w:val="superscript"/>
        </w:rPr>
        <w:t>2</w:t>
      </w:r>
      <w:r>
        <w:rPr>
          <w:rFonts w:ascii="Open Sans" w:eastAsia="Open Sans" w:hAnsi="Open Sans" w:cs="Open Sans"/>
          <w:color w:val="000000"/>
        </w:rPr>
        <w:t>, seguida de Madrid capital con 5.405 euros/m</w:t>
      </w:r>
      <w:r>
        <w:rPr>
          <w:rFonts w:ascii="Open Sans" w:eastAsia="Open Sans" w:hAnsi="Open Sans" w:cs="Open Sans"/>
          <w:color w:val="000000"/>
          <w:vertAlign w:val="superscript"/>
        </w:rPr>
        <w:t>2</w:t>
      </w:r>
      <w:r>
        <w:rPr>
          <w:rFonts w:ascii="Open Sans" w:eastAsia="Open Sans" w:hAnsi="Open Sans" w:cs="Open Sans"/>
          <w:color w:val="000000"/>
        </w:rPr>
        <w:t>, Barcelona capital con 4.741 euros/m</w:t>
      </w:r>
      <w:r>
        <w:rPr>
          <w:rFonts w:ascii="Open Sans" w:eastAsia="Open Sans" w:hAnsi="Open Sans" w:cs="Open Sans"/>
          <w:color w:val="000000"/>
          <w:vertAlign w:val="superscript"/>
        </w:rPr>
        <w:t>2</w:t>
      </w:r>
      <w:r>
        <w:rPr>
          <w:rFonts w:ascii="Open Sans" w:eastAsia="Open Sans" w:hAnsi="Open Sans" w:cs="Open Sans"/>
          <w:color w:val="000000"/>
        </w:rPr>
        <w:t>, Palma de Mallorca con 4.425 euros/m</w:t>
      </w:r>
      <w:r>
        <w:rPr>
          <w:rFonts w:ascii="Open Sans" w:eastAsia="Open Sans" w:hAnsi="Open Sans" w:cs="Open Sans"/>
          <w:color w:val="000000"/>
          <w:vertAlign w:val="superscript"/>
        </w:rPr>
        <w:t>2</w:t>
      </w:r>
      <w:r>
        <w:rPr>
          <w:rFonts w:ascii="Open Sans" w:eastAsia="Open Sans" w:hAnsi="Open Sans" w:cs="Open Sans"/>
          <w:color w:val="000000"/>
        </w:rPr>
        <w:t>, Málaga capital con 3.825 euros/m</w:t>
      </w:r>
      <w:r>
        <w:rPr>
          <w:rFonts w:ascii="Open Sans" w:eastAsia="Open Sans" w:hAnsi="Open Sans" w:cs="Open Sans"/>
          <w:color w:val="000000"/>
          <w:vertAlign w:val="superscript"/>
        </w:rPr>
        <w:t>2</w:t>
      </w:r>
      <w:r>
        <w:rPr>
          <w:rFonts w:ascii="Open Sans" w:eastAsia="Open Sans" w:hAnsi="Open Sans" w:cs="Open Sans"/>
          <w:color w:val="000000"/>
        </w:rPr>
        <w:t>, Bilbao con 3.619 euros/m</w:t>
      </w:r>
      <w:r>
        <w:rPr>
          <w:rFonts w:ascii="Open Sans" w:eastAsia="Open Sans" w:hAnsi="Open Sans" w:cs="Open Sans"/>
          <w:color w:val="000000"/>
          <w:vertAlign w:val="superscript"/>
        </w:rPr>
        <w:t>2</w:t>
      </w:r>
      <w:r>
        <w:rPr>
          <w:rFonts w:ascii="Open Sans" w:eastAsia="Open Sans" w:hAnsi="Open Sans" w:cs="Open Sans"/>
          <w:color w:val="000000"/>
        </w:rPr>
        <w:t>, Cádiz capital con 3.062 euros/m</w:t>
      </w:r>
      <w:r>
        <w:rPr>
          <w:rFonts w:ascii="Open Sans" w:eastAsia="Open Sans" w:hAnsi="Open Sans" w:cs="Open Sans"/>
          <w:color w:val="000000"/>
          <w:vertAlign w:val="superscript"/>
        </w:rPr>
        <w:t>2</w:t>
      </w:r>
      <w:r>
        <w:rPr>
          <w:rFonts w:ascii="Open Sans" w:eastAsia="Open Sans" w:hAnsi="Open Sans" w:cs="Open Sans"/>
          <w:color w:val="000000"/>
        </w:rPr>
        <w:t xml:space="preserve"> y Pamplona / Iruña con 3.030 euros/m</w:t>
      </w:r>
      <w:r>
        <w:rPr>
          <w:rFonts w:ascii="Open Sans" w:eastAsia="Open Sans" w:hAnsi="Open Sans" w:cs="Open Sans"/>
          <w:color w:val="000000"/>
          <w:vertAlign w:val="superscript"/>
        </w:rPr>
        <w:t>2</w:t>
      </w:r>
      <w:r>
        <w:rPr>
          <w:rFonts w:ascii="Open Sans" w:eastAsia="Open Sans" w:hAnsi="Open Sans" w:cs="Open Sans"/>
          <w:color w:val="000000"/>
        </w:rPr>
        <w:t>. Por otro lado, la capital de provincia más económica es Zamo</w:t>
      </w:r>
      <w:r w:rsidR="006939BA">
        <w:rPr>
          <w:rFonts w:ascii="Open Sans" w:eastAsia="Open Sans" w:hAnsi="Open Sans" w:cs="Open Sans"/>
          <w:color w:val="000000"/>
        </w:rPr>
        <w:t>r</w:t>
      </w:r>
      <w:r>
        <w:rPr>
          <w:rFonts w:ascii="Open Sans" w:eastAsia="Open Sans" w:hAnsi="Open Sans" w:cs="Open Sans"/>
          <w:color w:val="000000"/>
        </w:rPr>
        <w:t>a capital con 1.298 euros el metro cuadrado.</w:t>
      </w:r>
    </w:p>
    <w:p w14:paraId="3569D2ED" w14:textId="51B013F8" w:rsidR="00D24E3E" w:rsidRDefault="00D24E3E" w:rsidP="00D24E3E">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 de mayor a menor incremento interanual</w:t>
      </w: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268"/>
        <w:gridCol w:w="1984"/>
        <w:gridCol w:w="1559"/>
        <w:gridCol w:w="1692"/>
      </w:tblGrid>
      <w:tr w:rsidR="004E6FF8" w14:paraId="7B23A209" w14:textId="77777777" w:rsidTr="004E6FF8">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75C2705"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268" w:type="dxa"/>
            <w:vAlign w:val="center"/>
          </w:tcPr>
          <w:p w14:paraId="0551C616" w14:textId="77777777" w:rsidR="004E6FF8"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2D28E740"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153C5101"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45FC432B"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692" w:type="dxa"/>
            <w:vAlign w:val="center"/>
          </w:tcPr>
          <w:p w14:paraId="79A99E1C"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4E6FF8" w14:paraId="309D68D9"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10C3BDE"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268" w:type="dxa"/>
            <w:vAlign w:val="bottom"/>
          </w:tcPr>
          <w:p w14:paraId="6D616C38"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4" w:type="dxa"/>
            <w:vAlign w:val="bottom"/>
          </w:tcPr>
          <w:p w14:paraId="4D817F8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5.405 €</w:t>
            </w:r>
          </w:p>
        </w:tc>
        <w:tc>
          <w:tcPr>
            <w:tcW w:w="1559" w:type="dxa"/>
            <w:vAlign w:val="bottom"/>
          </w:tcPr>
          <w:p w14:paraId="7C0545B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692" w:type="dxa"/>
            <w:vAlign w:val="bottom"/>
          </w:tcPr>
          <w:p w14:paraId="71504CC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23,2%</w:t>
            </w:r>
          </w:p>
        </w:tc>
      </w:tr>
      <w:tr w:rsidR="004E6FF8" w14:paraId="22672A31"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1CC137E"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268" w:type="dxa"/>
            <w:vAlign w:val="bottom"/>
          </w:tcPr>
          <w:p w14:paraId="2D148744"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984" w:type="dxa"/>
            <w:vAlign w:val="bottom"/>
          </w:tcPr>
          <w:p w14:paraId="079601E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3.825 €</w:t>
            </w:r>
          </w:p>
        </w:tc>
        <w:tc>
          <w:tcPr>
            <w:tcW w:w="1559" w:type="dxa"/>
            <w:vAlign w:val="bottom"/>
          </w:tcPr>
          <w:p w14:paraId="20D4290E"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692" w:type="dxa"/>
            <w:vAlign w:val="bottom"/>
          </w:tcPr>
          <w:p w14:paraId="0637B6A9"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23,0%</w:t>
            </w:r>
          </w:p>
        </w:tc>
      </w:tr>
      <w:tr w:rsidR="004E6FF8" w14:paraId="42BD86E2"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ACA6780"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268" w:type="dxa"/>
            <w:vAlign w:val="bottom"/>
          </w:tcPr>
          <w:p w14:paraId="71F18133"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58F66A5A"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1.843 €</w:t>
            </w:r>
          </w:p>
        </w:tc>
        <w:tc>
          <w:tcPr>
            <w:tcW w:w="1559" w:type="dxa"/>
            <w:vAlign w:val="bottom"/>
          </w:tcPr>
          <w:p w14:paraId="005ADD0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692" w:type="dxa"/>
            <w:vAlign w:val="bottom"/>
          </w:tcPr>
          <w:p w14:paraId="38DE49AF"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19,8%</w:t>
            </w:r>
          </w:p>
        </w:tc>
      </w:tr>
      <w:tr w:rsidR="004E6FF8" w14:paraId="3245E4B2"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BEC58D3"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268" w:type="dxa"/>
            <w:vAlign w:val="bottom"/>
          </w:tcPr>
          <w:p w14:paraId="351896DB"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984" w:type="dxa"/>
            <w:vAlign w:val="bottom"/>
          </w:tcPr>
          <w:p w14:paraId="0B60214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2.938 €</w:t>
            </w:r>
          </w:p>
        </w:tc>
        <w:tc>
          <w:tcPr>
            <w:tcW w:w="1559" w:type="dxa"/>
            <w:vAlign w:val="bottom"/>
          </w:tcPr>
          <w:p w14:paraId="01EA8DB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1E4AAFC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16,9%</w:t>
            </w:r>
          </w:p>
        </w:tc>
      </w:tr>
      <w:tr w:rsidR="004E6FF8" w14:paraId="1071146B"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636020"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268" w:type="dxa"/>
            <w:vAlign w:val="bottom"/>
          </w:tcPr>
          <w:p w14:paraId="056B6ED7"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984" w:type="dxa"/>
            <w:vAlign w:val="bottom"/>
          </w:tcPr>
          <w:p w14:paraId="0587DEF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2.553 €</w:t>
            </w:r>
          </w:p>
        </w:tc>
        <w:tc>
          <w:tcPr>
            <w:tcW w:w="1559" w:type="dxa"/>
            <w:vAlign w:val="bottom"/>
          </w:tcPr>
          <w:p w14:paraId="4881475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92" w:type="dxa"/>
            <w:vAlign w:val="bottom"/>
          </w:tcPr>
          <w:p w14:paraId="229A31B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16,2%</w:t>
            </w:r>
          </w:p>
        </w:tc>
      </w:tr>
      <w:tr w:rsidR="004E6FF8" w14:paraId="3681FDCB"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D28FA6D"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268" w:type="dxa"/>
            <w:vAlign w:val="bottom"/>
          </w:tcPr>
          <w:p w14:paraId="081C1239"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984" w:type="dxa"/>
            <w:vAlign w:val="bottom"/>
          </w:tcPr>
          <w:p w14:paraId="37F3DA64"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2.459 €</w:t>
            </w:r>
          </w:p>
        </w:tc>
        <w:tc>
          <w:tcPr>
            <w:tcW w:w="1559" w:type="dxa"/>
            <w:vAlign w:val="bottom"/>
          </w:tcPr>
          <w:p w14:paraId="210E055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92" w:type="dxa"/>
            <w:vAlign w:val="bottom"/>
          </w:tcPr>
          <w:p w14:paraId="31EEF03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16,0%</w:t>
            </w:r>
          </w:p>
        </w:tc>
      </w:tr>
      <w:tr w:rsidR="004E6FF8" w14:paraId="7CEDF304"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3F214BC"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268" w:type="dxa"/>
            <w:vAlign w:val="bottom"/>
          </w:tcPr>
          <w:p w14:paraId="69124EC7"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Soria capital</w:t>
            </w:r>
          </w:p>
        </w:tc>
        <w:tc>
          <w:tcPr>
            <w:tcW w:w="1984" w:type="dxa"/>
            <w:vAlign w:val="bottom"/>
          </w:tcPr>
          <w:p w14:paraId="7E652A5D"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1.915 €</w:t>
            </w:r>
          </w:p>
        </w:tc>
        <w:tc>
          <w:tcPr>
            <w:tcW w:w="1559" w:type="dxa"/>
            <w:vAlign w:val="bottom"/>
          </w:tcPr>
          <w:p w14:paraId="0A173E9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c>
          <w:tcPr>
            <w:tcW w:w="1692" w:type="dxa"/>
            <w:vAlign w:val="bottom"/>
          </w:tcPr>
          <w:p w14:paraId="38C872E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14,5%</w:t>
            </w:r>
          </w:p>
        </w:tc>
      </w:tr>
      <w:tr w:rsidR="004E6FF8" w14:paraId="2B6DDEBD"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F90E97F"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268" w:type="dxa"/>
            <w:vAlign w:val="bottom"/>
          </w:tcPr>
          <w:p w14:paraId="055A8F85"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984" w:type="dxa"/>
            <w:vAlign w:val="bottom"/>
          </w:tcPr>
          <w:p w14:paraId="7E40A7B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1.488 €</w:t>
            </w:r>
          </w:p>
        </w:tc>
        <w:tc>
          <w:tcPr>
            <w:tcW w:w="1559" w:type="dxa"/>
            <w:vAlign w:val="bottom"/>
          </w:tcPr>
          <w:p w14:paraId="117040B4"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92" w:type="dxa"/>
            <w:vAlign w:val="bottom"/>
          </w:tcPr>
          <w:p w14:paraId="1A6EE5A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14,0%</w:t>
            </w:r>
          </w:p>
        </w:tc>
      </w:tr>
      <w:tr w:rsidR="004E6FF8" w14:paraId="17414501"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106B7AD"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268" w:type="dxa"/>
            <w:vAlign w:val="bottom"/>
          </w:tcPr>
          <w:p w14:paraId="69C13878"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984" w:type="dxa"/>
            <w:vAlign w:val="bottom"/>
          </w:tcPr>
          <w:p w14:paraId="34A03E8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2.746 €</w:t>
            </w:r>
          </w:p>
        </w:tc>
        <w:tc>
          <w:tcPr>
            <w:tcW w:w="1559" w:type="dxa"/>
            <w:vAlign w:val="bottom"/>
          </w:tcPr>
          <w:p w14:paraId="028B2F8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692" w:type="dxa"/>
            <w:vAlign w:val="bottom"/>
          </w:tcPr>
          <w:p w14:paraId="30AA7B1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13,7%</w:t>
            </w:r>
          </w:p>
        </w:tc>
      </w:tr>
      <w:tr w:rsidR="004E6FF8" w14:paraId="7BB7C48B"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00F674"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268" w:type="dxa"/>
            <w:vAlign w:val="bottom"/>
          </w:tcPr>
          <w:p w14:paraId="45FB97BB"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984" w:type="dxa"/>
            <w:vAlign w:val="bottom"/>
          </w:tcPr>
          <w:p w14:paraId="5FF8C7B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1.681 €</w:t>
            </w:r>
          </w:p>
        </w:tc>
        <w:tc>
          <w:tcPr>
            <w:tcW w:w="1559" w:type="dxa"/>
            <w:vAlign w:val="bottom"/>
          </w:tcPr>
          <w:p w14:paraId="6613593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692" w:type="dxa"/>
            <w:vAlign w:val="bottom"/>
          </w:tcPr>
          <w:p w14:paraId="0F52EF6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13,5%</w:t>
            </w:r>
          </w:p>
        </w:tc>
      </w:tr>
      <w:tr w:rsidR="004E6FF8" w14:paraId="2602459A"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3FBFF2E"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268" w:type="dxa"/>
            <w:vAlign w:val="bottom"/>
          </w:tcPr>
          <w:p w14:paraId="05797D21"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984" w:type="dxa"/>
            <w:vAlign w:val="bottom"/>
          </w:tcPr>
          <w:p w14:paraId="20C2004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2.011 €</w:t>
            </w:r>
          </w:p>
        </w:tc>
        <w:tc>
          <w:tcPr>
            <w:tcW w:w="1559" w:type="dxa"/>
            <w:vAlign w:val="bottom"/>
          </w:tcPr>
          <w:p w14:paraId="4D92755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92" w:type="dxa"/>
            <w:vAlign w:val="bottom"/>
          </w:tcPr>
          <w:p w14:paraId="06AC95FA"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13,1%</w:t>
            </w:r>
          </w:p>
        </w:tc>
      </w:tr>
      <w:tr w:rsidR="004E6FF8" w14:paraId="638D16ED"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034FE1C"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268" w:type="dxa"/>
            <w:vAlign w:val="bottom"/>
          </w:tcPr>
          <w:p w14:paraId="4C0557DB"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984" w:type="dxa"/>
            <w:vAlign w:val="bottom"/>
          </w:tcPr>
          <w:p w14:paraId="040844AE"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2.552 €</w:t>
            </w:r>
          </w:p>
        </w:tc>
        <w:tc>
          <w:tcPr>
            <w:tcW w:w="1559" w:type="dxa"/>
            <w:vAlign w:val="bottom"/>
          </w:tcPr>
          <w:p w14:paraId="4C3F6BB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692" w:type="dxa"/>
            <w:vAlign w:val="bottom"/>
          </w:tcPr>
          <w:p w14:paraId="38139D7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12,2%</w:t>
            </w:r>
          </w:p>
        </w:tc>
      </w:tr>
      <w:tr w:rsidR="004E6FF8" w14:paraId="3CA4B954"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6B5787C"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268" w:type="dxa"/>
            <w:vAlign w:val="bottom"/>
          </w:tcPr>
          <w:p w14:paraId="6ADC0695"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Teruel capital</w:t>
            </w:r>
          </w:p>
        </w:tc>
        <w:tc>
          <w:tcPr>
            <w:tcW w:w="1984" w:type="dxa"/>
            <w:vAlign w:val="bottom"/>
          </w:tcPr>
          <w:p w14:paraId="15F584A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1.590 €</w:t>
            </w:r>
          </w:p>
        </w:tc>
        <w:tc>
          <w:tcPr>
            <w:tcW w:w="1559" w:type="dxa"/>
            <w:vAlign w:val="bottom"/>
          </w:tcPr>
          <w:p w14:paraId="06EEE4B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c>
          <w:tcPr>
            <w:tcW w:w="1692" w:type="dxa"/>
            <w:vAlign w:val="bottom"/>
          </w:tcPr>
          <w:p w14:paraId="15C834F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11,1%</w:t>
            </w:r>
          </w:p>
        </w:tc>
      </w:tr>
      <w:tr w:rsidR="004E6FF8" w14:paraId="57ACD24B"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6669DF1"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268" w:type="dxa"/>
            <w:vAlign w:val="bottom"/>
          </w:tcPr>
          <w:p w14:paraId="79C5D288"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984" w:type="dxa"/>
            <w:vAlign w:val="bottom"/>
          </w:tcPr>
          <w:p w14:paraId="352A9D2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2.007 €</w:t>
            </w:r>
          </w:p>
        </w:tc>
        <w:tc>
          <w:tcPr>
            <w:tcW w:w="1559" w:type="dxa"/>
            <w:vAlign w:val="bottom"/>
          </w:tcPr>
          <w:p w14:paraId="3EDB8A74"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075B613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11,1%</w:t>
            </w:r>
          </w:p>
        </w:tc>
      </w:tr>
      <w:tr w:rsidR="004E6FF8" w14:paraId="729163B0"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C0C6F40"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268" w:type="dxa"/>
            <w:vAlign w:val="bottom"/>
          </w:tcPr>
          <w:p w14:paraId="2414A239"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984" w:type="dxa"/>
            <w:vAlign w:val="bottom"/>
          </w:tcPr>
          <w:p w14:paraId="46A0327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1.930 €</w:t>
            </w:r>
          </w:p>
        </w:tc>
        <w:tc>
          <w:tcPr>
            <w:tcW w:w="1559" w:type="dxa"/>
            <w:vAlign w:val="bottom"/>
          </w:tcPr>
          <w:p w14:paraId="0ABD875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23FE6C6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11,0%</w:t>
            </w:r>
          </w:p>
        </w:tc>
      </w:tr>
      <w:tr w:rsidR="004E6FF8" w14:paraId="7119C8F5"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EAA4096"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268" w:type="dxa"/>
            <w:vAlign w:val="bottom"/>
          </w:tcPr>
          <w:p w14:paraId="747C98D3"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984" w:type="dxa"/>
            <w:vAlign w:val="bottom"/>
          </w:tcPr>
          <w:p w14:paraId="6AFFCAC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2.669 €</w:t>
            </w:r>
          </w:p>
        </w:tc>
        <w:tc>
          <w:tcPr>
            <w:tcW w:w="1559" w:type="dxa"/>
            <w:vAlign w:val="bottom"/>
          </w:tcPr>
          <w:p w14:paraId="7213963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692" w:type="dxa"/>
            <w:vAlign w:val="bottom"/>
          </w:tcPr>
          <w:p w14:paraId="7476153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10,2%</w:t>
            </w:r>
          </w:p>
        </w:tc>
      </w:tr>
      <w:tr w:rsidR="004E6FF8" w14:paraId="2FEF0005"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53F4C54"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268" w:type="dxa"/>
            <w:vAlign w:val="bottom"/>
          </w:tcPr>
          <w:p w14:paraId="685FE697"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984" w:type="dxa"/>
            <w:vAlign w:val="bottom"/>
          </w:tcPr>
          <w:p w14:paraId="421E11E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4.425 €</w:t>
            </w:r>
          </w:p>
        </w:tc>
        <w:tc>
          <w:tcPr>
            <w:tcW w:w="1559" w:type="dxa"/>
            <w:vAlign w:val="bottom"/>
          </w:tcPr>
          <w:p w14:paraId="16A1F66F"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692" w:type="dxa"/>
            <w:vAlign w:val="bottom"/>
          </w:tcPr>
          <w:p w14:paraId="5E77AB2F"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10,1%</w:t>
            </w:r>
          </w:p>
        </w:tc>
      </w:tr>
      <w:tr w:rsidR="004E6FF8" w14:paraId="10FFD259"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EE0806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268" w:type="dxa"/>
            <w:vAlign w:val="bottom"/>
          </w:tcPr>
          <w:p w14:paraId="05AADF4A"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984" w:type="dxa"/>
            <w:vAlign w:val="bottom"/>
          </w:tcPr>
          <w:p w14:paraId="0744D4B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1.496 €</w:t>
            </w:r>
          </w:p>
        </w:tc>
        <w:tc>
          <w:tcPr>
            <w:tcW w:w="1559" w:type="dxa"/>
            <w:vAlign w:val="bottom"/>
          </w:tcPr>
          <w:p w14:paraId="76A0C76B"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692" w:type="dxa"/>
            <w:vAlign w:val="bottom"/>
          </w:tcPr>
          <w:p w14:paraId="110F3F6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9,8%</w:t>
            </w:r>
          </w:p>
        </w:tc>
      </w:tr>
      <w:tr w:rsidR="004E6FF8" w14:paraId="1DD24158"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1354CD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268" w:type="dxa"/>
            <w:vAlign w:val="bottom"/>
          </w:tcPr>
          <w:p w14:paraId="34D1A9E6"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984" w:type="dxa"/>
            <w:vAlign w:val="bottom"/>
          </w:tcPr>
          <w:p w14:paraId="6A6FB59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1.719 €</w:t>
            </w:r>
          </w:p>
        </w:tc>
        <w:tc>
          <w:tcPr>
            <w:tcW w:w="1559" w:type="dxa"/>
            <w:vAlign w:val="bottom"/>
          </w:tcPr>
          <w:p w14:paraId="5A9573C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692" w:type="dxa"/>
            <w:vAlign w:val="bottom"/>
          </w:tcPr>
          <w:p w14:paraId="3287C66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9,1%</w:t>
            </w:r>
          </w:p>
        </w:tc>
      </w:tr>
      <w:tr w:rsidR="004E6FF8" w14:paraId="6C28668B"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6219919"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268" w:type="dxa"/>
            <w:vAlign w:val="bottom"/>
          </w:tcPr>
          <w:p w14:paraId="71FB1C89"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984" w:type="dxa"/>
            <w:vAlign w:val="bottom"/>
          </w:tcPr>
          <w:p w14:paraId="4982A669"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2.242 €</w:t>
            </w:r>
          </w:p>
        </w:tc>
        <w:tc>
          <w:tcPr>
            <w:tcW w:w="1559" w:type="dxa"/>
            <w:vAlign w:val="bottom"/>
          </w:tcPr>
          <w:p w14:paraId="3436E0B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92" w:type="dxa"/>
            <w:vAlign w:val="bottom"/>
          </w:tcPr>
          <w:p w14:paraId="385691E9"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9,0%</w:t>
            </w:r>
          </w:p>
        </w:tc>
      </w:tr>
      <w:tr w:rsidR="004E6FF8" w14:paraId="2B915DE2"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4F2C699"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268" w:type="dxa"/>
            <w:vAlign w:val="bottom"/>
          </w:tcPr>
          <w:p w14:paraId="50B9CF32"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984" w:type="dxa"/>
            <w:vAlign w:val="bottom"/>
          </w:tcPr>
          <w:p w14:paraId="034E956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2.135 €</w:t>
            </w:r>
          </w:p>
        </w:tc>
        <w:tc>
          <w:tcPr>
            <w:tcW w:w="1559" w:type="dxa"/>
            <w:vAlign w:val="bottom"/>
          </w:tcPr>
          <w:p w14:paraId="78C7050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692" w:type="dxa"/>
            <w:vAlign w:val="bottom"/>
          </w:tcPr>
          <w:p w14:paraId="0619EC7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8,9%</w:t>
            </w:r>
          </w:p>
        </w:tc>
      </w:tr>
      <w:tr w:rsidR="004E6FF8" w14:paraId="2C8BFE41"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2CB79FA"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Burgos</w:t>
            </w:r>
          </w:p>
        </w:tc>
        <w:tc>
          <w:tcPr>
            <w:tcW w:w="2268" w:type="dxa"/>
            <w:vAlign w:val="bottom"/>
          </w:tcPr>
          <w:p w14:paraId="53131B40"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984" w:type="dxa"/>
            <w:vAlign w:val="bottom"/>
          </w:tcPr>
          <w:p w14:paraId="1F093F4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1.937 €</w:t>
            </w:r>
          </w:p>
        </w:tc>
        <w:tc>
          <w:tcPr>
            <w:tcW w:w="1559" w:type="dxa"/>
            <w:vAlign w:val="bottom"/>
          </w:tcPr>
          <w:p w14:paraId="40CCFC74"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92" w:type="dxa"/>
            <w:vAlign w:val="bottom"/>
          </w:tcPr>
          <w:p w14:paraId="12FDC56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8,4%</w:t>
            </w:r>
          </w:p>
        </w:tc>
      </w:tr>
      <w:tr w:rsidR="004E6FF8" w14:paraId="71E3129C"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1A5CFAB"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268" w:type="dxa"/>
            <w:vAlign w:val="bottom"/>
          </w:tcPr>
          <w:p w14:paraId="211C949C"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984" w:type="dxa"/>
            <w:vAlign w:val="bottom"/>
          </w:tcPr>
          <w:p w14:paraId="607DF51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2.848 €</w:t>
            </w:r>
          </w:p>
        </w:tc>
        <w:tc>
          <w:tcPr>
            <w:tcW w:w="1559" w:type="dxa"/>
            <w:vAlign w:val="bottom"/>
          </w:tcPr>
          <w:p w14:paraId="5B2F898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1692" w:type="dxa"/>
            <w:vAlign w:val="bottom"/>
          </w:tcPr>
          <w:p w14:paraId="49BCFA8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8,3%</w:t>
            </w:r>
          </w:p>
        </w:tc>
      </w:tr>
      <w:tr w:rsidR="004E6FF8" w14:paraId="7814A192"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F4DCC28"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268" w:type="dxa"/>
            <w:vAlign w:val="bottom"/>
          </w:tcPr>
          <w:p w14:paraId="569DDA25"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4" w:type="dxa"/>
            <w:vAlign w:val="bottom"/>
          </w:tcPr>
          <w:p w14:paraId="00C69F74"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6.440 €</w:t>
            </w:r>
          </w:p>
        </w:tc>
        <w:tc>
          <w:tcPr>
            <w:tcW w:w="1559" w:type="dxa"/>
            <w:vAlign w:val="bottom"/>
          </w:tcPr>
          <w:p w14:paraId="5EDFC8BB"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692" w:type="dxa"/>
            <w:vAlign w:val="bottom"/>
          </w:tcPr>
          <w:p w14:paraId="4A24927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8,0%</w:t>
            </w:r>
          </w:p>
        </w:tc>
      </w:tr>
      <w:tr w:rsidR="004E6FF8" w14:paraId="51A19186"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A8747EA"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268" w:type="dxa"/>
            <w:vAlign w:val="bottom"/>
          </w:tcPr>
          <w:p w14:paraId="42DEA8CF"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984" w:type="dxa"/>
            <w:vAlign w:val="bottom"/>
          </w:tcPr>
          <w:p w14:paraId="72FEEE0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1.377 €</w:t>
            </w:r>
          </w:p>
        </w:tc>
        <w:tc>
          <w:tcPr>
            <w:tcW w:w="1559" w:type="dxa"/>
            <w:vAlign w:val="bottom"/>
          </w:tcPr>
          <w:p w14:paraId="38FD904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692" w:type="dxa"/>
            <w:vAlign w:val="bottom"/>
          </w:tcPr>
          <w:p w14:paraId="7294CDA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7,4%</w:t>
            </w:r>
          </w:p>
        </w:tc>
      </w:tr>
      <w:tr w:rsidR="004E6FF8" w14:paraId="7F668F81"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589B38"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268" w:type="dxa"/>
            <w:vAlign w:val="bottom"/>
          </w:tcPr>
          <w:p w14:paraId="68478F81"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1C5931B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1.878 €</w:t>
            </w:r>
          </w:p>
        </w:tc>
        <w:tc>
          <w:tcPr>
            <w:tcW w:w="1559" w:type="dxa"/>
            <w:vAlign w:val="bottom"/>
          </w:tcPr>
          <w:p w14:paraId="24D5EC64"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c>
          <w:tcPr>
            <w:tcW w:w="1692" w:type="dxa"/>
            <w:vAlign w:val="bottom"/>
          </w:tcPr>
          <w:p w14:paraId="3DDA6BCE"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7,3%</w:t>
            </w:r>
          </w:p>
        </w:tc>
      </w:tr>
      <w:tr w:rsidR="004E6FF8" w14:paraId="3FC06EAC"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C9C479E"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268" w:type="dxa"/>
            <w:vAlign w:val="bottom"/>
          </w:tcPr>
          <w:p w14:paraId="327446B3"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984" w:type="dxa"/>
            <w:vAlign w:val="bottom"/>
          </w:tcPr>
          <w:p w14:paraId="31C913C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1.752 €</w:t>
            </w:r>
          </w:p>
        </w:tc>
        <w:tc>
          <w:tcPr>
            <w:tcW w:w="1559" w:type="dxa"/>
            <w:vAlign w:val="bottom"/>
          </w:tcPr>
          <w:p w14:paraId="0A07749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5B113F9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7,0%</w:t>
            </w:r>
          </w:p>
        </w:tc>
      </w:tr>
      <w:tr w:rsidR="004E6FF8" w14:paraId="52BD61E9"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462A3E2"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268" w:type="dxa"/>
            <w:vAlign w:val="bottom"/>
          </w:tcPr>
          <w:p w14:paraId="6736086A"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984" w:type="dxa"/>
            <w:vAlign w:val="bottom"/>
          </w:tcPr>
          <w:p w14:paraId="1EEDB94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1.650 €</w:t>
            </w:r>
          </w:p>
        </w:tc>
        <w:tc>
          <w:tcPr>
            <w:tcW w:w="1559" w:type="dxa"/>
            <w:vAlign w:val="bottom"/>
          </w:tcPr>
          <w:p w14:paraId="20E8B7E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c>
          <w:tcPr>
            <w:tcW w:w="1692" w:type="dxa"/>
            <w:vAlign w:val="bottom"/>
          </w:tcPr>
          <w:p w14:paraId="1AE4B34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r>
      <w:tr w:rsidR="004E6FF8" w14:paraId="19DB44ED"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662024F"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38FF624C"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4" w:type="dxa"/>
            <w:vAlign w:val="bottom"/>
          </w:tcPr>
          <w:p w14:paraId="386AD00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4.741 €</w:t>
            </w:r>
          </w:p>
        </w:tc>
        <w:tc>
          <w:tcPr>
            <w:tcW w:w="1559" w:type="dxa"/>
            <w:vAlign w:val="bottom"/>
          </w:tcPr>
          <w:p w14:paraId="74BB954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692" w:type="dxa"/>
            <w:vAlign w:val="bottom"/>
          </w:tcPr>
          <w:p w14:paraId="5B59A9FD"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r>
      <w:tr w:rsidR="004E6FF8" w14:paraId="35931CF1"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BEFEECC"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268" w:type="dxa"/>
            <w:vAlign w:val="bottom"/>
          </w:tcPr>
          <w:p w14:paraId="0EA8D284"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984" w:type="dxa"/>
            <w:vAlign w:val="bottom"/>
          </w:tcPr>
          <w:p w14:paraId="7DA0D39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1.458 €</w:t>
            </w:r>
          </w:p>
        </w:tc>
        <w:tc>
          <w:tcPr>
            <w:tcW w:w="1559" w:type="dxa"/>
            <w:vAlign w:val="bottom"/>
          </w:tcPr>
          <w:p w14:paraId="1DE2263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92" w:type="dxa"/>
            <w:vAlign w:val="bottom"/>
          </w:tcPr>
          <w:p w14:paraId="07DFF3A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r>
      <w:tr w:rsidR="004E6FF8" w14:paraId="4B67AE29"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7CA2A22"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268" w:type="dxa"/>
            <w:vAlign w:val="bottom"/>
          </w:tcPr>
          <w:p w14:paraId="51BF395C"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984" w:type="dxa"/>
            <w:vAlign w:val="bottom"/>
          </w:tcPr>
          <w:p w14:paraId="3008648D"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3.062 €</w:t>
            </w:r>
          </w:p>
        </w:tc>
        <w:tc>
          <w:tcPr>
            <w:tcW w:w="1559" w:type="dxa"/>
            <w:vAlign w:val="bottom"/>
          </w:tcPr>
          <w:p w14:paraId="4D063ECD"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692" w:type="dxa"/>
            <w:vAlign w:val="bottom"/>
          </w:tcPr>
          <w:p w14:paraId="03A4268D"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5,9%</w:t>
            </w:r>
          </w:p>
        </w:tc>
      </w:tr>
      <w:tr w:rsidR="004E6FF8" w14:paraId="7789335B"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3914AE9"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268" w:type="dxa"/>
            <w:vAlign w:val="bottom"/>
          </w:tcPr>
          <w:p w14:paraId="57F3BBB0"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984" w:type="dxa"/>
            <w:vAlign w:val="bottom"/>
          </w:tcPr>
          <w:p w14:paraId="3C74301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1.440 €</w:t>
            </w:r>
          </w:p>
        </w:tc>
        <w:tc>
          <w:tcPr>
            <w:tcW w:w="1559" w:type="dxa"/>
            <w:vAlign w:val="bottom"/>
          </w:tcPr>
          <w:p w14:paraId="5066DF4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692" w:type="dxa"/>
            <w:vAlign w:val="bottom"/>
          </w:tcPr>
          <w:p w14:paraId="1591056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5,9%</w:t>
            </w:r>
          </w:p>
        </w:tc>
      </w:tr>
      <w:tr w:rsidR="004E6FF8" w14:paraId="109E83CE"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5841C53"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268" w:type="dxa"/>
            <w:vAlign w:val="bottom"/>
          </w:tcPr>
          <w:p w14:paraId="183F7625"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984" w:type="dxa"/>
            <w:vAlign w:val="bottom"/>
          </w:tcPr>
          <w:p w14:paraId="55A422B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1.682 €</w:t>
            </w:r>
          </w:p>
        </w:tc>
        <w:tc>
          <w:tcPr>
            <w:tcW w:w="1559" w:type="dxa"/>
            <w:vAlign w:val="bottom"/>
          </w:tcPr>
          <w:p w14:paraId="14D38B1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92" w:type="dxa"/>
            <w:vAlign w:val="bottom"/>
          </w:tcPr>
          <w:p w14:paraId="128B99F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5,8%</w:t>
            </w:r>
          </w:p>
        </w:tc>
      </w:tr>
      <w:tr w:rsidR="004E6FF8" w14:paraId="7AE17C06"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333EF8"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268" w:type="dxa"/>
            <w:vAlign w:val="bottom"/>
          </w:tcPr>
          <w:p w14:paraId="45036E5C"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984" w:type="dxa"/>
            <w:vAlign w:val="bottom"/>
          </w:tcPr>
          <w:p w14:paraId="2FAD971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2.803 €</w:t>
            </w:r>
          </w:p>
        </w:tc>
        <w:tc>
          <w:tcPr>
            <w:tcW w:w="1559" w:type="dxa"/>
            <w:vAlign w:val="bottom"/>
          </w:tcPr>
          <w:p w14:paraId="318A14C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92" w:type="dxa"/>
            <w:vAlign w:val="bottom"/>
          </w:tcPr>
          <w:p w14:paraId="194B5AA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5,8%</w:t>
            </w:r>
          </w:p>
        </w:tc>
      </w:tr>
      <w:tr w:rsidR="004E6FF8" w14:paraId="55EE2AFE"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75FFDB2"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268" w:type="dxa"/>
            <w:vAlign w:val="bottom"/>
          </w:tcPr>
          <w:p w14:paraId="789477E4"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984" w:type="dxa"/>
            <w:vAlign w:val="bottom"/>
          </w:tcPr>
          <w:p w14:paraId="72C86B0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3.619 €</w:t>
            </w:r>
          </w:p>
        </w:tc>
        <w:tc>
          <w:tcPr>
            <w:tcW w:w="1559" w:type="dxa"/>
            <w:vAlign w:val="bottom"/>
          </w:tcPr>
          <w:p w14:paraId="0DBFAA1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692" w:type="dxa"/>
            <w:vAlign w:val="bottom"/>
          </w:tcPr>
          <w:p w14:paraId="0CEC07A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r>
      <w:tr w:rsidR="004E6FF8" w14:paraId="4534E2F4"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F43B40"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268" w:type="dxa"/>
            <w:vAlign w:val="bottom"/>
          </w:tcPr>
          <w:p w14:paraId="3091CC16"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984" w:type="dxa"/>
            <w:vAlign w:val="bottom"/>
          </w:tcPr>
          <w:p w14:paraId="644F268E"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2.939 €</w:t>
            </w:r>
          </w:p>
        </w:tc>
        <w:tc>
          <w:tcPr>
            <w:tcW w:w="1559" w:type="dxa"/>
            <w:vAlign w:val="bottom"/>
          </w:tcPr>
          <w:p w14:paraId="4B87092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692" w:type="dxa"/>
            <w:vAlign w:val="bottom"/>
          </w:tcPr>
          <w:p w14:paraId="1675EDE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r>
      <w:tr w:rsidR="004E6FF8" w14:paraId="5C4834A1"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8F38648"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268" w:type="dxa"/>
            <w:vAlign w:val="bottom"/>
          </w:tcPr>
          <w:p w14:paraId="51733140"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984" w:type="dxa"/>
            <w:vAlign w:val="bottom"/>
          </w:tcPr>
          <w:p w14:paraId="4B354DD3"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1.371 €</w:t>
            </w:r>
          </w:p>
        </w:tc>
        <w:tc>
          <w:tcPr>
            <w:tcW w:w="1559" w:type="dxa"/>
            <w:vAlign w:val="bottom"/>
          </w:tcPr>
          <w:p w14:paraId="56F76ED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6D6524F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4,9%</w:t>
            </w:r>
          </w:p>
        </w:tc>
      </w:tr>
      <w:tr w:rsidR="004E6FF8" w14:paraId="5A528F8E"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917EC1D"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268" w:type="dxa"/>
            <w:vAlign w:val="bottom"/>
          </w:tcPr>
          <w:p w14:paraId="05C9F665"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984" w:type="dxa"/>
            <w:vAlign w:val="bottom"/>
          </w:tcPr>
          <w:p w14:paraId="2FFE3CB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1.416 €</w:t>
            </w:r>
          </w:p>
        </w:tc>
        <w:tc>
          <w:tcPr>
            <w:tcW w:w="1559" w:type="dxa"/>
            <w:vAlign w:val="bottom"/>
          </w:tcPr>
          <w:p w14:paraId="476BD88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692" w:type="dxa"/>
            <w:vAlign w:val="bottom"/>
          </w:tcPr>
          <w:p w14:paraId="0F5F692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r>
      <w:tr w:rsidR="004E6FF8" w14:paraId="753163DE"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5A1ADF"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268" w:type="dxa"/>
            <w:vAlign w:val="bottom"/>
          </w:tcPr>
          <w:p w14:paraId="17C5A026"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984" w:type="dxa"/>
            <w:vAlign w:val="bottom"/>
          </w:tcPr>
          <w:p w14:paraId="139DA20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1.689 €</w:t>
            </w:r>
          </w:p>
        </w:tc>
        <w:tc>
          <w:tcPr>
            <w:tcW w:w="1559" w:type="dxa"/>
            <w:vAlign w:val="bottom"/>
          </w:tcPr>
          <w:p w14:paraId="215EBB2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692" w:type="dxa"/>
            <w:vAlign w:val="bottom"/>
          </w:tcPr>
          <w:p w14:paraId="4A3F306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4,5%</w:t>
            </w:r>
          </w:p>
        </w:tc>
      </w:tr>
      <w:tr w:rsidR="004E6FF8" w14:paraId="1007B332"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2D1242D"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268" w:type="dxa"/>
            <w:vAlign w:val="bottom"/>
          </w:tcPr>
          <w:p w14:paraId="2C6594D0"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984" w:type="dxa"/>
            <w:vAlign w:val="bottom"/>
          </w:tcPr>
          <w:p w14:paraId="500AA77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2.131 €</w:t>
            </w:r>
          </w:p>
        </w:tc>
        <w:tc>
          <w:tcPr>
            <w:tcW w:w="1559" w:type="dxa"/>
            <w:vAlign w:val="bottom"/>
          </w:tcPr>
          <w:p w14:paraId="43C737A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692" w:type="dxa"/>
            <w:vAlign w:val="bottom"/>
          </w:tcPr>
          <w:p w14:paraId="4CAFD19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4,3%</w:t>
            </w:r>
          </w:p>
        </w:tc>
      </w:tr>
      <w:tr w:rsidR="004E6FF8" w14:paraId="12215449"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27240E3"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268" w:type="dxa"/>
            <w:vAlign w:val="bottom"/>
          </w:tcPr>
          <w:p w14:paraId="442FEF06"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984" w:type="dxa"/>
            <w:vAlign w:val="bottom"/>
          </w:tcPr>
          <w:p w14:paraId="7DF1999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1.477 €</w:t>
            </w:r>
          </w:p>
        </w:tc>
        <w:tc>
          <w:tcPr>
            <w:tcW w:w="1559" w:type="dxa"/>
            <w:vAlign w:val="bottom"/>
          </w:tcPr>
          <w:p w14:paraId="389EED1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43FB135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r>
      <w:tr w:rsidR="004E6FF8" w14:paraId="264C0390"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3AB3509"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268" w:type="dxa"/>
            <w:vAlign w:val="bottom"/>
          </w:tcPr>
          <w:p w14:paraId="7A1E5CCD"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984" w:type="dxa"/>
            <w:vAlign w:val="bottom"/>
          </w:tcPr>
          <w:p w14:paraId="79DB301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2.004 €</w:t>
            </w:r>
          </w:p>
        </w:tc>
        <w:tc>
          <w:tcPr>
            <w:tcW w:w="1559" w:type="dxa"/>
            <w:vAlign w:val="bottom"/>
          </w:tcPr>
          <w:p w14:paraId="68CFBEE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692" w:type="dxa"/>
            <w:vAlign w:val="bottom"/>
          </w:tcPr>
          <w:p w14:paraId="04DCD109"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r>
      <w:tr w:rsidR="004E6FF8" w14:paraId="024C39E6"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D31751E"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268" w:type="dxa"/>
            <w:vAlign w:val="bottom"/>
          </w:tcPr>
          <w:p w14:paraId="7D66D683"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984" w:type="dxa"/>
            <w:vAlign w:val="bottom"/>
          </w:tcPr>
          <w:p w14:paraId="6D405EE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1.511 €</w:t>
            </w:r>
          </w:p>
        </w:tc>
        <w:tc>
          <w:tcPr>
            <w:tcW w:w="1559" w:type="dxa"/>
            <w:vAlign w:val="bottom"/>
          </w:tcPr>
          <w:p w14:paraId="5985420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92" w:type="dxa"/>
            <w:vAlign w:val="bottom"/>
          </w:tcPr>
          <w:p w14:paraId="68438B8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3,5%</w:t>
            </w:r>
          </w:p>
        </w:tc>
      </w:tr>
      <w:tr w:rsidR="004E6FF8" w14:paraId="1209CE11"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155D218"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268" w:type="dxa"/>
            <w:vAlign w:val="bottom"/>
          </w:tcPr>
          <w:p w14:paraId="1469BCA3"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3776827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1.298 €</w:t>
            </w:r>
          </w:p>
        </w:tc>
        <w:tc>
          <w:tcPr>
            <w:tcW w:w="1559" w:type="dxa"/>
            <w:vAlign w:val="bottom"/>
          </w:tcPr>
          <w:p w14:paraId="58790E5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692" w:type="dxa"/>
            <w:vAlign w:val="bottom"/>
          </w:tcPr>
          <w:p w14:paraId="3727EF0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3,5%</w:t>
            </w:r>
          </w:p>
        </w:tc>
      </w:tr>
      <w:tr w:rsidR="004E6FF8" w14:paraId="6FAEED98"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D331295"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268" w:type="dxa"/>
            <w:vAlign w:val="bottom"/>
          </w:tcPr>
          <w:p w14:paraId="4B5C9EA4"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984" w:type="dxa"/>
            <w:vAlign w:val="bottom"/>
          </w:tcPr>
          <w:p w14:paraId="3B3EE27A"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1.608 €</w:t>
            </w:r>
          </w:p>
        </w:tc>
        <w:tc>
          <w:tcPr>
            <w:tcW w:w="1559" w:type="dxa"/>
            <w:vAlign w:val="bottom"/>
          </w:tcPr>
          <w:p w14:paraId="7683478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692" w:type="dxa"/>
            <w:vAlign w:val="bottom"/>
          </w:tcPr>
          <w:p w14:paraId="255CAEE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3,5%</w:t>
            </w:r>
          </w:p>
        </w:tc>
      </w:tr>
      <w:tr w:rsidR="004E6FF8" w14:paraId="69B7A64E"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4DDCEF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268" w:type="dxa"/>
            <w:vAlign w:val="bottom"/>
          </w:tcPr>
          <w:p w14:paraId="6C599F30"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984" w:type="dxa"/>
            <w:vAlign w:val="bottom"/>
          </w:tcPr>
          <w:p w14:paraId="453CDCE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1.564 €</w:t>
            </w:r>
          </w:p>
        </w:tc>
        <w:tc>
          <w:tcPr>
            <w:tcW w:w="1559" w:type="dxa"/>
            <w:vAlign w:val="bottom"/>
          </w:tcPr>
          <w:p w14:paraId="4AF2D26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692" w:type="dxa"/>
            <w:vAlign w:val="bottom"/>
          </w:tcPr>
          <w:p w14:paraId="607E560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r>
      <w:tr w:rsidR="004E6FF8" w14:paraId="79BCC1A4"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573F506"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268" w:type="dxa"/>
            <w:vAlign w:val="bottom"/>
          </w:tcPr>
          <w:p w14:paraId="0C8BB63C"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1984" w:type="dxa"/>
            <w:vAlign w:val="bottom"/>
          </w:tcPr>
          <w:p w14:paraId="66DAC11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2.057 €</w:t>
            </w:r>
          </w:p>
        </w:tc>
        <w:tc>
          <w:tcPr>
            <w:tcW w:w="1559" w:type="dxa"/>
            <w:vAlign w:val="bottom"/>
          </w:tcPr>
          <w:p w14:paraId="712F3A8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0,4%</w:t>
            </w:r>
          </w:p>
        </w:tc>
        <w:tc>
          <w:tcPr>
            <w:tcW w:w="1692" w:type="dxa"/>
            <w:vAlign w:val="bottom"/>
          </w:tcPr>
          <w:p w14:paraId="3BE5CB8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2,5%</w:t>
            </w:r>
          </w:p>
        </w:tc>
      </w:tr>
      <w:tr w:rsidR="004E6FF8" w14:paraId="3511A686"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95DB01B"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268" w:type="dxa"/>
            <w:vAlign w:val="bottom"/>
          </w:tcPr>
          <w:p w14:paraId="7A39DBA3"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1984" w:type="dxa"/>
            <w:vAlign w:val="bottom"/>
          </w:tcPr>
          <w:p w14:paraId="18AC08A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1.586 €</w:t>
            </w:r>
          </w:p>
        </w:tc>
        <w:tc>
          <w:tcPr>
            <w:tcW w:w="1559" w:type="dxa"/>
            <w:vAlign w:val="bottom"/>
          </w:tcPr>
          <w:p w14:paraId="1AD3F19E"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c>
          <w:tcPr>
            <w:tcW w:w="1692" w:type="dxa"/>
            <w:vAlign w:val="bottom"/>
          </w:tcPr>
          <w:p w14:paraId="4FE8E7CE"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2,1%</w:t>
            </w:r>
          </w:p>
        </w:tc>
      </w:tr>
      <w:tr w:rsidR="004E6FF8" w14:paraId="41936348"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12E309C"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268" w:type="dxa"/>
            <w:vAlign w:val="bottom"/>
          </w:tcPr>
          <w:p w14:paraId="640B808D"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1984" w:type="dxa"/>
            <w:vAlign w:val="bottom"/>
          </w:tcPr>
          <w:p w14:paraId="284F7DB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1.609 €</w:t>
            </w:r>
          </w:p>
        </w:tc>
        <w:tc>
          <w:tcPr>
            <w:tcW w:w="1559" w:type="dxa"/>
            <w:vAlign w:val="bottom"/>
          </w:tcPr>
          <w:p w14:paraId="0C958D6D"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0,5%</w:t>
            </w:r>
          </w:p>
        </w:tc>
        <w:tc>
          <w:tcPr>
            <w:tcW w:w="1692" w:type="dxa"/>
            <w:vAlign w:val="bottom"/>
          </w:tcPr>
          <w:p w14:paraId="605F42D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0,6%</w:t>
            </w:r>
          </w:p>
        </w:tc>
      </w:tr>
      <w:tr w:rsidR="004E6FF8" w14:paraId="2A413732"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E5497B3"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268" w:type="dxa"/>
            <w:vAlign w:val="bottom"/>
          </w:tcPr>
          <w:p w14:paraId="1E4C8000"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1984" w:type="dxa"/>
            <w:vAlign w:val="bottom"/>
          </w:tcPr>
          <w:p w14:paraId="77D74EE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3.030 €</w:t>
            </w:r>
          </w:p>
        </w:tc>
        <w:tc>
          <w:tcPr>
            <w:tcW w:w="1559" w:type="dxa"/>
            <w:vAlign w:val="bottom"/>
          </w:tcPr>
          <w:p w14:paraId="19FAB1A9"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-2,0%</w:t>
            </w:r>
          </w:p>
        </w:tc>
        <w:tc>
          <w:tcPr>
            <w:tcW w:w="1692" w:type="dxa"/>
            <w:vAlign w:val="bottom"/>
          </w:tcPr>
          <w:p w14:paraId="417E6DA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-0,6%</w:t>
            </w:r>
          </w:p>
        </w:tc>
      </w:tr>
    </w:tbl>
    <w:p w14:paraId="22EF545B" w14:textId="6AFAF8F1" w:rsidR="004E6FF8"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w:t>
      </w:r>
    </w:p>
    <w:p w14:paraId="5283DCB5" w14:textId="77777777" w:rsidR="004E6FF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el 81% de los 799 municipios con variación interanual analizados </w:t>
      </w:r>
      <w:r>
        <w:rPr>
          <w:rFonts w:ascii="Open Sans" w:eastAsia="Open Sans" w:hAnsi="Open Sans" w:cs="Open Sans"/>
        </w:rPr>
        <w:t xml:space="preserve">por </w:t>
      </w:r>
      <w:hyperlink r:id="rId15">
        <w:r>
          <w:rPr>
            <w:rFonts w:ascii="Open Sans" w:eastAsia="Open Sans" w:hAnsi="Open Sans" w:cs="Open Sans"/>
            <w:color w:val="0000FF"/>
            <w:u w:val="single"/>
          </w:rPr>
          <w:t>Fotocasa</w:t>
        </w:r>
      </w:hyperlink>
      <w:r>
        <w:rPr>
          <w:rFonts w:ascii="Open Sans" w:eastAsia="Open Sans" w:hAnsi="Open Sans" w:cs="Open Sans"/>
        </w:rPr>
        <w:t xml:space="preserve">. En 84 (11%) </w:t>
      </w:r>
      <w:r>
        <w:rPr>
          <w:rFonts w:ascii="Open Sans" w:eastAsia="Open Sans" w:hAnsi="Open Sans" w:cs="Open Sans"/>
          <w:color w:val="000000"/>
        </w:rPr>
        <w:t>de los municipios sube el valor interanual de la vivienda por encima del 20% y en concreto en 14 de estos municipios sube por encima del 40% y son: Fuensalida (88,3%</w:t>
      </w:r>
      <w:r>
        <w:rPr>
          <w:rFonts w:ascii="Open Sans" w:eastAsia="Open Sans" w:hAnsi="Open Sans" w:cs="Open Sans"/>
        </w:rPr>
        <w:t xml:space="preserve">), </w:t>
      </w:r>
      <w:r>
        <w:rPr>
          <w:rFonts w:ascii="Open Sans" w:eastAsia="Open Sans" w:hAnsi="Open Sans" w:cs="Open Sans"/>
          <w:color w:val="000000"/>
        </w:rPr>
        <w:t>Mutxamel (79,5%</w:t>
      </w:r>
      <w:r>
        <w:rPr>
          <w:rFonts w:ascii="Open Sans" w:eastAsia="Open Sans" w:hAnsi="Open Sans" w:cs="Open Sans"/>
        </w:rPr>
        <w:t xml:space="preserve">), </w:t>
      </w:r>
      <w:r>
        <w:rPr>
          <w:rFonts w:ascii="Open Sans" w:eastAsia="Open Sans" w:hAnsi="Open Sans" w:cs="Open Sans"/>
          <w:color w:val="000000"/>
        </w:rPr>
        <w:t>Cartaya (76,7%</w:t>
      </w:r>
      <w:r>
        <w:rPr>
          <w:rFonts w:ascii="Open Sans" w:eastAsia="Open Sans" w:hAnsi="Open Sans" w:cs="Open Sans"/>
        </w:rPr>
        <w:t xml:space="preserve">), </w:t>
      </w:r>
      <w:r>
        <w:rPr>
          <w:rFonts w:ascii="Open Sans" w:eastAsia="Open Sans" w:hAnsi="Open Sans" w:cs="Open Sans"/>
          <w:color w:val="000000"/>
        </w:rPr>
        <w:t>Bargas (60,7%</w:t>
      </w:r>
      <w:r>
        <w:rPr>
          <w:rFonts w:ascii="Open Sans" w:eastAsia="Open Sans" w:hAnsi="Open Sans" w:cs="Open Sans"/>
        </w:rPr>
        <w:t xml:space="preserve">), </w:t>
      </w:r>
      <w:r>
        <w:rPr>
          <w:rFonts w:ascii="Open Sans" w:eastAsia="Open Sans" w:hAnsi="Open Sans" w:cs="Open Sans"/>
          <w:color w:val="000000"/>
        </w:rPr>
        <w:t>Paiporta (52,7%</w:t>
      </w:r>
      <w:r>
        <w:rPr>
          <w:rFonts w:ascii="Open Sans" w:eastAsia="Open Sans" w:hAnsi="Open Sans" w:cs="Open Sans"/>
        </w:rPr>
        <w:t xml:space="preserve">), </w:t>
      </w:r>
      <w:r>
        <w:rPr>
          <w:rFonts w:ascii="Open Sans" w:eastAsia="Open Sans" w:hAnsi="Open Sans" w:cs="Open Sans"/>
          <w:color w:val="000000"/>
        </w:rPr>
        <w:t>Carlet (49,3%</w:t>
      </w:r>
      <w:r>
        <w:rPr>
          <w:rFonts w:ascii="Open Sans" w:eastAsia="Open Sans" w:hAnsi="Open Sans" w:cs="Open Sans"/>
        </w:rPr>
        <w:t xml:space="preserve">), </w:t>
      </w:r>
      <w:r>
        <w:rPr>
          <w:rFonts w:ascii="Open Sans" w:eastAsia="Open Sans" w:hAnsi="Open Sans" w:cs="Open Sans"/>
          <w:color w:val="000000"/>
        </w:rPr>
        <w:t>Cabanes (47,9%</w:t>
      </w:r>
      <w:r>
        <w:rPr>
          <w:rFonts w:ascii="Open Sans" w:eastAsia="Open Sans" w:hAnsi="Open Sans" w:cs="Open Sans"/>
        </w:rPr>
        <w:t xml:space="preserve">), </w:t>
      </w:r>
      <w:r>
        <w:rPr>
          <w:rFonts w:ascii="Open Sans" w:eastAsia="Open Sans" w:hAnsi="Open Sans" w:cs="Open Sans"/>
          <w:color w:val="000000"/>
        </w:rPr>
        <w:t>Puigcerdà (47,2%</w:t>
      </w:r>
      <w:r>
        <w:rPr>
          <w:rFonts w:ascii="Open Sans" w:eastAsia="Open Sans" w:hAnsi="Open Sans" w:cs="Open Sans"/>
        </w:rPr>
        <w:t xml:space="preserve">), </w:t>
      </w:r>
      <w:r>
        <w:rPr>
          <w:rFonts w:ascii="Open Sans" w:eastAsia="Open Sans" w:hAnsi="Open Sans" w:cs="Open Sans"/>
          <w:color w:val="000000"/>
        </w:rPr>
        <w:t>Guía de Isora (47,1%</w:t>
      </w:r>
      <w:r>
        <w:rPr>
          <w:rFonts w:ascii="Open Sans" w:eastAsia="Open Sans" w:hAnsi="Open Sans" w:cs="Open Sans"/>
        </w:rPr>
        <w:t xml:space="preserve">), </w:t>
      </w:r>
      <w:r>
        <w:rPr>
          <w:rFonts w:ascii="Open Sans" w:eastAsia="Open Sans" w:hAnsi="Open Sans" w:cs="Open Sans"/>
          <w:color w:val="000000"/>
        </w:rPr>
        <w:t>Monachil (46,6%</w:t>
      </w:r>
      <w:r>
        <w:rPr>
          <w:rFonts w:ascii="Open Sans" w:eastAsia="Open Sans" w:hAnsi="Open Sans" w:cs="Open Sans"/>
        </w:rPr>
        <w:t xml:space="preserve">), </w:t>
      </w:r>
      <w:r>
        <w:rPr>
          <w:rFonts w:ascii="Open Sans" w:eastAsia="Open Sans" w:hAnsi="Open Sans" w:cs="Open Sans"/>
          <w:color w:val="000000"/>
        </w:rPr>
        <w:t>Ogíjares (45,3%</w:t>
      </w:r>
      <w:r>
        <w:rPr>
          <w:rFonts w:ascii="Open Sans" w:eastAsia="Open Sans" w:hAnsi="Open Sans" w:cs="Open Sans"/>
        </w:rPr>
        <w:t xml:space="preserve">), </w:t>
      </w:r>
      <w:r>
        <w:rPr>
          <w:rFonts w:ascii="Open Sans" w:eastAsia="Open Sans" w:hAnsi="Open Sans" w:cs="Open Sans"/>
          <w:color w:val="000000"/>
        </w:rPr>
        <w:t>Benijófar (42,3%</w:t>
      </w:r>
      <w:r>
        <w:rPr>
          <w:rFonts w:ascii="Open Sans" w:eastAsia="Open Sans" w:hAnsi="Open Sans" w:cs="Open Sans"/>
        </w:rPr>
        <w:t xml:space="preserve">), </w:t>
      </w:r>
      <w:r>
        <w:rPr>
          <w:rFonts w:ascii="Open Sans" w:eastAsia="Open Sans" w:hAnsi="Open Sans" w:cs="Open Sans"/>
          <w:color w:val="000000"/>
        </w:rPr>
        <w:t>Monforte del Cid (42,2%</w:t>
      </w:r>
      <w:r>
        <w:rPr>
          <w:rFonts w:ascii="Open Sans" w:eastAsia="Open Sans" w:hAnsi="Open Sans" w:cs="Open Sans"/>
        </w:rPr>
        <w:t xml:space="preserve">) y </w:t>
      </w:r>
      <w:r>
        <w:rPr>
          <w:rFonts w:ascii="Open Sans" w:eastAsia="Open Sans" w:hAnsi="Open Sans" w:cs="Open Sans"/>
          <w:color w:val="000000"/>
        </w:rPr>
        <w:t>Icod de los Vinos (40,0%</w:t>
      </w:r>
      <w:r>
        <w:rPr>
          <w:rFonts w:ascii="Open Sans" w:eastAsia="Open Sans" w:hAnsi="Open Sans" w:cs="Open Sans"/>
        </w:rPr>
        <w:t>).</w:t>
      </w:r>
    </w:p>
    <w:p w14:paraId="27B6E7B1" w14:textId="77777777" w:rsidR="004E6FF8"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lastRenderedPageBreak/>
        <w:t>En cuanto al precio por metro cuadrado en julio, vemos que el orden de las ciudades más caras es: Eivissa con 6.948 euros/m</w:t>
      </w:r>
      <w:r>
        <w:rPr>
          <w:rFonts w:ascii="Open Sans" w:eastAsia="Open Sans" w:hAnsi="Open Sans" w:cs="Open Sans"/>
          <w:color w:val="000000"/>
          <w:vertAlign w:val="superscript"/>
        </w:rPr>
        <w:t>2</w:t>
      </w:r>
      <w:r>
        <w:rPr>
          <w:rFonts w:ascii="Open Sans" w:eastAsia="Open Sans" w:hAnsi="Open Sans" w:cs="Open Sans"/>
          <w:color w:val="000000"/>
        </w:rPr>
        <w:t>, Andratx con 6.822 euros/m</w:t>
      </w:r>
      <w:r>
        <w:rPr>
          <w:rFonts w:ascii="Open Sans" w:eastAsia="Open Sans" w:hAnsi="Open Sans" w:cs="Open Sans"/>
          <w:color w:val="000000"/>
          <w:vertAlign w:val="superscript"/>
        </w:rPr>
        <w:t>2</w:t>
      </w:r>
      <w:r>
        <w:rPr>
          <w:rFonts w:ascii="Open Sans" w:eastAsia="Open Sans" w:hAnsi="Open Sans" w:cs="Open Sans"/>
          <w:color w:val="000000"/>
        </w:rPr>
        <w:t>, Donostia - San Sebastián con 6.440 euros/m</w:t>
      </w:r>
      <w:r>
        <w:rPr>
          <w:rFonts w:ascii="Open Sans" w:eastAsia="Open Sans" w:hAnsi="Open Sans" w:cs="Open Sans"/>
          <w:color w:val="000000"/>
          <w:vertAlign w:val="superscript"/>
        </w:rPr>
        <w:t>2</w:t>
      </w:r>
      <w:r>
        <w:rPr>
          <w:rFonts w:ascii="Open Sans" w:eastAsia="Open Sans" w:hAnsi="Open Sans" w:cs="Open Sans"/>
          <w:color w:val="000000"/>
        </w:rPr>
        <w:t>, Zarautz con 6.135 euros/m</w:t>
      </w:r>
      <w:r>
        <w:rPr>
          <w:rFonts w:ascii="Open Sans" w:eastAsia="Open Sans" w:hAnsi="Open Sans" w:cs="Open Sans"/>
          <w:color w:val="000000"/>
          <w:vertAlign w:val="superscript"/>
        </w:rPr>
        <w:t>2</w:t>
      </w:r>
      <w:r>
        <w:rPr>
          <w:rFonts w:ascii="Open Sans" w:eastAsia="Open Sans" w:hAnsi="Open Sans" w:cs="Open Sans"/>
          <w:color w:val="000000"/>
        </w:rPr>
        <w:t>, Calvià con 6.113 euros/m</w:t>
      </w:r>
      <w:r>
        <w:rPr>
          <w:rFonts w:ascii="Open Sans" w:eastAsia="Open Sans" w:hAnsi="Open Sans" w:cs="Open Sans"/>
          <w:color w:val="000000"/>
          <w:vertAlign w:val="superscript"/>
        </w:rPr>
        <w:t>2</w:t>
      </w:r>
      <w:r>
        <w:rPr>
          <w:rFonts w:ascii="Open Sans" w:eastAsia="Open Sans" w:hAnsi="Open Sans" w:cs="Open Sans"/>
          <w:color w:val="000000"/>
        </w:rPr>
        <w:t>, Santa Eulària des Riu con 5.847 euros/m</w:t>
      </w:r>
      <w:r>
        <w:rPr>
          <w:rFonts w:ascii="Open Sans" w:eastAsia="Open Sans" w:hAnsi="Open Sans" w:cs="Open Sans"/>
          <w:color w:val="000000"/>
          <w:vertAlign w:val="superscript"/>
        </w:rPr>
        <w:t>2</w:t>
      </w:r>
      <w:r>
        <w:rPr>
          <w:rFonts w:ascii="Open Sans" w:eastAsia="Open Sans" w:hAnsi="Open Sans" w:cs="Open Sans"/>
          <w:color w:val="000000"/>
        </w:rPr>
        <w:t>, La Moraleja con 5.787 euros/m</w:t>
      </w:r>
      <w:r>
        <w:rPr>
          <w:rFonts w:ascii="Open Sans" w:eastAsia="Open Sans" w:hAnsi="Open Sans" w:cs="Open Sans"/>
          <w:color w:val="000000"/>
          <w:vertAlign w:val="superscript"/>
        </w:rPr>
        <w:t>2</w:t>
      </w:r>
      <w:r>
        <w:rPr>
          <w:rFonts w:ascii="Open Sans" w:eastAsia="Open Sans" w:hAnsi="Open Sans" w:cs="Open Sans"/>
          <w:color w:val="000000"/>
        </w:rPr>
        <w:t>, Sant Josep de sa Talaia con 5.640 euros/m</w:t>
      </w:r>
      <w:r>
        <w:rPr>
          <w:rFonts w:ascii="Open Sans" w:eastAsia="Open Sans" w:hAnsi="Open Sans" w:cs="Open Sans"/>
          <w:color w:val="000000"/>
          <w:vertAlign w:val="superscript"/>
        </w:rPr>
        <w:t>2</w:t>
      </w:r>
      <w:r>
        <w:rPr>
          <w:rFonts w:ascii="Open Sans" w:eastAsia="Open Sans" w:hAnsi="Open Sans" w:cs="Open Sans"/>
          <w:color w:val="000000"/>
        </w:rPr>
        <w:t>, Madrid capital con 5.405 euros/m</w:t>
      </w:r>
      <w:r>
        <w:rPr>
          <w:rFonts w:ascii="Open Sans" w:eastAsia="Open Sans" w:hAnsi="Open Sans" w:cs="Open Sans"/>
          <w:color w:val="000000"/>
          <w:vertAlign w:val="superscript"/>
        </w:rPr>
        <w:t>2</w:t>
      </w:r>
      <w:r>
        <w:rPr>
          <w:rFonts w:ascii="Open Sans" w:eastAsia="Open Sans" w:hAnsi="Open Sans" w:cs="Open Sans"/>
          <w:color w:val="000000"/>
        </w:rPr>
        <w:t>, Sitges con 5.378 euros/m</w:t>
      </w:r>
      <w:r>
        <w:rPr>
          <w:rFonts w:ascii="Open Sans" w:eastAsia="Open Sans" w:hAnsi="Open Sans" w:cs="Open Sans"/>
          <w:color w:val="000000"/>
          <w:vertAlign w:val="superscript"/>
        </w:rPr>
        <w:t>2</w:t>
      </w:r>
      <w:r>
        <w:rPr>
          <w:rFonts w:ascii="Open Sans" w:eastAsia="Open Sans" w:hAnsi="Open Sans" w:cs="Open Sans"/>
          <w:color w:val="000000"/>
        </w:rPr>
        <w:t>, Sant Cugat del Vallès con 5.195 euros/m</w:t>
      </w:r>
      <w:r>
        <w:rPr>
          <w:rFonts w:ascii="Open Sans" w:eastAsia="Open Sans" w:hAnsi="Open Sans" w:cs="Open Sans"/>
          <w:color w:val="000000"/>
          <w:vertAlign w:val="superscript"/>
        </w:rPr>
        <w:t>2</w:t>
      </w:r>
      <w:r>
        <w:rPr>
          <w:rFonts w:ascii="Open Sans" w:eastAsia="Open Sans" w:hAnsi="Open Sans" w:cs="Open Sans"/>
          <w:color w:val="000000"/>
        </w:rPr>
        <w:t xml:space="preserve"> y Benahavís con 5.109 euros/m</w:t>
      </w:r>
      <w:r>
        <w:rPr>
          <w:rFonts w:ascii="Open Sans" w:eastAsia="Open Sans" w:hAnsi="Open Sans" w:cs="Open Sans"/>
          <w:color w:val="000000"/>
          <w:vertAlign w:val="superscript"/>
        </w:rPr>
        <w:t>2</w:t>
      </w:r>
      <w:r>
        <w:rPr>
          <w:rFonts w:ascii="Open Sans" w:eastAsia="Open Sans" w:hAnsi="Open Sans" w:cs="Open Sans"/>
          <w:color w:val="000000"/>
        </w:rPr>
        <w:t>. Por otro lado, los municipios más económicos son</w:t>
      </w:r>
      <w:r>
        <w:rPr>
          <w:rFonts w:ascii="Times New Roman" w:eastAsia="Times New Roman" w:hAnsi="Times New Roman" w:cs="Times New Roman"/>
          <w:color w:val="000000"/>
        </w:rPr>
        <w:t xml:space="preserve"> </w:t>
      </w:r>
      <w:r>
        <w:rPr>
          <w:rFonts w:ascii="Open Sans" w:eastAsia="Open Sans" w:hAnsi="Open Sans" w:cs="Open Sans"/>
          <w:color w:val="000000"/>
        </w:rPr>
        <w:t>Tobarra con 633 euros/m</w:t>
      </w:r>
      <w:r>
        <w:rPr>
          <w:rFonts w:ascii="Open Sans" w:eastAsia="Open Sans" w:hAnsi="Open Sans" w:cs="Open Sans"/>
          <w:color w:val="000000"/>
          <w:vertAlign w:val="superscript"/>
        </w:rPr>
        <w:t>2</w:t>
      </w:r>
      <w:r>
        <w:rPr>
          <w:rFonts w:ascii="Open Sans" w:eastAsia="Open Sans" w:hAnsi="Open Sans" w:cs="Open Sans"/>
          <w:color w:val="000000"/>
        </w:rPr>
        <w:t xml:space="preserve"> y La Carolina con 634 euros/m</w:t>
      </w:r>
      <w:r>
        <w:rPr>
          <w:rFonts w:ascii="Open Sans" w:eastAsia="Open Sans" w:hAnsi="Open Sans" w:cs="Open Sans"/>
          <w:color w:val="000000"/>
          <w:vertAlign w:val="superscript"/>
        </w:rPr>
        <w:t>2</w:t>
      </w:r>
      <w:r>
        <w:rPr>
          <w:rFonts w:ascii="Open Sans" w:eastAsia="Open Sans" w:hAnsi="Open Sans" w:cs="Open Sans"/>
          <w:color w:val="000000"/>
        </w:rPr>
        <w:t>.</w:t>
      </w:r>
    </w:p>
    <w:p w14:paraId="2EE34645" w14:textId="77777777" w:rsidR="004E6FF8"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4E6FF8" w14:paraId="1DCAA25A" w14:textId="77777777" w:rsidTr="004E6FF8">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00B9E28"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38BF3D3F" w14:textId="77777777" w:rsidR="004E6FF8"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1B9D7620"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02C9741C"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60" w:type="dxa"/>
            <w:vAlign w:val="center"/>
          </w:tcPr>
          <w:p w14:paraId="0577F86B"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6681D4B9"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4E6FF8" w14:paraId="45B6EB11"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1C3297F"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371B9599"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Favara</w:t>
            </w:r>
          </w:p>
        </w:tc>
        <w:tc>
          <w:tcPr>
            <w:tcW w:w="1984" w:type="dxa"/>
            <w:vAlign w:val="bottom"/>
          </w:tcPr>
          <w:p w14:paraId="3846EBB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1.318 €</w:t>
            </w:r>
          </w:p>
        </w:tc>
        <w:tc>
          <w:tcPr>
            <w:tcW w:w="1560" w:type="dxa"/>
            <w:vAlign w:val="bottom"/>
          </w:tcPr>
          <w:p w14:paraId="13CDDA3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w:t>
            </w:r>
          </w:p>
        </w:tc>
        <w:tc>
          <w:tcPr>
            <w:tcW w:w="1701" w:type="dxa"/>
            <w:vAlign w:val="bottom"/>
          </w:tcPr>
          <w:p w14:paraId="5B39712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88,3%</w:t>
            </w:r>
          </w:p>
        </w:tc>
      </w:tr>
      <w:tr w:rsidR="004E6FF8" w14:paraId="7D90AA42"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564B55C"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5" w:type="dxa"/>
            <w:vAlign w:val="bottom"/>
          </w:tcPr>
          <w:p w14:paraId="538E3727"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Cartaya</w:t>
            </w:r>
          </w:p>
        </w:tc>
        <w:tc>
          <w:tcPr>
            <w:tcW w:w="1984" w:type="dxa"/>
            <w:vAlign w:val="bottom"/>
          </w:tcPr>
          <w:p w14:paraId="11E6BDDE"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2.403 €</w:t>
            </w:r>
          </w:p>
        </w:tc>
        <w:tc>
          <w:tcPr>
            <w:tcW w:w="1560" w:type="dxa"/>
            <w:vAlign w:val="bottom"/>
          </w:tcPr>
          <w:p w14:paraId="5C0EBA4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21,2%</w:t>
            </w:r>
          </w:p>
        </w:tc>
        <w:tc>
          <w:tcPr>
            <w:tcW w:w="1701" w:type="dxa"/>
            <w:vAlign w:val="bottom"/>
          </w:tcPr>
          <w:p w14:paraId="3C0DEED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79,5%</w:t>
            </w:r>
          </w:p>
        </w:tc>
      </w:tr>
      <w:tr w:rsidR="004E6FF8" w14:paraId="0941957E"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1E0A55B"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123465CF"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Dolores</w:t>
            </w:r>
          </w:p>
        </w:tc>
        <w:tc>
          <w:tcPr>
            <w:tcW w:w="1984" w:type="dxa"/>
            <w:vAlign w:val="bottom"/>
          </w:tcPr>
          <w:p w14:paraId="7F32703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1.624 €</w:t>
            </w:r>
          </w:p>
        </w:tc>
        <w:tc>
          <w:tcPr>
            <w:tcW w:w="1560" w:type="dxa"/>
            <w:vAlign w:val="bottom"/>
          </w:tcPr>
          <w:p w14:paraId="4D06F84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-7,8%</w:t>
            </w:r>
          </w:p>
        </w:tc>
        <w:tc>
          <w:tcPr>
            <w:tcW w:w="1701" w:type="dxa"/>
            <w:vAlign w:val="bottom"/>
          </w:tcPr>
          <w:p w14:paraId="1F6F3B4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76,7%</w:t>
            </w:r>
          </w:p>
        </w:tc>
      </w:tr>
      <w:tr w:rsidR="004E6FF8" w14:paraId="07DE48BC"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410CAEE"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5" w:type="dxa"/>
            <w:vAlign w:val="bottom"/>
          </w:tcPr>
          <w:p w14:paraId="0345E33B"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Cabanes</w:t>
            </w:r>
          </w:p>
        </w:tc>
        <w:tc>
          <w:tcPr>
            <w:tcW w:w="1984" w:type="dxa"/>
            <w:vAlign w:val="bottom"/>
          </w:tcPr>
          <w:p w14:paraId="2B2B0EF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1.722 €</w:t>
            </w:r>
          </w:p>
        </w:tc>
        <w:tc>
          <w:tcPr>
            <w:tcW w:w="1560" w:type="dxa"/>
            <w:vAlign w:val="bottom"/>
          </w:tcPr>
          <w:p w14:paraId="2DE942D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44,1%</w:t>
            </w:r>
          </w:p>
        </w:tc>
        <w:tc>
          <w:tcPr>
            <w:tcW w:w="1701" w:type="dxa"/>
            <w:vAlign w:val="bottom"/>
          </w:tcPr>
          <w:p w14:paraId="68B521CB"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60,7%</w:t>
            </w:r>
          </w:p>
        </w:tc>
      </w:tr>
      <w:tr w:rsidR="004E6FF8" w14:paraId="168145C4"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598FB8E"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5" w:type="dxa"/>
            <w:vAlign w:val="bottom"/>
          </w:tcPr>
          <w:p w14:paraId="08F77DAF"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Cúllar Vega</w:t>
            </w:r>
          </w:p>
        </w:tc>
        <w:tc>
          <w:tcPr>
            <w:tcW w:w="1984" w:type="dxa"/>
            <w:vAlign w:val="bottom"/>
          </w:tcPr>
          <w:p w14:paraId="199D693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2.134 €</w:t>
            </w:r>
          </w:p>
        </w:tc>
        <w:tc>
          <w:tcPr>
            <w:tcW w:w="1560" w:type="dxa"/>
            <w:vAlign w:val="bottom"/>
          </w:tcPr>
          <w:p w14:paraId="46DAE14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-4,5%</w:t>
            </w:r>
          </w:p>
        </w:tc>
        <w:tc>
          <w:tcPr>
            <w:tcW w:w="1701" w:type="dxa"/>
            <w:vAlign w:val="bottom"/>
          </w:tcPr>
          <w:p w14:paraId="56019A1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52,7%</w:t>
            </w:r>
          </w:p>
        </w:tc>
      </w:tr>
      <w:tr w:rsidR="004E6FF8" w14:paraId="1EBD2B23"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85E28C5"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4F4F1317"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El Verger</w:t>
            </w:r>
          </w:p>
        </w:tc>
        <w:tc>
          <w:tcPr>
            <w:tcW w:w="1984" w:type="dxa"/>
            <w:vAlign w:val="bottom"/>
          </w:tcPr>
          <w:p w14:paraId="279C273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1.255 €</w:t>
            </w:r>
          </w:p>
        </w:tc>
        <w:tc>
          <w:tcPr>
            <w:tcW w:w="1560" w:type="dxa"/>
            <w:vAlign w:val="bottom"/>
          </w:tcPr>
          <w:p w14:paraId="2C98EB8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13,4%</w:t>
            </w:r>
          </w:p>
        </w:tc>
        <w:tc>
          <w:tcPr>
            <w:tcW w:w="1701" w:type="dxa"/>
            <w:vAlign w:val="bottom"/>
          </w:tcPr>
          <w:p w14:paraId="01907AA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49,3%</w:t>
            </w:r>
          </w:p>
        </w:tc>
      </w:tr>
      <w:tr w:rsidR="004E6FF8" w14:paraId="4CDD12EF"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A2C9D7B"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7CA24CC3"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Paiporta</w:t>
            </w:r>
          </w:p>
        </w:tc>
        <w:tc>
          <w:tcPr>
            <w:tcW w:w="1984" w:type="dxa"/>
            <w:vAlign w:val="bottom"/>
          </w:tcPr>
          <w:p w14:paraId="7967CB8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1.931 €</w:t>
            </w:r>
          </w:p>
        </w:tc>
        <w:tc>
          <w:tcPr>
            <w:tcW w:w="1560" w:type="dxa"/>
            <w:vAlign w:val="bottom"/>
          </w:tcPr>
          <w:p w14:paraId="1DF7C91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w:t>
            </w:r>
          </w:p>
        </w:tc>
        <w:tc>
          <w:tcPr>
            <w:tcW w:w="1701" w:type="dxa"/>
            <w:vAlign w:val="bottom"/>
          </w:tcPr>
          <w:p w14:paraId="45EA697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47,9%</w:t>
            </w:r>
          </w:p>
        </w:tc>
      </w:tr>
      <w:tr w:rsidR="004E6FF8" w14:paraId="000E1F99"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82C3BB5"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5" w:type="dxa"/>
            <w:vAlign w:val="bottom"/>
          </w:tcPr>
          <w:p w14:paraId="33FB6346"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Guía de Isora</w:t>
            </w:r>
          </w:p>
        </w:tc>
        <w:tc>
          <w:tcPr>
            <w:tcW w:w="1984" w:type="dxa"/>
            <w:vAlign w:val="bottom"/>
          </w:tcPr>
          <w:p w14:paraId="4E1C4A1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3.572 €</w:t>
            </w:r>
          </w:p>
        </w:tc>
        <w:tc>
          <w:tcPr>
            <w:tcW w:w="1560" w:type="dxa"/>
            <w:vAlign w:val="bottom"/>
          </w:tcPr>
          <w:p w14:paraId="2E5285FB"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c>
          <w:tcPr>
            <w:tcW w:w="1701" w:type="dxa"/>
            <w:vAlign w:val="bottom"/>
          </w:tcPr>
          <w:p w14:paraId="2EEAC82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47,2%</w:t>
            </w:r>
          </w:p>
        </w:tc>
      </w:tr>
      <w:tr w:rsidR="004E6FF8" w14:paraId="0E4CCEA7"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8DEDB5E"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58927420"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Torre-Pacheco</w:t>
            </w:r>
          </w:p>
        </w:tc>
        <w:tc>
          <w:tcPr>
            <w:tcW w:w="1984" w:type="dxa"/>
            <w:vAlign w:val="bottom"/>
          </w:tcPr>
          <w:p w14:paraId="057DC1FA"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4.435 €</w:t>
            </w:r>
          </w:p>
        </w:tc>
        <w:tc>
          <w:tcPr>
            <w:tcW w:w="1560" w:type="dxa"/>
            <w:vAlign w:val="bottom"/>
          </w:tcPr>
          <w:p w14:paraId="448738D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0,1%</w:t>
            </w:r>
          </w:p>
        </w:tc>
        <w:tc>
          <w:tcPr>
            <w:tcW w:w="1701" w:type="dxa"/>
            <w:vAlign w:val="bottom"/>
          </w:tcPr>
          <w:p w14:paraId="129C393F"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47,1%</w:t>
            </w:r>
          </w:p>
        </w:tc>
      </w:tr>
      <w:tr w:rsidR="004E6FF8" w14:paraId="4AA97C3D"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3A088F4"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30B2B988"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Xeresa</w:t>
            </w:r>
          </w:p>
        </w:tc>
        <w:tc>
          <w:tcPr>
            <w:tcW w:w="1984" w:type="dxa"/>
            <w:vAlign w:val="bottom"/>
          </w:tcPr>
          <w:p w14:paraId="5384556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1.954 €</w:t>
            </w:r>
          </w:p>
        </w:tc>
        <w:tc>
          <w:tcPr>
            <w:tcW w:w="1560" w:type="dxa"/>
            <w:vAlign w:val="bottom"/>
          </w:tcPr>
          <w:p w14:paraId="16CDE0D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22,4%</w:t>
            </w:r>
          </w:p>
        </w:tc>
        <w:tc>
          <w:tcPr>
            <w:tcW w:w="1701" w:type="dxa"/>
            <w:vAlign w:val="bottom"/>
          </w:tcPr>
          <w:p w14:paraId="73381C7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46,6%</w:t>
            </w:r>
          </w:p>
        </w:tc>
      </w:tr>
    </w:tbl>
    <w:p w14:paraId="31384AE3" w14:textId="6E2A5DFC" w:rsidR="004E6FF8"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descenso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4E6FF8" w14:paraId="34514451" w14:textId="77777777" w:rsidTr="004E6FF8">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79DA195"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554CB708" w14:textId="77777777" w:rsidR="004E6FF8"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7B1688F1"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2A9079FE"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60" w:type="dxa"/>
            <w:vAlign w:val="center"/>
          </w:tcPr>
          <w:p w14:paraId="03A4C33E"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62E2DD50"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4E6FF8" w14:paraId="5E9F74A6"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CB6B3BD"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5" w:type="dxa"/>
            <w:vAlign w:val="bottom"/>
          </w:tcPr>
          <w:p w14:paraId="781A2B1B"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Fernán-Núñez</w:t>
            </w:r>
          </w:p>
        </w:tc>
        <w:tc>
          <w:tcPr>
            <w:tcW w:w="1984" w:type="dxa"/>
            <w:vAlign w:val="bottom"/>
          </w:tcPr>
          <w:p w14:paraId="1EF495A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955 €</w:t>
            </w:r>
          </w:p>
        </w:tc>
        <w:tc>
          <w:tcPr>
            <w:tcW w:w="1560" w:type="dxa"/>
            <w:vAlign w:val="bottom"/>
          </w:tcPr>
          <w:p w14:paraId="281E28C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-0,4%</w:t>
            </w:r>
          </w:p>
        </w:tc>
        <w:tc>
          <w:tcPr>
            <w:tcW w:w="1701" w:type="dxa"/>
            <w:vAlign w:val="bottom"/>
          </w:tcPr>
          <w:p w14:paraId="280EE62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-46,6%</w:t>
            </w:r>
          </w:p>
        </w:tc>
      </w:tr>
      <w:tr w:rsidR="004E6FF8" w14:paraId="1C87C53F"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64AFD64"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5" w:type="dxa"/>
            <w:vAlign w:val="bottom"/>
          </w:tcPr>
          <w:p w14:paraId="25E7AD30"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Arbúcies</w:t>
            </w:r>
          </w:p>
        </w:tc>
        <w:tc>
          <w:tcPr>
            <w:tcW w:w="1984" w:type="dxa"/>
            <w:vAlign w:val="bottom"/>
          </w:tcPr>
          <w:p w14:paraId="43EBC55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1.049 €</w:t>
            </w:r>
          </w:p>
        </w:tc>
        <w:tc>
          <w:tcPr>
            <w:tcW w:w="1560" w:type="dxa"/>
            <w:vAlign w:val="bottom"/>
          </w:tcPr>
          <w:p w14:paraId="46FE1EE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-1,4%</w:t>
            </w:r>
          </w:p>
        </w:tc>
        <w:tc>
          <w:tcPr>
            <w:tcW w:w="1701" w:type="dxa"/>
            <w:vAlign w:val="bottom"/>
          </w:tcPr>
          <w:p w14:paraId="1DF35EC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-24,9%</w:t>
            </w:r>
          </w:p>
        </w:tc>
      </w:tr>
      <w:tr w:rsidR="004E6FF8" w14:paraId="618B12FF" w14:textId="77777777" w:rsidTr="004E6FF8">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FA6CA45"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5" w:type="dxa"/>
            <w:vAlign w:val="bottom"/>
          </w:tcPr>
          <w:p w14:paraId="5CAA7E60"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Andújar</w:t>
            </w:r>
          </w:p>
        </w:tc>
        <w:tc>
          <w:tcPr>
            <w:tcW w:w="1984" w:type="dxa"/>
            <w:vAlign w:val="bottom"/>
          </w:tcPr>
          <w:p w14:paraId="13BF036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842 €</w:t>
            </w:r>
          </w:p>
        </w:tc>
        <w:tc>
          <w:tcPr>
            <w:tcW w:w="1560" w:type="dxa"/>
            <w:vAlign w:val="bottom"/>
          </w:tcPr>
          <w:p w14:paraId="21F1D6F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4,3%</w:t>
            </w:r>
          </w:p>
        </w:tc>
        <w:tc>
          <w:tcPr>
            <w:tcW w:w="1701" w:type="dxa"/>
            <w:vAlign w:val="bottom"/>
          </w:tcPr>
          <w:p w14:paraId="55D18293"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-23,7%</w:t>
            </w:r>
          </w:p>
        </w:tc>
      </w:tr>
      <w:tr w:rsidR="004E6FF8" w14:paraId="64D6804F"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F64B96C"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462A3695"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Rojales</w:t>
            </w:r>
          </w:p>
        </w:tc>
        <w:tc>
          <w:tcPr>
            <w:tcW w:w="1984" w:type="dxa"/>
            <w:vAlign w:val="bottom"/>
          </w:tcPr>
          <w:p w14:paraId="5C7CBD8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2.375 €</w:t>
            </w:r>
          </w:p>
        </w:tc>
        <w:tc>
          <w:tcPr>
            <w:tcW w:w="1560" w:type="dxa"/>
            <w:vAlign w:val="bottom"/>
          </w:tcPr>
          <w:p w14:paraId="387EF3B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-4,7%</w:t>
            </w:r>
          </w:p>
        </w:tc>
        <w:tc>
          <w:tcPr>
            <w:tcW w:w="1701" w:type="dxa"/>
            <w:vAlign w:val="bottom"/>
          </w:tcPr>
          <w:p w14:paraId="7958F5B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-22,5%</w:t>
            </w:r>
          </w:p>
        </w:tc>
      </w:tr>
      <w:tr w:rsidR="004E6FF8" w14:paraId="258247EC"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4053E0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5" w:type="dxa"/>
            <w:vAlign w:val="bottom"/>
          </w:tcPr>
          <w:p w14:paraId="28295887"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Alameda de la Sagra</w:t>
            </w:r>
          </w:p>
        </w:tc>
        <w:tc>
          <w:tcPr>
            <w:tcW w:w="1984" w:type="dxa"/>
            <w:vAlign w:val="bottom"/>
          </w:tcPr>
          <w:p w14:paraId="5535FF8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690 €</w:t>
            </w:r>
          </w:p>
        </w:tc>
        <w:tc>
          <w:tcPr>
            <w:tcW w:w="1560" w:type="dxa"/>
            <w:vAlign w:val="bottom"/>
          </w:tcPr>
          <w:p w14:paraId="139962C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-4,3%</w:t>
            </w:r>
          </w:p>
        </w:tc>
        <w:tc>
          <w:tcPr>
            <w:tcW w:w="1701" w:type="dxa"/>
            <w:vAlign w:val="bottom"/>
          </w:tcPr>
          <w:p w14:paraId="7E6FE3C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-21,3%</w:t>
            </w:r>
          </w:p>
        </w:tc>
      </w:tr>
      <w:tr w:rsidR="004E6FF8" w14:paraId="0C57284C"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20E01AD"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3E6314A0"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Joan de Vilatorrada</w:t>
            </w:r>
          </w:p>
        </w:tc>
        <w:tc>
          <w:tcPr>
            <w:tcW w:w="1984" w:type="dxa"/>
            <w:vAlign w:val="bottom"/>
          </w:tcPr>
          <w:p w14:paraId="7A1B229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1.337 €</w:t>
            </w:r>
          </w:p>
        </w:tc>
        <w:tc>
          <w:tcPr>
            <w:tcW w:w="1560" w:type="dxa"/>
            <w:vAlign w:val="bottom"/>
          </w:tcPr>
          <w:p w14:paraId="7E0B5E09"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-4,1%</w:t>
            </w:r>
          </w:p>
        </w:tc>
        <w:tc>
          <w:tcPr>
            <w:tcW w:w="1701" w:type="dxa"/>
            <w:vAlign w:val="bottom"/>
          </w:tcPr>
          <w:p w14:paraId="15237549"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-21,2%</w:t>
            </w:r>
          </w:p>
        </w:tc>
      </w:tr>
      <w:tr w:rsidR="004E6FF8" w14:paraId="4270DC18"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6B1969F"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5" w:type="dxa"/>
            <w:vAlign w:val="bottom"/>
          </w:tcPr>
          <w:p w14:paraId="65EC0F47"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Cee</w:t>
            </w:r>
          </w:p>
        </w:tc>
        <w:tc>
          <w:tcPr>
            <w:tcW w:w="1984" w:type="dxa"/>
            <w:vAlign w:val="bottom"/>
          </w:tcPr>
          <w:p w14:paraId="2C12F58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760 €</w:t>
            </w:r>
          </w:p>
        </w:tc>
        <w:tc>
          <w:tcPr>
            <w:tcW w:w="1560" w:type="dxa"/>
            <w:vAlign w:val="bottom"/>
          </w:tcPr>
          <w:p w14:paraId="6E61201D"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701" w:type="dxa"/>
            <w:vAlign w:val="bottom"/>
          </w:tcPr>
          <w:p w14:paraId="1F19F8F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-20,4%</w:t>
            </w:r>
          </w:p>
        </w:tc>
      </w:tr>
      <w:tr w:rsidR="004E6FF8" w14:paraId="6C6B377C"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EB85FAE"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023B83AF"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Montornès del Vallès</w:t>
            </w:r>
          </w:p>
        </w:tc>
        <w:tc>
          <w:tcPr>
            <w:tcW w:w="1984" w:type="dxa"/>
            <w:vAlign w:val="bottom"/>
          </w:tcPr>
          <w:p w14:paraId="4037929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1.735 €</w:t>
            </w:r>
          </w:p>
        </w:tc>
        <w:tc>
          <w:tcPr>
            <w:tcW w:w="1560" w:type="dxa"/>
            <w:vAlign w:val="bottom"/>
          </w:tcPr>
          <w:p w14:paraId="2EFF5F4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w:t>
            </w:r>
          </w:p>
        </w:tc>
        <w:tc>
          <w:tcPr>
            <w:tcW w:w="1701" w:type="dxa"/>
            <w:vAlign w:val="bottom"/>
          </w:tcPr>
          <w:p w14:paraId="15F829E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-15,4%</w:t>
            </w:r>
          </w:p>
        </w:tc>
      </w:tr>
      <w:tr w:rsidR="004E6FF8" w14:paraId="27DAAE6E"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83C8A54"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5" w:type="dxa"/>
            <w:vAlign w:val="bottom"/>
          </w:tcPr>
          <w:p w14:paraId="7593A323"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Mondéjar</w:t>
            </w:r>
          </w:p>
        </w:tc>
        <w:tc>
          <w:tcPr>
            <w:tcW w:w="1984" w:type="dxa"/>
            <w:vAlign w:val="bottom"/>
          </w:tcPr>
          <w:p w14:paraId="3BE661C3"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647 €</w:t>
            </w:r>
          </w:p>
        </w:tc>
        <w:tc>
          <w:tcPr>
            <w:tcW w:w="1560" w:type="dxa"/>
            <w:vAlign w:val="bottom"/>
          </w:tcPr>
          <w:p w14:paraId="10414CF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-0,2%</w:t>
            </w:r>
          </w:p>
        </w:tc>
        <w:tc>
          <w:tcPr>
            <w:tcW w:w="1701" w:type="dxa"/>
            <w:vAlign w:val="bottom"/>
          </w:tcPr>
          <w:p w14:paraId="34331C8A"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-14,4%</w:t>
            </w:r>
          </w:p>
        </w:tc>
      </w:tr>
      <w:tr w:rsidR="004E6FF8" w14:paraId="1AC66022"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B6272B4"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5" w:type="dxa"/>
            <w:vAlign w:val="bottom"/>
          </w:tcPr>
          <w:p w14:paraId="5AD71478"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Marín</w:t>
            </w:r>
          </w:p>
        </w:tc>
        <w:tc>
          <w:tcPr>
            <w:tcW w:w="1984" w:type="dxa"/>
            <w:vAlign w:val="bottom"/>
          </w:tcPr>
          <w:p w14:paraId="0839187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964 €</w:t>
            </w:r>
          </w:p>
        </w:tc>
        <w:tc>
          <w:tcPr>
            <w:tcW w:w="1560" w:type="dxa"/>
            <w:vAlign w:val="bottom"/>
          </w:tcPr>
          <w:p w14:paraId="116C2AAE"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w:t>
            </w:r>
          </w:p>
        </w:tc>
        <w:tc>
          <w:tcPr>
            <w:tcW w:w="1701" w:type="dxa"/>
            <w:vAlign w:val="bottom"/>
          </w:tcPr>
          <w:p w14:paraId="7DAE177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-14,3%</w:t>
            </w:r>
          </w:p>
        </w:tc>
      </w:tr>
    </w:tbl>
    <w:p w14:paraId="4762CB99" w14:textId="77777777" w:rsidR="004E6FF8"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Municipios con mayor precio </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4E6FF8" w14:paraId="58051944" w14:textId="77777777" w:rsidTr="004E6FF8">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4297EDB"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36F45BF8" w14:textId="77777777" w:rsidR="004E6FF8"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57790CB6"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59E9973B"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701" w:type="dxa"/>
            <w:vAlign w:val="center"/>
          </w:tcPr>
          <w:p w14:paraId="715B8899"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5F945170"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4E6FF8" w14:paraId="069BD083"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6A72EE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66BF2EA7"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985" w:type="dxa"/>
            <w:vAlign w:val="bottom"/>
          </w:tcPr>
          <w:p w14:paraId="4F6DBB9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6.948 €</w:t>
            </w:r>
          </w:p>
        </w:tc>
        <w:tc>
          <w:tcPr>
            <w:tcW w:w="1701" w:type="dxa"/>
            <w:vAlign w:val="bottom"/>
          </w:tcPr>
          <w:p w14:paraId="3FC2AAE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701" w:type="dxa"/>
            <w:vAlign w:val="bottom"/>
          </w:tcPr>
          <w:p w14:paraId="2A2272D3"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16,6%</w:t>
            </w:r>
          </w:p>
        </w:tc>
      </w:tr>
      <w:tr w:rsidR="004E6FF8" w14:paraId="2914617B"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29AEC7C"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2C6F220C"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Andratx</w:t>
            </w:r>
          </w:p>
        </w:tc>
        <w:tc>
          <w:tcPr>
            <w:tcW w:w="1985" w:type="dxa"/>
            <w:vAlign w:val="bottom"/>
          </w:tcPr>
          <w:p w14:paraId="3E79E76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6.822 €</w:t>
            </w:r>
          </w:p>
        </w:tc>
        <w:tc>
          <w:tcPr>
            <w:tcW w:w="1701" w:type="dxa"/>
            <w:vAlign w:val="bottom"/>
          </w:tcPr>
          <w:p w14:paraId="65AF010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w:t>
            </w:r>
          </w:p>
        </w:tc>
        <w:tc>
          <w:tcPr>
            <w:tcW w:w="1701" w:type="dxa"/>
            <w:vAlign w:val="bottom"/>
          </w:tcPr>
          <w:p w14:paraId="05C6721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19,4%</w:t>
            </w:r>
          </w:p>
        </w:tc>
      </w:tr>
      <w:tr w:rsidR="004E6FF8" w14:paraId="460E5FAE"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DEC8633"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45E51630"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5" w:type="dxa"/>
            <w:vAlign w:val="bottom"/>
          </w:tcPr>
          <w:p w14:paraId="00910A1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6.440 €</w:t>
            </w:r>
          </w:p>
        </w:tc>
        <w:tc>
          <w:tcPr>
            <w:tcW w:w="1701" w:type="dxa"/>
            <w:vAlign w:val="bottom"/>
          </w:tcPr>
          <w:p w14:paraId="573D590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2,3%</w:t>
            </w:r>
          </w:p>
        </w:tc>
        <w:tc>
          <w:tcPr>
            <w:tcW w:w="1701" w:type="dxa"/>
            <w:vAlign w:val="bottom"/>
          </w:tcPr>
          <w:p w14:paraId="678DCD6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8,0%</w:t>
            </w:r>
          </w:p>
        </w:tc>
      </w:tr>
      <w:tr w:rsidR="004E6FF8" w14:paraId="5697A534"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0797FF0"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402DD8FA"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Zarautz</w:t>
            </w:r>
          </w:p>
        </w:tc>
        <w:tc>
          <w:tcPr>
            <w:tcW w:w="1985" w:type="dxa"/>
            <w:vAlign w:val="bottom"/>
          </w:tcPr>
          <w:p w14:paraId="39E9D0E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6.135 €</w:t>
            </w:r>
          </w:p>
        </w:tc>
        <w:tc>
          <w:tcPr>
            <w:tcW w:w="1701" w:type="dxa"/>
            <w:vAlign w:val="bottom"/>
          </w:tcPr>
          <w:p w14:paraId="59FFFED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-2,0%</w:t>
            </w:r>
          </w:p>
        </w:tc>
        <w:tc>
          <w:tcPr>
            <w:tcW w:w="1701" w:type="dxa"/>
            <w:vAlign w:val="bottom"/>
          </w:tcPr>
          <w:p w14:paraId="4CE05E8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15,7%</w:t>
            </w:r>
          </w:p>
        </w:tc>
      </w:tr>
      <w:tr w:rsidR="004E6FF8" w14:paraId="6BDE837D"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2A9AA43"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11F5952C"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156881B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6.113 €</w:t>
            </w:r>
          </w:p>
        </w:tc>
        <w:tc>
          <w:tcPr>
            <w:tcW w:w="1701" w:type="dxa"/>
            <w:vAlign w:val="bottom"/>
          </w:tcPr>
          <w:p w14:paraId="654617CF"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w:t>
            </w:r>
          </w:p>
        </w:tc>
        <w:tc>
          <w:tcPr>
            <w:tcW w:w="1701" w:type="dxa"/>
            <w:vAlign w:val="bottom"/>
          </w:tcPr>
          <w:p w14:paraId="4D0C4C7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11,0%</w:t>
            </w:r>
          </w:p>
        </w:tc>
      </w:tr>
      <w:tr w:rsidR="004E6FF8" w14:paraId="388B08AE"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26741D4"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5E553FC0"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Eulària des Riu</w:t>
            </w:r>
          </w:p>
        </w:tc>
        <w:tc>
          <w:tcPr>
            <w:tcW w:w="1985" w:type="dxa"/>
            <w:vAlign w:val="bottom"/>
          </w:tcPr>
          <w:p w14:paraId="077B8B8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5.847 €</w:t>
            </w:r>
          </w:p>
        </w:tc>
        <w:tc>
          <w:tcPr>
            <w:tcW w:w="1701" w:type="dxa"/>
            <w:vAlign w:val="bottom"/>
          </w:tcPr>
          <w:p w14:paraId="29A3BD24"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0,2%</w:t>
            </w:r>
          </w:p>
        </w:tc>
        <w:tc>
          <w:tcPr>
            <w:tcW w:w="1701" w:type="dxa"/>
            <w:vAlign w:val="bottom"/>
          </w:tcPr>
          <w:p w14:paraId="099BC96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-3,0%</w:t>
            </w:r>
          </w:p>
        </w:tc>
      </w:tr>
      <w:tr w:rsidR="004E6FF8" w14:paraId="02DFCD22"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8D8C9E3"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3FC5D8AA"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Moraleja</w:t>
            </w:r>
          </w:p>
        </w:tc>
        <w:tc>
          <w:tcPr>
            <w:tcW w:w="1985" w:type="dxa"/>
            <w:vAlign w:val="bottom"/>
          </w:tcPr>
          <w:p w14:paraId="2415CB6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5.787 €</w:t>
            </w:r>
          </w:p>
        </w:tc>
        <w:tc>
          <w:tcPr>
            <w:tcW w:w="1701" w:type="dxa"/>
            <w:vAlign w:val="bottom"/>
          </w:tcPr>
          <w:p w14:paraId="7327DEA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701" w:type="dxa"/>
            <w:vAlign w:val="bottom"/>
          </w:tcPr>
          <w:p w14:paraId="5B951F5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6,7%</w:t>
            </w:r>
          </w:p>
        </w:tc>
      </w:tr>
      <w:tr w:rsidR="004E6FF8" w14:paraId="4012DF84"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ECD4F3E"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0565D8B8"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Josep de sa Talaia</w:t>
            </w:r>
          </w:p>
        </w:tc>
        <w:tc>
          <w:tcPr>
            <w:tcW w:w="1985" w:type="dxa"/>
            <w:vAlign w:val="bottom"/>
          </w:tcPr>
          <w:p w14:paraId="2F37B12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5.640 €</w:t>
            </w:r>
          </w:p>
        </w:tc>
        <w:tc>
          <w:tcPr>
            <w:tcW w:w="1701" w:type="dxa"/>
            <w:vAlign w:val="bottom"/>
          </w:tcPr>
          <w:p w14:paraId="0693383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58E0B88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9,8%</w:t>
            </w:r>
          </w:p>
        </w:tc>
      </w:tr>
      <w:tr w:rsidR="004E6FF8" w14:paraId="4986C8EF"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F159CB4"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6B295F62"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5" w:type="dxa"/>
            <w:vAlign w:val="bottom"/>
          </w:tcPr>
          <w:p w14:paraId="2D3D231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5.405 €</w:t>
            </w:r>
          </w:p>
        </w:tc>
        <w:tc>
          <w:tcPr>
            <w:tcW w:w="1701" w:type="dxa"/>
            <w:vAlign w:val="bottom"/>
          </w:tcPr>
          <w:p w14:paraId="1D7735BE"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0,8%</w:t>
            </w:r>
          </w:p>
        </w:tc>
        <w:tc>
          <w:tcPr>
            <w:tcW w:w="1701" w:type="dxa"/>
            <w:vAlign w:val="bottom"/>
          </w:tcPr>
          <w:p w14:paraId="0155897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23,2%</w:t>
            </w:r>
          </w:p>
        </w:tc>
      </w:tr>
      <w:tr w:rsidR="004E6FF8" w14:paraId="66B454AD"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2D74F9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29154633"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Sitges</w:t>
            </w:r>
          </w:p>
        </w:tc>
        <w:tc>
          <w:tcPr>
            <w:tcW w:w="1985" w:type="dxa"/>
            <w:vAlign w:val="bottom"/>
          </w:tcPr>
          <w:p w14:paraId="3032CD0C"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5.378 €</w:t>
            </w:r>
          </w:p>
        </w:tc>
        <w:tc>
          <w:tcPr>
            <w:tcW w:w="1701" w:type="dxa"/>
            <w:vAlign w:val="bottom"/>
          </w:tcPr>
          <w:p w14:paraId="27F119E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w:t>
            </w:r>
          </w:p>
        </w:tc>
        <w:tc>
          <w:tcPr>
            <w:tcW w:w="1701" w:type="dxa"/>
            <w:vAlign w:val="bottom"/>
          </w:tcPr>
          <w:p w14:paraId="677AA26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7,4%</w:t>
            </w:r>
          </w:p>
        </w:tc>
      </w:tr>
    </w:tbl>
    <w:p w14:paraId="2F217133" w14:textId="77777777" w:rsidR="004E6FF8"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Municipios con menor precio </w:t>
      </w:r>
    </w:p>
    <w:tbl>
      <w:tblPr>
        <w:tblStyle w:val="a5"/>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4E6FF8" w14:paraId="41CF3077" w14:textId="77777777" w:rsidTr="004E6FF8">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1009123"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7DCCBCDC" w14:textId="77777777" w:rsidR="004E6FF8"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32763943"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7C7F8432"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701" w:type="dxa"/>
            <w:vAlign w:val="center"/>
          </w:tcPr>
          <w:p w14:paraId="42FF6F98"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5C68F6C1"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4E6FF8" w14:paraId="3CD78EC2"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48323B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75FDFF31"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Tobarra</w:t>
            </w:r>
          </w:p>
        </w:tc>
        <w:tc>
          <w:tcPr>
            <w:tcW w:w="1985" w:type="dxa"/>
            <w:vAlign w:val="bottom"/>
          </w:tcPr>
          <w:p w14:paraId="2C33E13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633 €</w:t>
            </w:r>
          </w:p>
        </w:tc>
        <w:tc>
          <w:tcPr>
            <w:tcW w:w="1701" w:type="dxa"/>
            <w:vAlign w:val="bottom"/>
          </w:tcPr>
          <w:p w14:paraId="5D54539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w:t>
            </w:r>
          </w:p>
        </w:tc>
        <w:tc>
          <w:tcPr>
            <w:tcW w:w="1701" w:type="dxa"/>
            <w:vAlign w:val="bottom"/>
          </w:tcPr>
          <w:p w14:paraId="0717F32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-9,7%</w:t>
            </w:r>
          </w:p>
        </w:tc>
      </w:tr>
      <w:tr w:rsidR="004E6FF8" w14:paraId="4C559E6C"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48C8AC9"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0EB5007D"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Carolina</w:t>
            </w:r>
          </w:p>
        </w:tc>
        <w:tc>
          <w:tcPr>
            <w:tcW w:w="1985" w:type="dxa"/>
            <w:vAlign w:val="bottom"/>
          </w:tcPr>
          <w:p w14:paraId="50E0691E"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634 €</w:t>
            </w:r>
          </w:p>
        </w:tc>
        <w:tc>
          <w:tcPr>
            <w:tcW w:w="1701" w:type="dxa"/>
            <w:vAlign w:val="bottom"/>
          </w:tcPr>
          <w:p w14:paraId="4C2D761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701" w:type="dxa"/>
            <w:vAlign w:val="bottom"/>
          </w:tcPr>
          <w:p w14:paraId="07185A8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0,0%</w:t>
            </w:r>
          </w:p>
        </w:tc>
      </w:tr>
      <w:tr w:rsidR="004E6FF8" w14:paraId="1D6FC110"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BAB639D"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4919315C"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Villanueva del Arzobispo</w:t>
            </w:r>
          </w:p>
        </w:tc>
        <w:tc>
          <w:tcPr>
            <w:tcW w:w="1985" w:type="dxa"/>
            <w:vAlign w:val="bottom"/>
          </w:tcPr>
          <w:p w14:paraId="6687808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634 €</w:t>
            </w:r>
          </w:p>
        </w:tc>
        <w:tc>
          <w:tcPr>
            <w:tcW w:w="1701" w:type="dxa"/>
            <w:vAlign w:val="bottom"/>
          </w:tcPr>
          <w:p w14:paraId="775A4FF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-1,1%</w:t>
            </w:r>
          </w:p>
        </w:tc>
        <w:tc>
          <w:tcPr>
            <w:tcW w:w="1701" w:type="dxa"/>
            <w:vAlign w:val="bottom"/>
          </w:tcPr>
          <w:p w14:paraId="5EB9EAC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w:t>
            </w:r>
          </w:p>
        </w:tc>
      </w:tr>
      <w:tr w:rsidR="004E6FF8" w14:paraId="7482C0DC"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34E3935"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4AF5A183"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Montijo</w:t>
            </w:r>
          </w:p>
        </w:tc>
        <w:tc>
          <w:tcPr>
            <w:tcW w:w="1985" w:type="dxa"/>
            <w:vAlign w:val="bottom"/>
          </w:tcPr>
          <w:p w14:paraId="4C41F0B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641 €</w:t>
            </w:r>
          </w:p>
        </w:tc>
        <w:tc>
          <w:tcPr>
            <w:tcW w:w="1701" w:type="dxa"/>
            <w:vAlign w:val="bottom"/>
          </w:tcPr>
          <w:p w14:paraId="18BC52F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w:t>
            </w:r>
          </w:p>
        </w:tc>
        <w:tc>
          <w:tcPr>
            <w:tcW w:w="1701" w:type="dxa"/>
            <w:vAlign w:val="bottom"/>
          </w:tcPr>
          <w:p w14:paraId="0BC7368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-5,4%</w:t>
            </w:r>
          </w:p>
        </w:tc>
      </w:tr>
      <w:tr w:rsidR="004E6FF8" w14:paraId="25A38D4B"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72DBB7F"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4" w:type="dxa"/>
            <w:vAlign w:val="bottom"/>
          </w:tcPr>
          <w:p w14:paraId="107ECF7B"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Mondéjar</w:t>
            </w:r>
          </w:p>
        </w:tc>
        <w:tc>
          <w:tcPr>
            <w:tcW w:w="1985" w:type="dxa"/>
            <w:vAlign w:val="bottom"/>
          </w:tcPr>
          <w:p w14:paraId="6BEA5B1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647 €</w:t>
            </w:r>
          </w:p>
        </w:tc>
        <w:tc>
          <w:tcPr>
            <w:tcW w:w="1701" w:type="dxa"/>
            <w:vAlign w:val="bottom"/>
          </w:tcPr>
          <w:p w14:paraId="18B4ED5A"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-0,2%</w:t>
            </w:r>
          </w:p>
        </w:tc>
        <w:tc>
          <w:tcPr>
            <w:tcW w:w="1701" w:type="dxa"/>
            <w:vAlign w:val="bottom"/>
          </w:tcPr>
          <w:p w14:paraId="70025C8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-14,4%</w:t>
            </w:r>
          </w:p>
        </w:tc>
      </w:tr>
      <w:tr w:rsidR="004E6FF8" w14:paraId="083A4454"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E70343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018FDDC7"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Herencia</w:t>
            </w:r>
          </w:p>
        </w:tc>
        <w:tc>
          <w:tcPr>
            <w:tcW w:w="1985" w:type="dxa"/>
            <w:vAlign w:val="bottom"/>
          </w:tcPr>
          <w:p w14:paraId="073BCCD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654 €</w:t>
            </w:r>
          </w:p>
        </w:tc>
        <w:tc>
          <w:tcPr>
            <w:tcW w:w="1701" w:type="dxa"/>
            <w:vAlign w:val="bottom"/>
          </w:tcPr>
          <w:p w14:paraId="1C2D709B"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-2,2%</w:t>
            </w:r>
          </w:p>
        </w:tc>
        <w:tc>
          <w:tcPr>
            <w:tcW w:w="1701" w:type="dxa"/>
            <w:vAlign w:val="bottom"/>
          </w:tcPr>
          <w:p w14:paraId="1645A0E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-1,1%</w:t>
            </w:r>
          </w:p>
        </w:tc>
      </w:tr>
      <w:tr w:rsidR="004E6FF8" w14:paraId="683B8619"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5BFF2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6A5858F0"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Torreperogil</w:t>
            </w:r>
          </w:p>
        </w:tc>
        <w:tc>
          <w:tcPr>
            <w:tcW w:w="1985" w:type="dxa"/>
            <w:vAlign w:val="bottom"/>
          </w:tcPr>
          <w:p w14:paraId="5A58E89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658 €</w:t>
            </w:r>
          </w:p>
        </w:tc>
        <w:tc>
          <w:tcPr>
            <w:tcW w:w="1701" w:type="dxa"/>
            <w:vAlign w:val="bottom"/>
          </w:tcPr>
          <w:p w14:paraId="1FDF0CC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-5,4%</w:t>
            </w:r>
          </w:p>
        </w:tc>
        <w:tc>
          <w:tcPr>
            <w:tcW w:w="1701" w:type="dxa"/>
            <w:vAlign w:val="bottom"/>
          </w:tcPr>
          <w:p w14:paraId="4AF9B25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2,2%</w:t>
            </w:r>
          </w:p>
        </w:tc>
      </w:tr>
      <w:tr w:rsidR="004E6FF8" w14:paraId="72D8E93D"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E946CC2"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2F1D3C19"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Calasparra</w:t>
            </w:r>
          </w:p>
        </w:tc>
        <w:tc>
          <w:tcPr>
            <w:tcW w:w="1985" w:type="dxa"/>
            <w:vAlign w:val="bottom"/>
          </w:tcPr>
          <w:p w14:paraId="0F975AF5"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661 €</w:t>
            </w:r>
          </w:p>
        </w:tc>
        <w:tc>
          <w:tcPr>
            <w:tcW w:w="1701" w:type="dxa"/>
            <w:vAlign w:val="bottom"/>
          </w:tcPr>
          <w:p w14:paraId="3C89349B"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76B402B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6,3%</w:t>
            </w:r>
          </w:p>
        </w:tc>
      </w:tr>
      <w:tr w:rsidR="004E6FF8" w14:paraId="6FF09AF4" w14:textId="77777777" w:rsidTr="004E6FF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678C35F"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61EBD0E0" w14:textId="77777777" w:rsidR="004E6FF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Canals</w:t>
            </w:r>
          </w:p>
        </w:tc>
        <w:tc>
          <w:tcPr>
            <w:tcW w:w="1985" w:type="dxa"/>
            <w:vAlign w:val="bottom"/>
          </w:tcPr>
          <w:p w14:paraId="2EB91883"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678 €</w:t>
            </w:r>
          </w:p>
        </w:tc>
        <w:tc>
          <w:tcPr>
            <w:tcW w:w="1701" w:type="dxa"/>
            <w:vAlign w:val="bottom"/>
          </w:tcPr>
          <w:p w14:paraId="0DEE2C1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0,4%</w:t>
            </w:r>
          </w:p>
        </w:tc>
        <w:tc>
          <w:tcPr>
            <w:tcW w:w="1701" w:type="dxa"/>
            <w:vAlign w:val="bottom"/>
          </w:tcPr>
          <w:p w14:paraId="051E215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2,4%</w:t>
            </w:r>
          </w:p>
        </w:tc>
      </w:tr>
      <w:tr w:rsidR="004E6FF8" w14:paraId="1C79F35C" w14:textId="77777777" w:rsidTr="004E6FF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C7578E0"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41AB1B7E" w14:textId="77777777" w:rsidR="004E6FF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Lorquí</w:t>
            </w:r>
          </w:p>
        </w:tc>
        <w:tc>
          <w:tcPr>
            <w:tcW w:w="1985" w:type="dxa"/>
            <w:vAlign w:val="bottom"/>
          </w:tcPr>
          <w:p w14:paraId="5C4A7CD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680 €</w:t>
            </w:r>
          </w:p>
        </w:tc>
        <w:tc>
          <w:tcPr>
            <w:tcW w:w="1701" w:type="dxa"/>
            <w:vAlign w:val="bottom"/>
          </w:tcPr>
          <w:p w14:paraId="30A3928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vAlign w:val="bottom"/>
          </w:tcPr>
          <w:p w14:paraId="0E382F44"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bl>
    <w:p w14:paraId="0D79D7FB" w14:textId="77777777" w:rsidR="004E6FF8"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Madrid</w:t>
      </w:r>
    </w:p>
    <w:p w14:paraId="165F7D92" w14:textId="77777777" w:rsidR="004E6FF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17 de los 21 distritos con variación interanual analizados por </w:t>
      </w:r>
      <w:hyperlink r:id="rId16">
        <w:r>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interanuales de la vivienda superiores al 10% son: Retiro (22,6%), Centro (19,2%), Ciudad Lineal (17,9%), Barrio de Salamanca (17,8%), Chamberí (17,3%), Barajas (16,5%), Moratalaz (16,4%), Tetuán (14,9%), Chamartín (13,0%), Moncloa - Aravaca (12,9%), Hortaleza (11,7%), Latina (11,1%), Vicálvaro (11,1%), Fuencarral - El Pardo (10,7%).</w:t>
      </w:r>
    </w:p>
    <w:p w14:paraId="68610528" w14:textId="77777777" w:rsidR="004E6FF8" w:rsidRDefault="004E6FF8">
      <w:pPr>
        <w:spacing w:line="276" w:lineRule="auto"/>
        <w:jc w:val="both"/>
        <w:rPr>
          <w:rFonts w:ascii="Open Sans" w:eastAsia="Open Sans" w:hAnsi="Open Sans" w:cs="Open Sans"/>
          <w:color w:val="000000"/>
        </w:rPr>
      </w:pPr>
    </w:p>
    <w:p w14:paraId="6D0FB56E" w14:textId="77777777" w:rsidR="004E6FF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lastRenderedPageBreak/>
        <w:t>En cuanto al precio por metro cuadrado en julio, el precio por encima de los 5.000 euros corresponde a los distritos de Barrio de Salamanca con 8.875 euros/m</w:t>
      </w:r>
      <w:r>
        <w:rPr>
          <w:rFonts w:ascii="Open Sans" w:eastAsia="Open Sans" w:hAnsi="Open Sans" w:cs="Open Sans"/>
          <w:color w:val="000000"/>
          <w:vertAlign w:val="superscript"/>
        </w:rPr>
        <w:t>2</w:t>
      </w:r>
      <w:r>
        <w:rPr>
          <w:rFonts w:ascii="Open Sans" w:eastAsia="Open Sans" w:hAnsi="Open Sans" w:cs="Open Sans"/>
          <w:color w:val="000000"/>
        </w:rPr>
        <w:t>, Chamberí con 7.525 euros/m</w:t>
      </w:r>
      <w:r>
        <w:rPr>
          <w:rFonts w:ascii="Open Sans" w:eastAsia="Open Sans" w:hAnsi="Open Sans" w:cs="Open Sans"/>
          <w:color w:val="000000"/>
          <w:vertAlign w:val="superscript"/>
        </w:rPr>
        <w:t>2</w:t>
      </w:r>
      <w:r>
        <w:rPr>
          <w:rFonts w:ascii="Open Sans" w:eastAsia="Open Sans" w:hAnsi="Open Sans" w:cs="Open Sans"/>
          <w:color w:val="000000"/>
        </w:rPr>
        <w:t>, Centro con 7.010 euros/m</w:t>
      </w:r>
      <w:r>
        <w:rPr>
          <w:rFonts w:ascii="Open Sans" w:eastAsia="Open Sans" w:hAnsi="Open Sans" w:cs="Open Sans"/>
          <w:color w:val="000000"/>
          <w:vertAlign w:val="superscript"/>
        </w:rPr>
        <w:t>2</w:t>
      </w:r>
      <w:r>
        <w:rPr>
          <w:rFonts w:ascii="Open Sans" w:eastAsia="Open Sans" w:hAnsi="Open Sans" w:cs="Open Sans"/>
          <w:color w:val="000000"/>
        </w:rPr>
        <w:t>, Retiro con 6.684 euros/m</w:t>
      </w:r>
      <w:r>
        <w:rPr>
          <w:rFonts w:ascii="Open Sans" w:eastAsia="Open Sans" w:hAnsi="Open Sans" w:cs="Open Sans"/>
          <w:color w:val="000000"/>
          <w:vertAlign w:val="superscript"/>
        </w:rPr>
        <w:t>2</w:t>
      </w:r>
      <w:r>
        <w:rPr>
          <w:rFonts w:ascii="Open Sans" w:eastAsia="Open Sans" w:hAnsi="Open Sans" w:cs="Open Sans"/>
          <w:color w:val="000000"/>
        </w:rPr>
        <w:t>, Chamartín con 6.492 euros/m</w:t>
      </w:r>
      <w:r>
        <w:rPr>
          <w:rFonts w:ascii="Open Sans" w:eastAsia="Open Sans" w:hAnsi="Open Sans" w:cs="Open Sans"/>
          <w:color w:val="000000"/>
          <w:vertAlign w:val="superscript"/>
        </w:rPr>
        <w:t>2</w:t>
      </w:r>
      <w:r>
        <w:rPr>
          <w:rFonts w:ascii="Open Sans" w:eastAsia="Open Sans" w:hAnsi="Open Sans" w:cs="Open Sans"/>
          <w:color w:val="000000"/>
        </w:rPr>
        <w:t>, Moncloa – Aravaca con 5.398 euros/m</w:t>
      </w:r>
      <w:r>
        <w:rPr>
          <w:rFonts w:ascii="Open Sans" w:eastAsia="Open Sans" w:hAnsi="Open Sans" w:cs="Open Sans"/>
          <w:color w:val="000000"/>
          <w:vertAlign w:val="superscript"/>
        </w:rPr>
        <w:t>2</w:t>
      </w:r>
      <w:r>
        <w:rPr>
          <w:rFonts w:ascii="Open Sans" w:eastAsia="Open Sans" w:hAnsi="Open Sans" w:cs="Open Sans"/>
          <w:color w:val="000000"/>
        </w:rPr>
        <w:t xml:space="preserve"> y Tetuán con 5.367 euros/m</w:t>
      </w:r>
      <w:r>
        <w:rPr>
          <w:rFonts w:ascii="Open Sans" w:eastAsia="Open Sans" w:hAnsi="Open Sans" w:cs="Open Sans"/>
          <w:color w:val="000000"/>
          <w:vertAlign w:val="superscript"/>
        </w:rPr>
        <w:t>2</w:t>
      </w:r>
      <w:r>
        <w:rPr>
          <w:rFonts w:ascii="Open Sans" w:eastAsia="Open Sans" w:hAnsi="Open Sans" w:cs="Open Sans"/>
          <w:color w:val="000000"/>
        </w:rPr>
        <w:t>. Por otro lado, los distritos con el precio de la vivienda más económico son Villaverde con 1.866 euros/m</w:t>
      </w:r>
      <w:r>
        <w:rPr>
          <w:rFonts w:ascii="Open Sans" w:eastAsia="Open Sans" w:hAnsi="Open Sans" w:cs="Open Sans"/>
          <w:color w:val="000000"/>
          <w:vertAlign w:val="superscript"/>
        </w:rPr>
        <w:t>2</w:t>
      </w:r>
      <w:r>
        <w:rPr>
          <w:rFonts w:ascii="Open Sans" w:eastAsia="Open Sans" w:hAnsi="Open Sans" w:cs="Open Sans"/>
          <w:color w:val="000000"/>
        </w:rPr>
        <w:t>, Puente de Vallecas con 2.329 euros/m</w:t>
      </w:r>
      <w:r>
        <w:rPr>
          <w:rFonts w:ascii="Open Sans" w:eastAsia="Open Sans" w:hAnsi="Open Sans" w:cs="Open Sans"/>
          <w:color w:val="000000"/>
          <w:vertAlign w:val="superscript"/>
        </w:rPr>
        <w:t>2</w:t>
      </w:r>
      <w:r>
        <w:rPr>
          <w:rFonts w:ascii="Open Sans" w:eastAsia="Open Sans" w:hAnsi="Open Sans" w:cs="Open Sans"/>
          <w:color w:val="000000"/>
        </w:rPr>
        <w:t xml:space="preserve"> y Usera con 2.496 euros/m</w:t>
      </w:r>
      <w:r>
        <w:rPr>
          <w:rFonts w:ascii="Open Sans" w:eastAsia="Open Sans" w:hAnsi="Open Sans" w:cs="Open Sans"/>
          <w:color w:val="000000"/>
          <w:vertAlign w:val="superscript"/>
        </w:rPr>
        <w:t>2</w:t>
      </w:r>
      <w:r>
        <w:rPr>
          <w:rFonts w:ascii="Open Sans" w:eastAsia="Open Sans" w:hAnsi="Open Sans" w:cs="Open Sans"/>
          <w:color w:val="000000"/>
        </w:rPr>
        <w:t>.</w:t>
      </w:r>
    </w:p>
    <w:p w14:paraId="750FD8A4" w14:textId="77777777" w:rsidR="00DC1040" w:rsidRDefault="00DC1040">
      <w:pPr>
        <w:spacing w:line="276" w:lineRule="auto"/>
        <w:jc w:val="both"/>
        <w:rPr>
          <w:rFonts w:ascii="Open Sans" w:eastAsia="Open Sans" w:hAnsi="Open Sans" w:cs="Open Sans"/>
          <w:color w:val="000000"/>
        </w:rPr>
      </w:pPr>
    </w:p>
    <w:p w14:paraId="53B3120C" w14:textId="68026345" w:rsidR="00DC1040" w:rsidRDefault="00DC1040" w:rsidP="00DC104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Madrid de mayor a menor incremento interanual</w:t>
      </w: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4E6FF8" w14:paraId="053F66BB" w14:textId="77777777" w:rsidTr="004E6FF8">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1A5543F0"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541C12F9"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bookmarkStart w:id="1" w:name="_heading=h.30j0zll" w:colFirst="0" w:colLast="0"/>
            <w:bookmarkEnd w:id="1"/>
            <w:r>
              <w:rPr>
                <w:rFonts w:ascii="Open Sans" w:eastAsia="Open Sans" w:hAnsi="Open Sans" w:cs="Open Sans"/>
                <w:b w:val="0"/>
                <w:sz w:val="22"/>
                <w:szCs w:val="22"/>
              </w:rPr>
              <w:t>Julio 2024</w:t>
            </w:r>
          </w:p>
          <w:p w14:paraId="5410AA8E"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985" w:type="dxa"/>
            <w:tcBorders>
              <w:bottom w:val="single" w:sz="4" w:space="0" w:color="FFFFFF"/>
            </w:tcBorders>
            <w:vAlign w:val="center"/>
          </w:tcPr>
          <w:p w14:paraId="1E6BEA19"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2D0072C3"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4E6FF8" w14:paraId="67EB9680" w14:textId="77777777" w:rsidTr="004E6FF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C54B6C6"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08F4B58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8.875 €</w:t>
            </w:r>
          </w:p>
        </w:tc>
        <w:tc>
          <w:tcPr>
            <w:tcW w:w="1985" w:type="dxa"/>
            <w:tcBorders>
              <w:top w:val="single" w:sz="4" w:space="0" w:color="FFFFFF"/>
              <w:left w:val="single" w:sz="4" w:space="0" w:color="FFFFFF"/>
              <w:bottom w:val="single" w:sz="4" w:space="0" w:color="FFFFFF"/>
              <w:right w:val="single" w:sz="4" w:space="0" w:color="FFFFFF"/>
            </w:tcBorders>
            <w:vAlign w:val="bottom"/>
          </w:tcPr>
          <w:p w14:paraId="2EE4CF9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w:t>
            </w:r>
          </w:p>
        </w:tc>
        <w:tc>
          <w:tcPr>
            <w:tcW w:w="1963" w:type="dxa"/>
            <w:tcBorders>
              <w:top w:val="single" w:sz="4" w:space="0" w:color="FFFFFF"/>
              <w:left w:val="single" w:sz="4" w:space="0" w:color="FFFFFF"/>
              <w:bottom w:val="single" w:sz="4" w:space="0" w:color="FFFFFF"/>
              <w:right w:val="single" w:sz="4" w:space="0" w:color="FFFFFF"/>
            </w:tcBorders>
            <w:vAlign w:val="bottom"/>
          </w:tcPr>
          <w:p w14:paraId="1AFC9BA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17,8%</w:t>
            </w:r>
          </w:p>
        </w:tc>
      </w:tr>
      <w:tr w:rsidR="004E6FF8" w14:paraId="5291B967" w14:textId="77777777" w:rsidTr="004E6FF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3F9A7FB"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2BAE2F3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7.525 €</w:t>
            </w:r>
          </w:p>
        </w:tc>
        <w:tc>
          <w:tcPr>
            <w:tcW w:w="1985" w:type="dxa"/>
            <w:tcBorders>
              <w:top w:val="single" w:sz="4" w:space="0" w:color="FFFFFF"/>
              <w:left w:val="single" w:sz="4" w:space="0" w:color="FFFFFF"/>
              <w:bottom w:val="single" w:sz="4" w:space="0" w:color="FFFFFF"/>
              <w:right w:val="single" w:sz="4" w:space="0" w:color="FFFFFF"/>
            </w:tcBorders>
            <w:vAlign w:val="bottom"/>
          </w:tcPr>
          <w:p w14:paraId="5455FB1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018E7E5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17,3%</w:t>
            </w:r>
          </w:p>
        </w:tc>
      </w:tr>
      <w:tr w:rsidR="004E6FF8" w14:paraId="19D325A5" w14:textId="77777777" w:rsidTr="004E6FF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B82908B"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1AEFE78F"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7.010 €</w:t>
            </w:r>
          </w:p>
        </w:tc>
        <w:tc>
          <w:tcPr>
            <w:tcW w:w="1985" w:type="dxa"/>
            <w:tcBorders>
              <w:top w:val="single" w:sz="4" w:space="0" w:color="FFFFFF"/>
              <w:left w:val="single" w:sz="4" w:space="0" w:color="FFFFFF"/>
              <w:bottom w:val="single" w:sz="4" w:space="0" w:color="FFFFFF"/>
              <w:right w:val="single" w:sz="4" w:space="0" w:color="FFFFFF"/>
            </w:tcBorders>
            <w:vAlign w:val="bottom"/>
          </w:tcPr>
          <w:p w14:paraId="0093223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2794FDA3"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19,2%</w:t>
            </w:r>
          </w:p>
        </w:tc>
      </w:tr>
      <w:tr w:rsidR="004E6FF8" w14:paraId="0775543F" w14:textId="77777777" w:rsidTr="004E6FF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457D83C"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490F5B3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6.684 €</w:t>
            </w:r>
          </w:p>
        </w:tc>
        <w:tc>
          <w:tcPr>
            <w:tcW w:w="1985" w:type="dxa"/>
            <w:tcBorders>
              <w:top w:val="single" w:sz="4" w:space="0" w:color="FFFFFF"/>
              <w:left w:val="single" w:sz="4" w:space="0" w:color="FFFFFF"/>
              <w:bottom w:val="single" w:sz="4" w:space="0" w:color="FFFFFF"/>
              <w:right w:val="single" w:sz="4" w:space="0" w:color="FFFFFF"/>
            </w:tcBorders>
            <w:vAlign w:val="bottom"/>
          </w:tcPr>
          <w:p w14:paraId="6D2B0DDE"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w:t>
            </w:r>
          </w:p>
        </w:tc>
        <w:tc>
          <w:tcPr>
            <w:tcW w:w="1963" w:type="dxa"/>
            <w:tcBorders>
              <w:top w:val="single" w:sz="4" w:space="0" w:color="FFFFFF"/>
              <w:left w:val="single" w:sz="4" w:space="0" w:color="FFFFFF"/>
              <w:bottom w:val="single" w:sz="4" w:space="0" w:color="FFFFFF"/>
              <w:right w:val="single" w:sz="4" w:space="0" w:color="FFFFFF"/>
            </w:tcBorders>
            <w:vAlign w:val="bottom"/>
          </w:tcPr>
          <w:p w14:paraId="27BFE30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22,6%</w:t>
            </w:r>
          </w:p>
        </w:tc>
      </w:tr>
      <w:tr w:rsidR="004E6FF8" w14:paraId="4F777E25" w14:textId="77777777" w:rsidTr="004E6FF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B2D9A0D"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5F7BC22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6.492 €</w:t>
            </w:r>
          </w:p>
        </w:tc>
        <w:tc>
          <w:tcPr>
            <w:tcW w:w="1985" w:type="dxa"/>
            <w:tcBorders>
              <w:top w:val="single" w:sz="4" w:space="0" w:color="FFFFFF"/>
              <w:left w:val="single" w:sz="4" w:space="0" w:color="FFFFFF"/>
              <w:bottom w:val="single" w:sz="4" w:space="0" w:color="FFFFFF"/>
              <w:right w:val="single" w:sz="4" w:space="0" w:color="FFFFFF"/>
            </w:tcBorders>
            <w:vAlign w:val="bottom"/>
          </w:tcPr>
          <w:p w14:paraId="29D465C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c>
          <w:tcPr>
            <w:tcW w:w="1963" w:type="dxa"/>
            <w:tcBorders>
              <w:top w:val="single" w:sz="4" w:space="0" w:color="FFFFFF"/>
              <w:left w:val="single" w:sz="4" w:space="0" w:color="FFFFFF"/>
              <w:bottom w:val="single" w:sz="4" w:space="0" w:color="FFFFFF"/>
              <w:right w:val="single" w:sz="4" w:space="0" w:color="FFFFFF"/>
            </w:tcBorders>
            <w:vAlign w:val="bottom"/>
          </w:tcPr>
          <w:p w14:paraId="545156B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13,0%</w:t>
            </w:r>
          </w:p>
        </w:tc>
      </w:tr>
      <w:tr w:rsidR="004E6FF8" w14:paraId="25223349" w14:textId="77777777" w:rsidTr="004E6FF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62F33F9"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4BE9ABD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5.398 €</w:t>
            </w:r>
          </w:p>
        </w:tc>
        <w:tc>
          <w:tcPr>
            <w:tcW w:w="1985" w:type="dxa"/>
            <w:tcBorders>
              <w:top w:val="single" w:sz="4" w:space="0" w:color="FFFFFF"/>
              <w:left w:val="single" w:sz="4" w:space="0" w:color="FFFFFF"/>
              <w:bottom w:val="single" w:sz="4" w:space="0" w:color="FFFFFF"/>
              <w:right w:val="single" w:sz="4" w:space="0" w:color="FFFFFF"/>
            </w:tcBorders>
            <w:vAlign w:val="bottom"/>
          </w:tcPr>
          <w:p w14:paraId="5E71ABB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-1,4%</w:t>
            </w:r>
          </w:p>
        </w:tc>
        <w:tc>
          <w:tcPr>
            <w:tcW w:w="1963" w:type="dxa"/>
            <w:tcBorders>
              <w:top w:val="single" w:sz="4" w:space="0" w:color="FFFFFF"/>
              <w:left w:val="single" w:sz="4" w:space="0" w:color="FFFFFF"/>
              <w:bottom w:val="single" w:sz="4" w:space="0" w:color="FFFFFF"/>
              <w:right w:val="single" w:sz="4" w:space="0" w:color="FFFFFF"/>
            </w:tcBorders>
            <w:vAlign w:val="bottom"/>
          </w:tcPr>
          <w:p w14:paraId="49D5AB8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12,9%</w:t>
            </w:r>
          </w:p>
        </w:tc>
      </w:tr>
      <w:tr w:rsidR="004E6FF8" w14:paraId="3E89DDFB" w14:textId="77777777" w:rsidTr="004E6FF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C1637CF"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6B67D43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5.367 €</w:t>
            </w:r>
          </w:p>
        </w:tc>
        <w:tc>
          <w:tcPr>
            <w:tcW w:w="1985" w:type="dxa"/>
            <w:tcBorders>
              <w:top w:val="single" w:sz="4" w:space="0" w:color="FFFFFF"/>
              <w:left w:val="single" w:sz="4" w:space="0" w:color="FFFFFF"/>
              <w:bottom w:val="single" w:sz="4" w:space="0" w:color="FFFFFF"/>
              <w:right w:val="single" w:sz="4" w:space="0" w:color="FFFFFF"/>
            </w:tcBorders>
            <w:vAlign w:val="bottom"/>
          </w:tcPr>
          <w:p w14:paraId="09444D6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1C59DD4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14,9%</w:t>
            </w:r>
          </w:p>
        </w:tc>
      </w:tr>
      <w:tr w:rsidR="004E6FF8" w14:paraId="317F507C" w14:textId="77777777" w:rsidTr="004E6FF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A15B814"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3E43C58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4.868 €</w:t>
            </w:r>
          </w:p>
        </w:tc>
        <w:tc>
          <w:tcPr>
            <w:tcW w:w="1985" w:type="dxa"/>
            <w:tcBorders>
              <w:top w:val="single" w:sz="4" w:space="0" w:color="FFFFFF"/>
              <w:left w:val="single" w:sz="4" w:space="0" w:color="FFFFFF"/>
              <w:bottom w:val="single" w:sz="4" w:space="0" w:color="FFFFFF"/>
              <w:right w:val="single" w:sz="4" w:space="0" w:color="FFFFFF"/>
            </w:tcBorders>
            <w:vAlign w:val="bottom"/>
          </w:tcPr>
          <w:p w14:paraId="48FEE72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75F77639"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7,5%</w:t>
            </w:r>
          </w:p>
        </w:tc>
      </w:tr>
      <w:tr w:rsidR="004E6FF8" w14:paraId="0D20D4BC" w14:textId="77777777" w:rsidTr="004E6FF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C3F6E8C"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2880F85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4.654 €</w:t>
            </w:r>
          </w:p>
        </w:tc>
        <w:tc>
          <w:tcPr>
            <w:tcW w:w="1985" w:type="dxa"/>
            <w:tcBorders>
              <w:top w:val="single" w:sz="4" w:space="0" w:color="FFFFFF"/>
              <w:left w:val="single" w:sz="4" w:space="0" w:color="FFFFFF"/>
              <w:bottom w:val="single" w:sz="4" w:space="0" w:color="FFFFFF"/>
              <w:right w:val="single" w:sz="4" w:space="0" w:color="FFFFFF"/>
            </w:tcBorders>
            <w:vAlign w:val="bottom"/>
          </w:tcPr>
          <w:p w14:paraId="76C397F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48A8C1D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11,7%</w:t>
            </w:r>
          </w:p>
        </w:tc>
      </w:tr>
      <w:tr w:rsidR="004E6FF8" w14:paraId="3D1777B1" w14:textId="77777777" w:rsidTr="004E6FF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F8DE74B"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41EF0E8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4.652 €</w:t>
            </w:r>
          </w:p>
        </w:tc>
        <w:tc>
          <w:tcPr>
            <w:tcW w:w="1985" w:type="dxa"/>
            <w:tcBorders>
              <w:top w:val="single" w:sz="4" w:space="0" w:color="FFFFFF"/>
              <w:left w:val="single" w:sz="4" w:space="0" w:color="FFFFFF"/>
              <w:bottom w:val="single" w:sz="4" w:space="0" w:color="FFFFFF"/>
              <w:right w:val="single" w:sz="4" w:space="0" w:color="FFFFFF"/>
            </w:tcBorders>
            <w:vAlign w:val="bottom"/>
          </w:tcPr>
          <w:p w14:paraId="0B0D023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2,4%</w:t>
            </w:r>
          </w:p>
        </w:tc>
        <w:tc>
          <w:tcPr>
            <w:tcW w:w="1963" w:type="dxa"/>
            <w:tcBorders>
              <w:top w:val="single" w:sz="4" w:space="0" w:color="FFFFFF"/>
              <w:left w:val="single" w:sz="4" w:space="0" w:color="FFFFFF"/>
              <w:bottom w:val="single" w:sz="4" w:space="0" w:color="FFFFFF"/>
              <w:right w:val="single" w:sz="4" w:space="0" w:color="FFFFFF"/>
            </w:tcBorders>
            <w:vAlign w:val="bottom"/>
          </w:tcPr>
          <w:p w14:paraId="0D1A180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10,7%</w:t>
            </w:r>
          </w:p>
        </w:tc>
      </w:tr>
      <w:tr w:rsidR="004E6FF8" w14:paraId="3F00A6B3" w14:textId="77777777" w:rsidTr="004E6FF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85783E9"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606C6DD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4.217 €</w:t>
            </w:r>
          </w:p>
        </w:tc>
        <w:tc>
          <w:tcPr>
            <w:tcW w:w="1985" w:type="dxa"/>
            <w:tcBorders>
              <w:top w:val="single" w:sz="4" w:space="0" w:color="FFFFFF"/>
              <w:left w:val="single" w:sz="4" w:space="0" w:color="FFFFFF"/>
              <w:bottom w:val="single" w:sz="4" w:space="0" w:color="FFFFFF"/>
              <w:right w:val="single" w:sz="4" w:space="0" w:color="FFFFFF"/>
            </w:tcBorders>
            <w:vAlign w:val="bottom"/>
          </w:tcPr>
          <w:p w14:paraId="3ABEB60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6,7%</w:t>
            </w:r>
          </w:p>
        </w:tc>
        <w:tc>
          <w:tcPr>
            <w:tcW w:w="1963" w:type="dxa"/>
            <w:tcBorders>
              <w:top w:val="single" w:sz="4" w:space="0" w:color="FFFFFF"/>
              <w:left w:val="single" w:sz="4" w:space="0" w:color="FFFFFF"/>
              <w:bottom w:val="single" w:sz="4" w:space="0" w:color="FFFFFF"/>
              <w:right w:val="single" w:sz="4" w:space="0" w:color="FFFFFF"/>
            </w:tcBorders>
            <w:vAlign w:val="bottom"/>
          </w:tcPr>
          <w:p w14:paraId="415A447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17,9%</w:t>
            </w:r>
          </w:p>
        </w:tc>
      </w:tr>
      <w:tr w:rsidR="004E6FF8" w14:paraId="2264D9E1" w14:textId="77777777" w:rsidTr="004E6FF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708005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2901BEE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3.991 €</w:t>
            </w:r>
          </w:p>
        </w:tc>
        <w:tc>
          <w:tcPr>
            <w:tcW w:w="1985" w:type="dxa"/>
            <w:tcBorders>
              <w:top w:val="single" w:sz="4" w:space="0" w:color="FFFFFF"/>
              <w:left w:val="single" w:sz="4" w:space="0" w:color="FFFFFF"/>
              <w:bottom w:val="single" w:sz="4" w:space="0" w:color="FFFFFF"/>
              <w:right w:val="single" w:sz="4" w:space="0" w:color="FFFFFF"/>
            </w:tcBorders>
            <w:vAlign w:val="bottom"/>
          </w:tcPr>
          <w:p w14:paraId="43049D3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-1,4%</w:t>
            </w:r>
          </w:p>
        </w:tc>
        <w:tc>
          <w:tcPr>
            <w:tcW w:w="1963" w:type="dxa"/>
            <w:tcBorders>
              <w:top w:val="single" w:sz="4" w:space="0" w:color="FFFFFF"/>
              <w:left w:val="single" w:sz="4" w:space="0" w:color="FFFFFF"/>
              <w:bottom w:val="single" w:sz="4" w:space="0" w:color="FFFFFF"/>
              <w:right w:val="single" w:sz="4" w:space="0" w:color="FFFFFF"/>
            </w:tcBorders>
            <w:vAlign w:val="bottom"/>
          </w:tcPr>
          <w:p w14:paraId="230F70B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16,5%</w:t>
            </w:r>
          </w:p>
        </w:tc>
      </w:tr>
      <w:tr w:rsidR="004E6FF8" w14:paraId="3FAEF1C8" w14:textId="77777777" w:rsidTr="004E6FF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20750B4"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3DAFB333"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3.271 €</w:t>
            </w:r>
          </w:p>
        </w:tc>
        <w:tc>
          <w:tcPr>
            <w:tcW w:w="1985" w:type="dxa"/>
            <w:tcBorders>
              <w:top w:val="single" w:sz="4" w:space="0" w:color="FFFFFF"/>
              <w:left w:val="single" w:sz="4" w:space="0" w:color="FFFFFF"/>
              <w:bottom w:val="single" w:sz="4" w:space="0" w:color="FFFFFF"/>
              <w:right w:val="single" w:sz="4" w:space="0" w:color="FFFFFF"/>
            </w:tcBorders>
            <w:vAlign w:val="bottom"/>
          </w:tcPr>
          <w:p w14:paraId="187A930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-1,9%</w:t>
            </w:r>
          </w:p>
        </w:tc>
        <w:tc>
          <w:tcPr>
            <w:tcW w:w="1963" w:type="dxa"/>
            <w:tcBorders>
              <w:top w:val="single" w:sz="4" w:space="0" w:color="FFFFFF"/>
              <w:left w:val="single" w:sz="4" w:space="0" w:color="FFFFFF"/>
              <w:bottom w:val="single" w:sz="4" w:space="0" w:color="FFFFFF"/>
              <w:right w:val="single" w:sz="4" w:space="0" w:color="FFFFFF"/>
            </w:tcBorders>
            <w:vAlign w:val="bottom"/>
          </w:tcPr>
          <w:p w14:paraId="3166614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16,4%</w:t>
            </w:r>
          </w:p>
        </w:tc>
      </w:tr>
      <w:tr w:rsidR="004E6FF8" w14:paraId="454A1032" w14:textId="77777777" w:rsidTr="004E6FF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57E4B5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491D1F99"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3.224 €</w:t>
            </w:r>
          </w:p>
        </w:tc>
        <w:tc>
          <w:tcPr>
            <w:tcW w:w="1985" w:type="dxa"/>
            <w:tcBorders>
              <w:top w:val="single" w:sz="4" w:space="0" w:color="FFFFFF"/>
              <w:left w:val="single" w:sz="4" w:space="0" w:color="FFFFFF"/>
              <w:bottom w:val="single" w:sz="4" w:space="0" w:color="FFFFFF"/>
              <w:right w:val="single" w:sz="4" w:space="0" w:color="FFFFFF"/>
            </w:tcBorders>
            <w:vAlign w:val="bottom"/>
          </w:tcPr>
          <w:p w14:paraId="7D5205F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4,5%</w:t>
            </w:r>
          </w:p>
        </w:tc>
        <w:tc>
          <w:tcPr>
            <w:tcW w:w="1963" w:type="dxa"/>
            <w:tcBorders>
              <w:top w:val="single" w:sz="4" w:space="0" w:color="FFFFFF"/>
              <w:left w:val="single" w:sz="4" w:space="0" w:color="FFFFFF"/>
              <w:bottom w:val="single" w:sz="4" w:space="0" w:color="FFFFFF"/>
              <w:right w:val="single" w:sz="4" w:space="0" w:color="FFFFFF"/>
            </w:tcBorders>
            <w:vAlign w:val="bottom"/>
          </w:tcPr>
          <w:p w14:paraId="4EBD0A89"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11,1%</w:t>
            </w:r>
          </w:p>
        </w:tc>
      </w:tr>
      <w:tr w:rsidR="004E6FF8" w14:paraId="70ABC4C8" w14:textId="77777777" w:rsidTr="004E6FF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55C339E"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7D350BF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3.082 €</w:t>
            </w:r>
          </w:p>
        </w:tc>
        <w:tc>
          <w:tcPr>
            <w:tcW w:w="1985" w:type="dxa"/>
            <w:tcBorders>
              <w:top w:val="single" w:sz="4" w:space="0" w:color="FFFFFF"/>
              <w:left w:val="single" w:sz="4" w:space="0" w:color="FFFFFF"/>
              <w:bottom w:val="single" w:sz="4" w:space="0" w:color="FFFFFF"/>
              <w:right w:val="single" w:sz="4" w:space="0" w:color="FFFFFF"/>
            </w:tcBorders>
            <w:vAlign w:val="bottom"/>
          </w:tcPr>
          <w:p w14:paraId="7719CFB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2,5%</w:t>
            </w:r>
          </w:p>
        </w:tc>
        <w:tc>
          <w:tcPr>
            <w:tcW w:w="1963" w:type="dxa"/>
            <w:tcBorders>
              <w:top w:val="single" w:sz="4" w:space="0" w:color="FFFFFF"/>
              <w:left w:val="single" w:sz="4" w:space="0" w:color="FFFFFF"/>
              <w:bottom w:val="single" w:sz="4" w:space="0" w:color="FFFFFF"/>
              <w:right w:val="single" w:sz="4" w:space="0" w:color="FFFFFF"/>
            </w:tcBorders>
            <w:vAlign w:val="bottom"/>
          </w:tcPr>
          <w:p w14:paraId="34425B0D"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1,0%</w:t>
            </w:r>
          </w:p>
        </w:tc>
      </w:tr>
      <w:tr w:rsidR="004E6FF8" w14:paraId="3ABD262A" w14:textId="77777777" w:rsidTr="004E6FF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8A91C4E"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5AAF8253"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2.939 €</w:t>
            </w:r>
          </w:p>
        </w:tc>
        <w:tc>
          <w:tcPr>
            <w:tcW w:w="1985" w:type="dxa"/>
            <w:tcBorders>
              <w:top w:val="single" w:sz="4" w:space="0" w:color="FFFFFF"/>
              <w:left w:val="single" w:sz="4" w:space="0" w:color="FFFFFF"/>
              <w:bottom w:val="single" w:sz="4" w:space="0" w:color="FFFFFF"/>
              <w:right w:val="single" w:sz="4" w:space="0" w:color="FFFFFF"/>
            </w:tcBorders>
            <w:vAlign w:val="bottom"/>
          </w:tcPr>
          <w:p w14:paraId="1A278784"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6,7%</w:t>
            </w:r>
          </w:p>
        </w:tc>
        <w:tc>
          <w:tcPr>
            <w:tcW w:w="1963" w:type="dxa"/>
            <w:tcBorders>
              <w:top w:val="single" w:sz="4" w:space="0" w:color="FFFFFF"/>
              <w:left w:val="single" w:sz="4" w:space="0" w:color="FFFFFF"/>
              <w:bottom w:val="single" w:sz="4" w:space="0" w:color="FFFFFF"/>
              <w:right w:val="single" w:sz="4" w:space="0" w:color="FFFFFF"/>
            </w:tcBorders>
            <w:vAlign w:val="bottom"/>
          </w:tcPr>
          <w:p w14:paraId="798692DD"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11,1%</w:t>
            </w:r>
          </w:p>
        </w:tc>
      </w:tr>
      <w:tr w:rsidR="004E6FF8" w14:paraId="25CA22A1" w14:textId="77777777" w:rsidTr="004E6FF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56DF918"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66F9CD68"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2.699 €</w:t>
            </w:r>
          </w:p>
        </w:tc>
        <w:tc>
          <w:tcPr>
            <w:tcW w:w="1985" w:type="dxa"/>
            <w:tcBorders>
              <w:top w:val="single" w:sz="4" w:space="0" w:color="FFFFFF"/>
              <w:left w:val="single" w:sz="4" w:space="0" w:color="FFFFFF"/>
              <w:bottom w:val="single" w:sz="4" w:space="0" w:color="FFFFFF"/>
              <w:right w:val="single" w:sz="4" w:space="0" w:color="FFFFFF"/>
            </w:tcBorders>
            <w:vAlign w:val="bottom"/>
          </w:tcPr>
          <w:p w14:paraId="1849F7C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5,0%</w:t>
            </w:r>
          </w:p>
        </w:tc>
        <w:tc>
          <w:tcPr>
            <w:tcW w:w="1963" w:type="dxa"/>
            <w:tcBorders>
              <w:top w:val="single" w:sz="4" w:space="0" w:color="FFFFFF"/>
              <w:left w:val="single" w:sz="4" w:space="0" w:color="FFFFFF"/>
              <w:bottom w:val="single" w:sz="4" w:space="0" w:color="FFFFFF"/>
              <w:right w:val="single" w:sz="4" w:space="0" w:color="FFFFFF"/>
            </w:tcBorders>
            <w:vAlign w:val="bottom"/>
          </w:tcPr>
          <w:p w14:paraId="68B2934F"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4,3%</w:t>
            </w:r>
          </w:p>
        </w:tc>
      </w:tr>
      <w:tr w:rsidR="004E6FF8" w14:paraId="27A7C5EB" w14:textId="77777777" w:rsidTr="004E6FF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69F47AA"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378D220B"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2.667 €</w:t>
            </w:r>
          </w:p>
        </w:tc>
        <w:tc>
          <w:tcPr>
            <w:tcW w:w="1985" w:type="dxa"/>
            <w:tcBorders>
              <w:top w:val="single" w:sz="4" w:space="0" w:color="FFFFFF"/>
              <w:left w:val="single" w:sz="4" w:space="0" w:color="FFFFFF"/>
              <w:bottom w:val="single" w:sz="4" w:space="0" w:color="FFFFFF"/>
              <w:right w:val="single" w:sz="4" w:space="0" w:color="FFFFFF"/>
            </w:tcBorders>
            <w:vAlign w:val="bottom"/>
          </w:tcPr>
          <w:p w14:paraId="3C5FDF4E"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w:t>
            </w:r>
          </w:p>
        </w:tc>
        <w:tc>
          <w:tcPr>
            <w:tcW w:w="1963" w:type="dxa"/>
            <w:tcBorders>
              <w:top w:val="single" w:sz="4" w:space="0" w:color="FFFFFF"/>
              <w:left w:val="single" w:sz="4" w:space="0" w:color="FFFFFF"/>
              <w:bottom w:val="single" w:sz="4" w:space="0" w:color="FFFFFF"/>
              <w:right w:val="single" w:sz="4" w:space="0" w:color="FFFFFF"/>
            </w:tcBorders>
            <w:vAlign w:val="bottom"/>
          </w:tcPr>
          <w:p w14:paraId="45068EF9"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-1,8%</w:t>
            </w:r>
          </w:p>
        </w:tc>
      </w:tr>
      <w:tr w:rsidR="004E6FF8" w14:paraId="7A7E6558" w14:textId="77777777" w:rsidTr="004E6FF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A608B94"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14D7AA59"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2.496 €</w:t>
            </w:r>
          </w:p>
        </w:tc>
        <w:tc>
          <w:tcPr>
            <w:tcW w:w="1985" w:type="dxa"/>
            <w:tcBorders>
              <w:top w:val="single" w:sz="4" w:space="0" w:color="FFFFFF"/>
              <w:left w:val="single" w:sz="4" w:space="0" w:color="FFFFFF"/>
              <w:bottom w:val="single" w:sz="4" w:space="0" w:color="FFFFFF"/>
              <w:right w:val="single" w:sz="4" w:space="0" w:color="FFFFFF"/>
            </w:tcBorders>
            <w:vAlign w:val="bottom"/>
          </w:tcPr>
          <w:p w14:paraId="30AEDC4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963" w:type="dxa"/>
            <w:tcBorders>
              <w:top w:val="single" w:sz="4" w:space="0" w:color="FFFFFF"/>
              <w:left w:val="single" w:sz="4" w:space="0" w:color="FFFFFF"/>
              <w:bottom w:val="single" w:sz="4" w:space="0" w:color="FFFFFF"/>
              <w:right w:val="single" w:sz="4" w:space="0" w:color="FFFFFF"/>
            </w:tcBorders>
            <w:vAlign w:val="bottom"/>
          </w:tcPr>
          <w:p w14:paraId="3F45F96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-6,9%</w:t>
            </w:r>
          </w:p>
        </w:tc>
      </w:tr>
      <w:tr w:rsidR="004E6FF8" w14:paraId="59246178" w14:textId="77777777" w:rsidTr="004E6FF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E02DB40"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2EA210E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2.329 €</w:t>
            </w:r>
          </w:p>
        </w:tc>
        <w:tc>
          <w:tcPr>
            <w:tcW w:w="1985" w:type="dxa"/>
            <w:tcBorders>
              <w:top w:val="single" w:sz="4" w:space="0" w:color="FFFFFF"/>
              <w:left w:val="single" w:sz="4" w:space="0" w:color="FFFFFF"/>
              <w:bottom w:val="single" w:sz="4" w:space="0" w:color="FFFFFF"/>
              <w:right w:val="single" w:sz="4" w:space="0" w:color="FFFFFF"/>
            </w:tcBorders>
            <w:vAlign w:val="bottom"/>
          </w:tcPr>
          <w:p w14:paraId="1A6E2710"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0EDD417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-4,1%</w:t>
            </w:r>
          </w:p>
        </w:tc>
      </w:tr>
      <w:tr w:rsidR="004E6FF8" w14:paraId="14484D9B" w14:textId="77777777" w:rsidTr="004E6FF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63BC1521"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41837957"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1.866 €</w:t>
            </w:r>
          </w:p>
        </w:tc>
        <w:tc>
          <w:tcPr>
            <w:tcW w:w="1985" w:type="dxa"/>
            <w:tcBorders>
              <w:top w:val="single" w:sz="4" w:space="0" w:color="FFFFFF"/>
              <w:left w:val="single" w:sz="4" w:space="0" w:color="FFFFFF"/>
              <w:bottom w:val="single" w:sz="4" w:space="0" w:color="FFFFFF"/>
              <w:right w:val="single" w:sz="4" w:space="0" w:color="FFFFFF"/>
            </w:tcBorders>
            <w:vAlign w:val="bottom"/>
          </w:tcPr>
          <w:p w14:paraId="6BD2DD16"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w:t>
            </w:r>
          </w:p>
        </w:tc>
        <w:tc>
          <w:tcPr>
            <w:tcW w:w="1963" w:type="dxa"/>
            <w:tcBorders>
              <w:top w:val="single" w:sz="4" w:space="0" w:color="FFFFFF"/>
              <w:left w:val="single" w:sz="4" w:space="0" w:color="FFFFFF"/>
              <w:bottom w:val="single" w:sz="4" w:space="0" w:color="FFFFFF"/>
              <w:right w:val="single" w:sz="4" w:space="0" w:color="FFFFFF"/>
            </w:tcBorders>
            <w:vAlign w:val="bottom"/>
          </w:tcPr>
          <w:p w14:paraId="1378971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-8,9%</w:t>
            </w:r>
          </w:p>
        </w:tc>
      </w:tr>
    </w:tbl>
    <w:p w14:paraId="34D5F266" w14:textId="77777777" w:rsidR="004E6FF8"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Barcelona</w:t>
      </w:r>
    </w:p>
    <w:p w14:paraId="0EC10AA6" w14:textId="0EF41D7A" w:rsidR="004E6FF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los diez distritos con variación interanual analizados por </w:t>
      </w:r>
      <w:hyperlink r:id="rId17">
        <w:r>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de la vivienda corresponden a los distritos de Sant Andreu</w:t>
      </w:r>
      <w:r>
        <w:rPr>
          <w:rFonts w:ascii="Open Sans" w:eastAsia="Open Sans" w:hAnsi="Open Sans" w:cs="Open Sans"/>
          <w:color w:val="000000"/>
        </w:rPr>
        <w:tab/>
      </w:r>
      <w:r w:rsidR="00375D6C">
        <w:rPr>
          <w:rFonts w:ascii="Open Sans" w:eastAsia="Open Sans" w:hAnsi="Open Sans" w:cs="Open Sans"/>
          <w:color w:val="000000"/>
        </w:rPr>
        <w:t>(</w:t>
      </w:r>
      <w:r>
        <w:rPr>
          <w:rFonts w:ascii="Open Sans" w:eastAsia="Open Sans" w:hAnsi="Open Sans" w:cs="Open Sans"/>
          <w:color w:val="000000"/>
        </w:rPr>
        <w:t>13,9%), Horta – Guinardó (11,6%), Eixample (8,0%), Sant Martí (7,8%), Nou Barris (7,8%), Sants - Montjuïc (6,8%), Ciutat Vella (3,2%), Gràcia (1,2%), Sarrià - Sant Gervasi (1,2%) y Les Corts (0,6%).</w:t>
      </w:r>
    </w:p>
    <w:p w14:paraId="3F7AFDF3" w14:textId="38BECBE0" w:rsidR="00DC1040"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lastRenderedPageBreak/>
        <w:t>En cuanto al precio por metro cuadrado en julio, vemos que los cuatro distritos más caros son Sarrià - Sant Gervasi con 6.109 euros/m</w:t>
      </w:r>
      <w:r>
        <w:rPr>
          <w:rFonts w:ascii="Open Sans" w:eastAsia="Open Sans" w:hAnsi="Open Sans" w:cs="Open Sans"/>
          <w:color w:val="000000"/>
          <w:vertAlign w:val="superscript"/>
        </w:rPr>
        <w:t>2</w:t>
      </w:r>
      <w:r>
        <w:rPr>
          <w:rFonts w:ascii="Open Sans" w:eastAsia="Open Sans" w:hAnsi="Open Sans" w:cs="Open Sans"/>
          <w:color w:val="000000"/>
        </w:rPr>
        <w:t>, Eixample con 6.063 euros/m</w:t>
      </w:r>
      <w:r>
        <w:rPr>
          <w:rFonts w:ascii="Open Sans" w:eastAsia="Open Sans" w:hAnsi="Open Sans" w:cs="Open Sans"/>
          <w:color w:val="000000"/>
          <w:vertAlign w:val="superscript"/>
        </w:rPr>
        <w:t>2</w:t>
      </w:r>
      <w:r>
        <w:rPr>
          <w:rFonts w:ascii="Open Sans" w:eastAsia="Open Sans" w:hAnsi="Open Sans" w:cs="Open Sans"/>
          <w:color w:val="000000"/>
        </w:rPr>
        <w:t>, Les Corts con 5.302 euros/m</w:t>
      </w:r>
      <w:r>
        <w:rPr>
          <w:rFonts w:ascii="Open Sans" w:eastAsia="Open Sans" w:hAnsi="Open Sans" w:cs="Open Sans"/>
          <w:color w:val="000000"/>
          <w:vertAlign w:val="superscript"/>
        </w:rPr>
        <w:t>2</w:t>
      </w:r>
      <w:r>
        <w:rPr>
          <w:rFonts w:ascii="Open Sans" w:eastAsia="Open Sans" w:hAnsi="Open Sans" w:cs="Open Sans"/>
          <w:color w:val="000000"/>
        </w:rPr>
        <w:t xml:space="preserve"> y Gràcia con 5.039 euros/m</w:t>
      </w:r>
      <w:r>
        <w:rPr>
          <w:rFonts w:ascii="Open Sans" w:eastAsia="Open Sans" w:hAnsi="Open Sans" w:cs="Open Sans"/>
          <w:color w:val="000000"/>
          <w:vertAlign w:val="superscript"/>
        </w:rPr>
        <w:t>2</w:t>
      </w:r>
      <w:r>
        <w:rPr>
          <w:rFonts w:ascii="Open Sans" w:eastAsia="Open Sans" w:hAnsi="Open Sans" w:cs="Open Sans"/>
          <w:color w:val="000000"/>
        </w:rPr>
        <w:t>.</w:t>
      </w:r>
    </w:p>
    <w:p w14:paraId="704E4F05" w14:textId="081D4E68" w:rsidR="00DC1040" w:rsidRDefault="00DC1040" w:rsidP="00DC104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Barcelona de mayor a menor incremento interanual</w:t>
      </w: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94"/>
        <w:gridCol w:w="2409"/>
        <w:gridCol w:w="1985"/>
        <w:gridCol w:w="1963"/>
      </w:tblGrid>
      <w:tr w:rsidR="004E6FF8" w14:paraId="0B7F799A" w14:textId="77777777" w:rsidTr="004E6FF8">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FFFFFF"/>
            </w:tcBorders>
            <w:vAlign w:val="center"/>
          </w:tcPr>
          <w:p w14:paraId="1866BB96"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409" w:type="dxa"/>
            <w:tcBorders>
              <w:bottom w:val="single" w:sz="4" w:space="0" w:color="FFFFFF"/>
            </w:tcBorders>
            <w:vAlign w:val="center"/>
          </w:tcPr>
          <w:p w14:paraId="383739E4"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39B4B5D9"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985" w:type="dxa"/>
            <w:tcBorders>
              <w:bottom w:val="single" w:sz="4" w:space="0" w:color="FFFFFF"/>
            </w:tcBorders>
            <w:vAlign w:val="center"/>
          </w:tcPr>
          <w:p w14:paraId="64B10D63"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775B7AB5" w14:textId="77777777" w:rsidR="004E6FF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4E6FF8" w14:paraId="22EDE0A6" w14:textId="77777777" w:rsidTr="004E6FF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3468C88F"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409" w:type="dxa"/>
            <w:tcBorders>
              <w:top w:val="single" w:sz="4" w:space="0" w:color="FFFFFF"/>
              <w:left w:val="single" w:sz="4" w:space="0" w:color="FFFFFF"/>
              <w:bottom w:val="single" w:sz="4" w:space="0" w:color="FFFFFF"/>
              <w:right w:val="single" w:sz="4" w:space="0" w:color="FFFFFF"/>
            </w:tcBorders>
            <w:vAlign w:val="bottom"/>
          </w:tcPr>
          <w:p w14:paraId="32E2F7F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3.678 €</w:t>
            </w:r>
          </w:p>
        </w:tc>
        <w:tc>
          <w:tcPr>
            <w:tcW w:w="1985" w:type="dxa"/>
            <w:tcBorders>
              <w:top w:val="single" w:sz="4" w:space="0" w:color="FFFFFF"/>
              <w:left w:val="single" w:sz="4" w:space="0" w:color="FFFFFF"/>
              <w:bottom w:val="single" w:sz="4" w:space="0" w:color="FFFFFF"/>
              <w:right w:val="single" w:sz="4" w:space="0" w:color="FFFFFF"/>
            </w:tcBorders>
            <w:vAlign w:val="bottom"/>
          </w:tcPr>
          <w:p w14:paraId="484F3BF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3,5%</w:t>
            </w:r>
          </w:p>
        </w:tc>
        <w:tc>
          <w:tcPr>
            <w:tcW w:w="1963" w:type="dxa"/>
            <w:tcBorders>
              <w:top w:val="single" w:sz="4" w:space="0" w:color="FFFFFF"/>
              <w:left w:val="single" w:sz="4" w:space="0" w:color="FFFFFF"/>
              <w:bottom w:val="single" w:sz="4" w:space="0" w:color="FFFFFF"/>
              <w:right w:val="single" w:sz="4" w:space="0" w:color="FFFFFF"/>
            </w:tcBorders>
            <w:vAlign w:val="bottom"/>
          </w:tcPr>
          <w:p w14:paraId="22BC0A8F"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13,9%</w:t>
            </w:r>
          </w:p>
        </w:tc>
      </w:tr>
      <w:tr w:rsidR="004E6FF8" w14:paraId="1BDDDA81" w14:textId="77777777" w:rsidTr="004E6FF8">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1AD00BD6"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409" w:type="dxa"/>
            <w:tcBorders>
              <w:top w:val="single" w:sz="4" w:space="0" w:color="FFFFFF"/>
              <w:left w:val="single" w:sz="4" w:space="0" w:color="FFFFFF"/>
              <w:bottom w:val="single" w:sz="4" w:space="0" w:color="FFFFFF"/>
              <w:right w:val="single" w:sz="4" w:space="0" w:color="FFFFFF"/>
            </w:tcBorders>
            <w:vAlign w:val="bottom"/>
          </w:tcPr>
          <w:p w14:paraId="3A62C7D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3.802 €</w:t>
            </w:r>
          </w:p>
        </w:tc>
        <w:tc>
          <w:tcPr>
            <w:tcW w:w="1985" w:type="dxa"/>
            <w:tcBorders>
              <w:top w:val="single" w:sz="4" w:space="0" w:color="FFFFFF"/>
              <w:left w:val="single" w:sz="4" w:space="0" w:color="FFFFFF"/>
              <w:bottom w:val="single" w:sz="4" w:space="0" w:color="FFFFFF"/>
              <w:right w:val="single" w:sz="4" w:space="0" w:color="FFFFFF"/>
            </w:tcBorders>
            <w:vAlign w:val="bottom"/>
          </w:tcPr>
          <w:p w14:paraId="7A9863CE"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w:t>
            </w:r>
          </w:p>
        </w:tc>
        <w:tc>
          <w:tcPr>
            <w:tcW w:w="1963" w:type="dxa"/>
            <w:tcBorders>
              <w:top w:val="single" w:sz="4" w:space="0" w:color="FFFFFF"/>
              <w:left w:val="single" w:sz="4" w:space="0" w:color="FFFFFF"/>
              <w:bottom w:val="single" w:sz="4" w:space="0" w:color="FFFFFF"/>
              <w:right w:val="single" w:sz="4" w:space="0" w:color="FFFFFF"/>
            </w:tcBorders>
            <w:vAlign w:val="bottom"/>
          </w:tcPr>
          <w:p w14:paraId="4339CF9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11,6%</w:t>
            </w:r>
          </w:p>
        </w:tc>
      </w:tr>
      <w:tr w:rsidR="004E6FF8" w14:paraId="5500C4D8" w14:textId="77777777" w:rsidTr="004E6FF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29144A00"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409" w:type="dxa"/>
            <w:tcBorders>
              <w:top w:val="single" w:sz="4" w:space="0" w:color="FFFFFF"/>
              <w:left w:val="single" w:sz="4" w:space="0" w:color="FFFFFF"/>
              <w:bottom w:val="single" w:sz="4" w:space="0" w:color="FFFFFF"/>
              <w:right w:val="single" w:sz="4" w:space="0" w:color="FFFFFF"/>
            </w:tcBorders>
            <w:vAlign w:val="bottom"/>
          </w:tcPr>
          <w:p w14:paraId="0A67B240"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6.063 €</w:t>
            </w:r>
          </w:p>
        </w:tc>
        <w:tc>
          <w:tcPr>
            <w:tcW w:w="1985" w:type="dxa"/>
            <w:tcBorders>
              <w:top w:val="single" w:sz="4" w:space="0" w:color="FFFFFF"/>
              <w:left w:val="single" w:sz="4" w:space="0" w:color="FFFFFF"/>
              <w:bottom w:val="single" w:sz="4" w:space="0" w:color="FFFFFF"/>
              <w:right w:val="single" w:sz="4" w:space="0" w:color="FFFFFF"/>
            </w:tcBorders>
            <w:vAlign w:val="bottom"/>
          </w:tcPr>
          <w:p w14:paraId="472E095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4C28D1AD"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8,0%</w:t>
            </w:r>
          </w:p>
        </w:tc>
      </w:tr>
      <w:tr w:rsidR="004E6FF8" w14:paraId="28116885" w14:textId="77777777" w:rsidTr="004E6FF8">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198C7AFF"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409" w:type="dxa"/>
            <w:tcBorders>
              <w:top w:val="single" w:sz="4" w:space="0" w:color="FFFFFF"/>
              <w:left w:val="single" w:sz="4" w:space="0" w:color="FFFFFF"/>
              <w:bottom w:val="single" w:sz="4" w:space="0" w:color="FFFFFF"/>
              <w:right w:val="single" w:sz="4" w:space="0" w:color="FFFFFF"/>
            </w:tcBorders>
            <w:vAlign w:val="bottom"/>
          </w:tcPr>
          <w:p w14:paraId="3D574B06"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4.431 €</w:t>
            </w:r>
          </w:p>
        </w:tc>
        <w:tc>
          <w:tcPr>
            <w:tcW w:w="1985" w:type="dxa"/>
            <w:tcBorders>
              <w:top w:val="single" w:sz="4" w:space="0" w:color="FFFFFF"/>
              <w:left w:val="single" w:sz="4" w:space="0" w:color="FFFFFF"/>
              <w:bottom w:val="single" w:sz="4" w:space="0" w:color="FFFFFF"/>
              <w:right w:val="single" w:sz="4" w:space="0" w:color="FFFFFF"/>
            </w:tcBorders>
            <w:vAlign w:val="bottom"/>
          </w:tcPr>
          <w:p w14:paraId="58E5FC78"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2,2%</w:t>
            </w:r>
          </w:p>
        </w:tc>
        <w:tc>
          <w:tcPr>
            <w:tcW w:w="1963" w:type="dxa"/>
            <w:tcBorders>
              <w:top w:val="single" w:sz="4" w:space="0" w:color="FFFFFF"/>
              <w:left w:val="single" w:sz="4" w:space="0" w:color="FFFFFF"/>
              <w:bottom w:val="single" w:sz="4" w:space="0" w:color="FFFFFF"/>
              <w:right w:val="single" w:sz="4" w:space="0" w:color="FFFFFF"/>
            </w:tcBorders>
            <w:vAlign w:val="bottom"/>
          </w:tcPr>
          <w:p w14:paraId="0A1378E4"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7,8%</w:t>
            </w:r>
          </w:p>
        </w:tc>
      </w:tr>
      <w:tr w:rsidR="004E6FF8" w14:paraId="75EBAC6D" w14:textId="77777777" w:rsidTr="004E6FF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3EE377CE"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Nou Barris</w:t>
            </w:r>
          </w:p>
        </w:tc>
        <w:tc>
          <w:tcPr>
            <w:tcW w:w="2409" w:type="dxa"/>
            <w:tcBorders>
              <w:top w:val="single" w:sz="4" w:space="0" w:color="FFFFFF"/>
              <w:left w:val="single" w:sz="4" w:space="0" w:color="FFFFFF"/>
              <w:bottom w:val="single" w:sz="4" w:space="0" w:color="FFFFFF"/>
              <w:right w:val="single" w:sz="4" w:space="0" w:color="FFFFFF"/>
            </w:tcBorders>
            <w:vAlign w:val="bottom"/>
          </w:tcPr>
          <w:p w14:paraId="3777EA3C"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2.841 €</w:t>
            </w:r>
          </w:p>
        </w:tc>
        <w:tc>
          <w:tcPr>
            <w:tcW w:w="1985" w:type="dxa"/>
            <w:tcBorders>
              <w:top w:val="single" w:sz="4" w:space="0" w:color="FFFFFF"/>
              <w:left w:val="single" w:sz="4" w:space="0" w:color="FFFFFF"/>
              <w:bottom w:val="single" w:sz="4" w:space="0" w:color="FFFFFF"/>
              <w:right w:val="single" w:sz="4" w:space="0" w:color="FFFFFF"/>
            </w:tcBorders>
            <w:vAlign w:val="bottom"/>
          </w:tcPr>
          <w:p w14:paraId="0E61D5D1"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3,0%</w:t>
            </w:r>
          </w:p>
        </w:tc>
        <w:tc>
          <w:tcPr>
            <w:tcW w:w="1963" w:type="dxa"/>
            <w:tcBorders>
              <w:top w:val="single" w:sz="4" w:space="0" w:color="FFFFFF"/>
              <w:left w:val="single" w:sz="4" w:space="0" w:color="FFFFFF"/>
              <w:bottom w:val="single" w:sz="4" w:space="0" w:color="FFFFFF"/>
              <w:right w:val="single" w:sz="4" w:space="0" w:color="FFFFFF"/>
            </w:tcBorders>
            <w:vAlign w:val="bottom"/>
          </w:tcPr>
          <w:p w14:paraId="5A547A7B"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7,8%</w:t>
            </w:r>
          </w:p>
        </w:tc>
      </w:tr>
      <w:tr w:rsidR="004E6FF8" w14:paraId="24139BCB" w14:textId="77777777" w:rsidTr="004E6FF8">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6D42D971"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409" w:type="dxa"/>
            <w:tcBorders>
              <w:top w:val="single" w:sz="4" w:space="0" w:color="FFFFFF"/>
              <w:left w:val="single" w:sz="4" w:space="0" w:color="FFFFFF"/>
              <w:bottom w:val="single" w:sz="4" w:space="0" w:color="FFFFFF"/>
              <w:right w:val="single" w:sz="4" w:space="0" w:color="FFFFFF"/>
            </w:tcBorders>
            <w:vAlign w:val="bottom"/>
          </w:tcPr>
          <w:p w14:paraId="389CAA0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3.910 €</w:t>
            </w:r>
          </w:p>
        </w:tc>
        <w:tc>
          <w:tcPr>
            <w:tcW w:w="1985" w:type="dxa"/>
            <w:tcBorders>
              <w:top w:val="single" w:sz="4" w:space="0" w:color="FFFFFF"/>
              <w:left w:val="single" w:sz="4" w:space="0" w:color="FFFFFF"/>
              <w:bottom w:val="single" w:sz="4" w:space="0" w:color="FFFFFF"/>
              <w:right w:val="single" w:sz="4" w:space="0" w:color="FFFFFF"/>
            </w:tcBorders>
            <w:vAlign w:val="bottom"/>
          </w:tcPr>
          <w:p w14:paraId="6D33B09F"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c>
          <w:tcPr>
            <w:tcW w:w="1963" w:type="dxa"/>
            <w:tcBorders>
              <w:top w:val="single" w:sz="4" w:space="0" w:color="FFFFFF"/>
              <w:left w:val="single" w:sz="4" w:space="0" w:color="FFFFFF"/>
              <w:bottom w:val="single" w:sz="4" w:space="0" w:color="FFFFFF"/>
              <w:right w:val="single" w:sz="4" w:space="0" w:color="FFFFFF"/>
            </w:tcBorders>
            <w:vAlign w:val="bottom"/>
          </w:tcPr>
          <w:p w14:paraId="730BBB0B"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6,8%</w:t>
            </w:r>
          </w:p>
        </w:tc>
      </w:tr>
      <w:tr w:rsidR="004E6FF8" w14:paraId="6A80605A" w14:textId="77777777" w:rsidTr="004E6FF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1F4C8BE5"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409" w:type="dxa"/>
            <w:tcBorders>
              <w:top w:val="single" w:sz="4" w:space="0" w:color="FFFFFF"/>
              <w:left w:val="single" w:sz="4" w:space="0" w:color="FFFFFF"/>
              <w:bottom w:val="single" w:sz="4" w:space="0" w:color="FFFFFF"/>
              <w:right w:val="single" w:sz="4" w:space="0" w:color="FFFFFF"/>
            </w:tcBorders>
            <w:vAlign w:val="bottom"/>
          </w:tcPr>
          <w:p w14:paraId="569F9F2A"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4.806 €</w:t>
            </w:r>
          </w:p>
        </w:tc>
        <w:tc>
          <w:tcPr>
            <w:tcW w:w="1985" w:type="dxa"/>
            <w:tcBorders>
              <w:top w:val="single" w:sz="4" w:space="0" w:color="FFFFFF"/>
              <w:left w:val="single" w:sz="4" w:space="0" w:color="FFFFFF"/>
              <w:bottom w:val="single" w:sz="4" w:space="0" w:color="FFFFFF"/>
              <w:right w:val="single" w:sz="4" w:space="0" w:color="FFFFFF"/>
            </w:tcBorders>
            <w:vAlign w:val="bottom"/>
          </w:tcPr>
          <w:p w14:paraId="44A9F955"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47CEFB02"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3,2%</w:t>
            </w:r>
          </w:p>
        </w:tc>
      </w:tr>
      <w:tr w:rsidR="004E6FF8" w14:paraId="68154AC5" w14:textId="77777777" w:rsidTr="004E6FF8">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59FD5AB9"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409" w:type="dxa"/>
            <w:tcBorders>
              <w:top w:val="single" w:sz="4" w:space="0" w:color="FFFFFF"/>
              <w:left w:val="single" w:sz="4" w:space="0" w:color="FFFFFF"/>
              <w:bottom w:val="single" w:sz="4" w:space="0" w:color="FFFFFF"/>
              <w:right w:val="single" w:sz="4" w:space="0" w:color="FFFFFF"/>
            </w:tcBorders>
            <w:vAlign w:val="bottom"/>
          </w:tcPr>
          <w:p w14:paraId="678E58F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5.039 €</w:t>
            </w:r>
          </w:p>
        </w:tc>
        <w:tc>
          <w:tcPr>
            <w:tcW w:w="1985" w:type="dxa"/>
            <w:tcBorders>
              <w:top w:val="single" w:sz="4" w:space="0" w:color="FFFFFF"/>
              <w:left w:val="single" w:sz="4" w:space="0" w:color="FFFFFF"/>
              <w:bottom w:val="single" w:sz="4" w:space="0" w:color="FFFFFF"/>
              <w:right w:val="single" w:sz="4" w:space="0" w:color="FFFFFF"/>
            </w:tcBorders>
            <w:vAlign w:val="bottom"/>
          </w:tcPr>
          <w:p w14:paraId="5AF84CA1"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w:t>
            </w:r>
          </w:p>
        </w:tc>
        <w:tc>
          <w:tcPr>
            <w:tcW w:w="1963" w:type="dxa"/>
            <w:tcBorders>
              <w:top w:val="single" w:sz="4" w:space="0" w:color="FFFFFF"/>
              <w:left w:val="single" w:sz="4" w:space="0" w:color="FFFFFF"/>
              <w:bottom w:val="single" w:sz="4" w:space="0" w:color="FFFFFF"/>
              <w:right w:val="single" w:sz="4" w:space="0" w:color="FFFFFF"/>
            </w:tcBorders>
            <w:vAlign w:val="bottom"/>
          </w:tcPr>
          <w:p w14:paraId="02A0A637"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1,2%</w:t>
            </w:r>
          </w:p>
        </w:tc>
      </w:tr>
      <w:tr w:rsidR="004E6FF8" w14:paraId="5303052F" w14:textId="77777777" w:rsidTr="004E6FF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13E249A7"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409" w:type="dxa"/>
            <w:tcBorders>
              <w:top w:val="single" w:sz="4" w:space="0" w:color="FFFFFF"/>
              <w:left w:val="single" w:sz="4" w:space="0" w:color="FFFFFF"/>
              <w:bottom w:val="single" w:sz="4" w:space="0" w:color="FFFFFF"/>
              <w:right w:val="single" w:sz="4" w:space="0" w:color="FFFFFF"/>
            </w:tcBorders>
            <w:vAlign w:val="bottom"/>
          </w:tcPr>
          <w:p w14:paraId="6B304D3A"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6.109 €</w:t>
            </w:r>
          </w:p>
        </w:tc>
        <w:tc>
          <w:tcPr>
            <w:tcW w:w="1985" w:type="dxa"/>
            <w:tcBorders>
              <w:top w:val="single" w:sz="4" w:space="0" w:color="FFFFFF"/>
              <w:left w:val="single" w:sz="4" w:space="0" w:color="FFFFFF"/>
              <w:bottom w:val="single" w:sz="4" w:space="0" w:color="FFFFFF"/>
              <w:right w:val="single" w:sz="4" w:space="0" w:color="FFFFFF"/>
            </w:tcBorders>
            <w:vAlign w:val="bottom"/>
          </w:tcPr>
          <w:p w14:paraId="370FA7CD"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6EA53584" w14:textId="77777777" w:rsidR="004E6FF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1,2%</w:t>
            </w:r>
          </w:p>
        </w:tc>
      </w:tr>
      <w:tr w:rsidR="004E6FF8" w14:paraId="632AA3BB" w14:textId="77777777" w:rsidTr="004E6FF8">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right w:val="single" w:sz="4" w:space="0" w:color="FFFFFF"/>
            </w:tcBorders>
            <w:vAlign w:val="bottom"/>
          </w:tcPr>
          <w:p w14:paraId="35EABC35" w14:textId="77777777" w:rsidR="004E6FF8"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409" w:type="dxa"/>
            <w:tcBorders>
              <w:top w:val="single" w:sz="4" w:space="0" w:color="FFFFFF"/>
              <w:left w:val="single" w:sz="4" w:space="0" w:color="FFFFFF"/>
              <w:bottom w:val="single" w:sz="4" w:space="0" w:color="FFFFFF"/>
              <w:right w:val="single" w:sz="4" w:space="0" w:color="FFFFFF"/>
            </w:tcBorders>
            <w:vAlign w:val="bottom"/>
          </w:tcPr>
          <w:p w14:paraId="094318D2"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5.302 €</w:t>
            </w:r>
          </w:p>
        </w:tc>
        <w:tc>
          <w:tcPr>
            <w:tcW w:w="1985" w:type="dxa"/>
            <w:tcBorders>
              <w:top w:val="single" w:sz="4" w:space="0" w:color="FFFFFF"/>
              <w:left w:val="single" w:sz="4" w:space="0" w:color="FFFFFF"/>
              <w:bottom w:val="single" w:sz="4" w:space="0" w:color="FFFFFF"/>
              <w:right w:val="single" w:sz="4" w:space="0" w:color="FFFFFF"/>
            </w:tcBorders>
            <w:vAlign w:val="bottom"/>
          </w:tcPr>
          <w:p w14:paraId="6E1BE26A"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3EC9EA34" w14:textId="77777777" w:rsidR="004E6FF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0,6%</w:t>
            </w:r>
          </w:p>
        </w:tc>
      </w:tr>
    </w:tbl>
    <w:p w14:paraId="75D82AC7" w14:textId="77777777" w:rsidR="004E6FF8" w:rsidRDefault="004E6FF8">
      <w:pPr>
        <w:spacing w:line="276" w:lineRule="auto"/>
        <w:jc w:val="right"/>
        <w:rPr>
          <w:rFonts w:ascii="Open Sans Light" w:eastAsia="Open Sans Light" w:hAnsi="Open Sans Light" w:cs="Open Sans Light"/>
          <w:b/>
          <w:color w:val="303AB2"/>
        </w:rPr>
      </w:pPr>
    </w:p>
    <w:p w14:paraId="39C31CB8" w14:textId="77777777" w:rsidR="00EA2393" w:rsidRDefault="00EA2393">
      <w:pPr>
        <w:spacing w:line="276" w:lineRule="auto"/>
        <w:jc w:val="right"/>
        <w:rPr>
          <w:rFonts w:ascii="Open Sans Light" w:eastAsia="Open Sans Light" w:hAnsi="Open Sans Light" w:cs="Open Sans Light"/>
          <w:b/>
          <w:color w:val="303AB2"/>
        </w:rPr>
      </w:pPr>
    </w:p>
    <w:p w14:paraId="00EDF913" w14:textId="0AA01144" w:rsidR="004E6FF8"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4790D38" w14:textId="77777777" w:rsidR="004E6FF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8">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9">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2" w:name="_heading=h.2s8eyo1" w:colFirst="0" w:colLast="0"/>
    <w:bookmarkEnd w:id="2"/>
    <w:p w14:paraId="72FCE37A" w14:textId="77777777" w:rsidR="004E6FF8"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20">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6AAFA538" w14:textId="77777777" w:rsidR="004E6FF8" w:rsidRDefault="00000000">
      <w:pPr>
        <w:shd w:val="clear" w:color="auto" w:fill="FFFFFF"/>
        <w:spacing w:before="280" w:after="280" w:line="276" w:lineRule="auto"/>
        <w:jc w:val="both"/>
        <w:rPr>
          <w:rFonts w:ascii="Open Sans" w:eastAsia="Open Sans" w:hAnsi="Open Sans" w:cs="Open Sans"/>
          <w:sz w:val="22"/>
          <w:szCs w:val="22"/>
        </w:rPr>
      </w:pPr>
      <w:hyperlink r:id="rId21">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6F6256BE" w14:textId="77777777" w:rsidR="004E6FF8" w:rsidRDefault="004E6FF8">
      <w:pPr>
        <w:spacing w:line="276" w:lineRule="auto"/>
        <w:jc w:val="right"/>
        <w:rPr>
          <w:rFonts w:ascii="Open Sans Light" w:eastAsia="Open Sans Light" w:hAnsi="Open Sans Light" w:cs="Open Sans Light"/>
          <w:b/>
          <w:color w:val="303AB2"/>
        </w:rPr>
      </w:pPr>
    </w:p>
    <w:p w14:paraId="2AA6AB77" w14:textId="77777777" w:rsidR="004E6FF8"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570CB232" w14:textId="77777777" w:rsidR="004E6FF8"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22">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4">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5">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6">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7">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1D1D0A53" w14:textId="77777777" w:rsidR="004E6FF8"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lastRenderedPageBreak/>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7E21C3AD" w14:textId="77777777" w:rsidR="004E6FF8"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705CC685" w14:textId="77777777" w:rsidR="004E6FF8"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8">
        <w:r>
          <w:rPr>
            <w:rFonts w:ascii="Open Sans" w:eastAsia="Open Sans" w:hAnsi="Open Sans" w:cs="Open Sans"/>
            <w:color w:val="1155CC"/>
            <w:sz w:val="22"/>
            <w:szCs w:val="22"/>
            <w:u w:val="single"/>
          </w:rPr>
          <w:t>adevinta.es</w:t>
        </w:r>
      </w:hyperlink>
    </w:p>
    <w:p w14:paraId="3238D421" w14:textId="77777777" w:rsidR="004E6FF8" w:rsidRDefault="004E6FF8">
      <w:pPr>
        <w:spacing w:line="276" w:lineRule="auto"/>
        <w:jc w:val="right"/>
        <w:rPr>
          <w:rFonts w:ascii="Open Sans" w:eastAsia="Open Sans" w:hAnsi="Open Sans" w:cs="Open Sans"/>
        </w:rPr>
      </w:pPr>
    </w:p>
    <w:p w14:paraId="492EBA8C" w14:textId="77777777" w:rsidR="004E6FF8" w:rsidRDefault="004E6FF8">
      <w:pPr>
        <w:spacing w:line="276" w:lineRule="auto"/>
        <w:ind w:right="141"/>
        <w:jc w:val="right"/>
        <w:rPr>
          <w:rFonts w:ascii="Open Sans" w:eastAsia="Open Sans" w:hAnsi="Open Sans" w:cs="Open Sans"/>
        </w:rPr>
      </w:pPr>
    </w:p>
    <w:p w14:paraId="20B76E6B" w14:textId="77777777" w:rsidR="004E6FF8" w:rsidRDefault="00000000">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813C561" w14:textId="77777777" w:rsidR="004E6FF8" w:rsidRDefault="00000000">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6987F127" w14:textId="77777777" w:rsidR="004E6FF8" w:rsidRDefault="00000000">
      <w:pPr>
        <w:shd w:val="clear" w:color="auto" w:fill="FFFFFF"/>
        <w:spacing w:line="276" w:lineRule="auto"/>
        <w:ind w:right="141"/>
        <w:rPr>
          <w:rFonts w:ascii="Open Sans" w:eastAsia="Open Sans" w:hAnsi="Open Sans" w:cs="Open Sans"/>
          <w:color w:val="0000FF"/>
          <w:sz w:val="22"/>
          <w:szCs w:val="22"/>
          <w:u w:val="single"/>
        </w:rPr>
      </w:pPr>
      <w:hyperlink r:id="rId29">
        <w:r>
          <w:rPr>
            <w:rFonts w:ascii="Open Sans" w:eastAsia="Open Sans" w:hAnsi="Open Sans" w:cs="Open Sans"/>
            <w:color w:val="0000FF"/>
            <w:sz w:val="22"/>
            <w:szCs w:val="22"/>
            <w:u w:val="single"/>
          </w:rPr>
          <w:t>comunicacion@fotocasa.es</w:t>
        </w:r>
      </w:hyperlink>
    </w:p>
    <w:p w14:paraId="1F3B59FC" w14:textId="77777777" w:rsidR="004E6FF8"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2F7D2D7" w14:textId="77777777" w:rsidR="004E6FF8" w:rsidRDefault="004E6FF8">
      <w:pPr>
        <w:spacing w:line="276" w:lineRule="auto"/>
        <w:ind w:right="141"/>
        <w:rPr>
          <w:rFonts w:ascii="Open Sans Light" w:eastAsia="Open Sans Light" w:hAnsi="Open Sans Light" w:cs="Open Sans Light"/>
          <w:b/>
          <w:color w:val="303AB2"/>
          <w:sz w:val="22"/>
          <w:szCs w:val="22"/>
        </w:rPr>
      </w:pPr>
    </w:p>
    <w:p w14:paraId="38606815" w14:textId="77777777" w:rsidR="004E6FF8" w:rsidRDefault="004E6FF8">
      <w:pPr>
        <w:spacing w:line="276" w:lineRule="auto"/>
        <w:ind w:right="141"/>
        <w:rPr>
          <w:rFonts w:ascii="Open Sans Light" w:eastAsia="Open Sans Light" w:hAnsi="Open Sans Light" w:cs="Open Sans Light"/>
          <w:b/>
          <w:color w:val="303AB2"/>
          <w:sz w:val="22"/>
          <w:szCs w:val="22"/>
        </w:rPr>
      </w:pPr>
    </w:p>
    <w:p w14:paraId="6585CFA2" w14:textId="77777777" w:rsidR="004E6FF8" w:rsidRDefault="00000000">
      <w:pPr>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597B6A2B" w14:textId="77777777" w:rsidR="004E6FF8" w:rsidRDefault="00000000">
      <w:pPr>
        <w:shd w:val="clear" w:color="auto" w:fill="FFFFFF"/>
        <w:ind w:right="141"/>
        <w:rPr>
          <w:rFonts w:ascii="Open Sans" w:eastAsia="Open Sans" w:hAnsi="Open Sans" w:cs="Open Sans"/>
          <w:b/>
          <w:sz w:val="22"/>
          <w:szCs w:val="22"/>
        </w:rPr>
      </w:pPr>
      <w:r>
        <w:rPr>
          <w:rFonts w:ascii="Open Sans" w:eastAsia="Open Sans" w:hAnsi="Open Sans" w:cs="Open Sans"/>
          <w:b/>
          <w:sz w:val="22"/>
          <w:szCs w:val="22"/>
        </w:rPr>
        <w:t>Fanny Merino</w:t>
      </w:r>
    </w:p>
    <w:p w14:paraId="6EA4D82C" w14:textId="77777777" w:rsidR="004E6FF8" w:rsidRDefault="00000000">
      <w:pPr>
        <w:shd w:val="clear" w:color="auto" w:fill="FFFFFF"/>
        <w:ind w:right="141"/>
        <w:rPr>
          <w:rFonts w:ascii="Open Sans" w:eastAsia="Open Sans" w:hAnsi="Open Sans" w:cs="Open Sans"/>
          <w:b/>
          <w:sz w:val="22"/>
          <w:szCs w:val="22"/>
        </w:rPr>
      </w:pPr>
      <w:hyperlink r:id="rId30">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4506070C" w14:textId="77777777" w:rsidR="004E6FF8" w:rsidRPr="00727E99" w:rsidRDefault="00000000">
      <w:pPr>
        <w:shd w:val="clear" w:color="auto" w:fill="FFFFFF"/>
        <w:ind w:right="141"/>
        <w:rPr>
          <w:rFonts w:ascii="Open Sans" w:eastAsia="Open Sans" w:hAnsi="Open Sans" w:cs="Open Sans"/>
          <w:sz w:val="22"/>
          <w:szCs w:val="22"/>
          <w:lang w:val="en-US"/>
        </w:rPr>
      </w:pPr>
      <w:r w:rsidRPr="00727E99">
        <w:rPr>
          <w:rFonts w:ascii="Open Sans" w:eastAsia="Open Sans" w:hAnsi="Open Sans" w:cs="Open Sans"/>
          <w:sz w:val="22"/>
          <w:szCs w:val="22"/>
          <w:lang w:val="en-US"/>
        </w:rPr>
        <w:t>663 35 69 75 </w:t>
      </w:r>
      <w:r w:rsidRPr="00727E99">
        <w:rPr>
          <w:rFonts w:ascii="Open Sans" w:eastAsia="Open Sans" w:hAnsi="Open Sans" w:cs="Open Sans"/>
          <w:sz w:val="22"/>
          <w:szCs w:val="22"/>
          <w:lang w:val="en-US"/>
        </w:rPr>
        <w:tab/>
      </w:r>
      <w:r w:rsidRPr="00727E99">
        <w:rPr>
          <w:rFonts w:ascii="Open Sans" w:eastAsia="Open Sans" w:hAnsi="Open Sans" w:cs="Open Sans"/>
          <w:sz w:val="22"/>
          <w:szCs w:val="22"/>
          <w:lang w:val="en-US"/>
        </w:rPr>
        <w:tab/>
      </w:r>
      <w:r w:rsidRPr="00727E99">
        <w:rPr>
          <w:rFonts w:ascii="Open Sans" w:eastAsia="Open Sans" w:hAnsi="Open Sans" w:cs="Open Sans"/>
          <w:sz w:val="22"/>
          <w:szCs w:val="22"/>
          <w:lang w:val="en-US"/>
        </w:rPr>
        <w:tab/>
      </w:r>
      <w:r w:rsidRPr="00727E99">
        <w:rPr>
          <w:rFonts w:ascii="Open Sans" w:eastAsia="Open Sans" w:hAnsi="Open Sans" w:cs="Open Sans"/>
          <w:sz w:val="22"/>
          <w:szCs w:val="22"/>
          <w:lang w:val="en-US"/>
        </w:rPr>
        <w:tab/>
      </w:r>
      <w:r w:rsidRPr="00727E99">
        <w:rPr>
          <w:rFonts w:ascii="Open Sans" w:eastAsia="Open Sans" w:hAnsi="Open Sans" w:cs="Open Sans"/>
          <w:sz w:val="22"/>
          <w:szCs w:val="22"/>
          <w:lang w:val="en-US"/>
        </w:rPr>
        <w:tab/>
      </w:r>
      <w:r w:rsidRPr="00727E99">
        <w:rPr>
          <w:rFonts w:ascii="Open Sans" w:eastAsia="Open Sans" w:hAnsi="Open Sans" w:cs="Open Sans"/>
          <w:sz w:val="22"/>
          <w:szCs w:val="22"/>
          <w:lang w:val="en-US"/>
        </w:rPr>
        <w:tab/>
      </w:r>
    </w:p>
    <w:p w14:paraId="134922F7" w14:textId="77777777" w:rsidR="004E6FF8" w:rsidRPr="00727E99" w:rsidRDefault="00000000">
      <w:pPr>
        <w:shd w:val="clear" w:color="auto" w:fill="FFFFFF"/>
        <w:ind w:right="141"/>
        <w:rPr>
          <w:color w:val="222222"/>
          <w:sz w:val="22"/>
          <w:szCs w:val="22"/>
          <w:lang w:val="en-US"/>
        </w:rPr>
      </w:pPr>
      <w:r w:rsidRPr="00727E99">
        <w:rPr>
          <w:color w:val="222222"/>
          <w:sz w:val="22"/>
          <w:szCs w:val="22"/>
          <w:lang w:val="en-US"/>
        </w:rPr>
        <w:tab/>
      </w:r>
      <w:r w:rsidRPr="00727E99">
        <w:rPr>
          <w:color w:val="222222"/>
          <w:sz w:val="22"/>
          <w:szCs w:val="22"/>
          <w:lang w:val="en-US"/>
        </w:rPr>
        <w:tab/>
        <w:t xml:space="preserve">     </w:t>
      </w:r>
    </w:p>
    <w:p w14:paraId="77CF1BC5" w14:textId="77777777" w:rsidR="004E6FF8" w:rsidRPr="00727E99" w:rsidRDefault="00000000">
      <w:pPr>
        <w:shd w:val="clear" w:color="auto" w:fill="FFFFFF"/>
        <w:ind w:right="141"/>
        <w:rPr>
          <w:rFonts w:ascii="Open Sans" w:eastAsia="Open Sans" w:hAnsi="Open Sans" w:cs="Open Sans"/>
          <w:b/>
          <w:sz w:val="22"/>
          <w:szCs w:val="22"/>
          <w:lang w:val="en-US"/>
        </w:rPr>
      </w:pPr>
      <w:r w:rsidRPr="00727E99">
        <w:rPr>
          <w:rFonts w:ascii="Open Sans" w:eastAsia="Open Sans" w:hAnsi="Open Sans" w:cs="Open Sans"/>
          <w:b/>
          <w:sz w:val="22"/>
          <w:szCs w:val="22"/>
          <w:lang w:val="en-US"/>
        </w:rPr>
        <w:t>Judit Campillos</w:t>
      </w:r>
    </w:p>
    <w:p w14:paraId="5F693DB0" w14:textId="77777777" w:rsidR="004E6FF8" w:rsidRPr="00727E99" w:rsidRDefault="00000000">
      <w:pPr>
        <w:shd w:val="clear" w:color="auto" w:fill="FFFFFF"/>
        <w:ind w:right="141"/>
        <w:rPr>
          <w:rFonts w:ascii="Open Sans" w:eastAsia="Open Sans" w:hAnsi="Open Sans" w:cs="Open Sans"/>
          <w:b/>
          <w:sz w:val="22"/>
          <w:szCs w:val="22"/>
          <w:lang w:val="en-US"/>
        </w:rPr>
      </w:pPr>
      <w:r w:rsidRPr="00727E99">
        <w:rPr>
          <w:rFonts w:ascii="Open Sans" w:eastAsia="Open Sans" w:hAnsi="Open Sans" w:cs="Open Sans"/>
          <w:color w:val="0000FF"/>
          <w:sz w:val="22"/>
          <w:szCs w:val="22"/>
          <w:u w:val="single"/>
          <w:lang w:val="en-US"/>
        </w:rPr>
        <w:t>jcampillos</w:t>
      </w:r>
      <w:hyperlink r:id="rId31">
        <w:r w:rsidRPr="00727E99">
          <w:rPr>
            <w:rFonts w:ascii="Open Sans" w:eastAsia="Open Sans" w:hAnsi="Open Sans" w:cs="Open Sans"/>
            <w:color w:val="0000FF"/>
            <w:sz w:val="22"/>
            <w:szCs w:val="22"/>
            <w:u w:val="single"/>
            <w:lang w:val="en-US"/>
          </w:rPr>
          <w:t>@ll</w:t>
        </w:r>
      </w:hyperlink>
      <w:r w:rsidRPr="00727E99">
        <w:rPr>
          <w:rFonts w:ascii="Open Sans" w:eastAsia="Open Sans" w:hAnsi="Open Sans" w:cs="Open Sans"/>
          <w:color w:val="0000FF"/>
          <w:sz w:val="22"/>
          <w:szCs w:val="22"/>
          <w:u w:val="single"/>
          <w:lang w:val="en-US"/>
        </w:rPr>
        <w:t>yc.global</w:t>
      </w:r>
      <w:r w:rsidRPr="00727E99">
        <w:rPr>
          <w:rFonts w:ascii="Open Sans" w:eastAsia="Open Sans" w:hAnsi="Open Sans" w:cs="Open Sans"/>
          <w:color w:val="0000FF"/>
          <w:sz w:val="22"/>
          <w:szCs w:val="22"/>
          <w:lang w:val="en-US"/>
        </w:rPr>
        <w:tab/>
      </w:r>
      <w:r w:rsidRPr="00727E99">
        <w:rPr>
          <w:rFonts w:ascii="Open Sans" w:eastAsia="Open Sans" w:hAnsi="Open Sans" w:cs="Open Sans"/>
          <w:color w:val="0000FF"/>
          <w:sz w:val="22"/>
          <w:szCs w:val="22"/>
          <w:lang w:val="en-US"/>
        </w:rPr>
        <w:tab/>
      </w:r>
    </w:p>
    <w:p w14:paraId="63708325" w14:textId="77777777" w:rsidR="004E6FF8" w:rsidRPr="00375D6C" w:rsidRDefault="00000000">
      <w:pPr>
        <w:shd w:val="clear" w:color="auto" w:fill="FFFFFF"/>
        <w:ind w:right="141"/>
        <w:rPr>
          <w:rFonts w:ascii="Open Sans" w:eastAsia="Open Sans" w:hAnsi="Open Sans" w:cs="Open Sans"/>
          <w:sz w:val="22"/>
          <w:szCs w:val="22"/>
          <w:lang w:val="en-US"/>
        </w:rPr>
      </w:pPr>
      <w:r w:rsidRPr="00375D6C">
        <w:rPr>
          <w:rFonts w:ascii="Open Sans" w:eastAsia="Open Sans" w:hAnsi="Open Sans" w:cs="Open Sans"/>
          <w:sz w:val="22"/>
          <w:szCs w:val="22"/>
          <w:lang w:val="en-US"/>
        </w:rPr>
        <w:t>699 13 91 53</w:t>
      </w:r>
    </w:p>
    <w:p w14:paraId="6E640618" w14:textId="77777777" w:rsidR="004E6FF8" w:rsidRPr="00375D6C" w:rsidRDefault="004E6FF8">
      <w:pPr>
        <w:ind w:right="141"/>
        <w:rPr>
          <w:rFonts w:ascii="Open Sans" w:eastAsia="Open Sans" w:hAnsi="Open Sans" w:cs="Open Sans"/>
          <w:color w:val="30302E"/>
          <w:sz w:val="22"/>
          <w:szCs w:val="22"/>
          <w:highlight w:val="white"/>
          <w:lang w:val="en-US"/>
        </w:rPr>
      </w:pPr>
    </w:p>
    <w:p w14:paraId="0E4AB6E4" w14:textId="77777777" w:rsidR="004E6FF8" w:rsidRDefault="00000000">
      <w:pPr>
        <w:ind w:right="141"/>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6356F928" w14:textId="77777777" w:rsidR="004E6FF8" w:rsidRDefault="00000000">
      <w:pPr>
        <w:ind w:right="141"/>
        <w:rPr>
          <w:rFonts w:ascii="Open Sans" w:eastAsia="Open Sans" w:hAnsi="Open Sans" w:cs="Open Sans"/>
          <w:color w:val="0000FF"/>
          <w:sz w:val="22"/>
          <w:szCs w:val="22"/>
          <w:u w:val="single"/>
        </w:rPr>
      </w:pPr>
      <w:hyperlink r:id="rId32">
        <w:r>
          <w:rPr>
            <w:rFonts w:ascii="Open Sans" w:eastAsia="Open Sans" w:hAnsi="Open Sans" w:cs="Open Sans"/>
            <w:color w:val="0000FF"/>
            <w:sz w:val="22"/>
            <w:szCs w:val="22"/>
            <w:u w:val="single"/>
          </w:rPr>
          <w:t>alicia.salvatella@llyc.global</w:t>
        </w:r>
      </w:hyperlink>
    </w:p>
    <w:p w14:paraId="1AA15371" w14:textId="77777777" w:rsidR="004E6FF8" w:rsidRDefault="00000000">
      <w:pPr>
        <w:ind w:right="141"/>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3A0ADCB5" w14:textId="77777777" w:rsidR="004E6FF8" w:rsidRDefault="004E6FF8">
      <w:pPr>
        <w:shd w:val="clear" w:color="auto" w:fill="FFFFFF"/>
        <w:ind w:right="141"/>
        <w:rPr>
          <w:rFonts w:ascii="Open Sans" w:eastAsia="Open Sans" w:hAnsi="Open Sans" w:cs="Open Sans"/>
          <w:color w:val="000000"/>
          <w:sz w:val="22"/>
          <w:szCs w:val="22"/>
        </w:rPr>
      </w:pPr>
    </w:p>
    <w:p w14:paraId="4DC1F09B" w14:textId="77777777" w:rsidR="004E6FF8" w:rsidRDefault="004E6FF8">
      <w:pPr>
        <w:spacing w:line="276" w:lineRule="auto"/>
        <w:jc w:val="right"/>
        <w:rPr>
          <w:rFonts w:ascii="Open Sans" w:eastAsia="Open Sans" w:hAnsi="Open Sans" w:cs="Open Sans"/>
          <w:color w:val="000000"/>
          <w:sz w:val="21"/>
          <w:szCs w:val="21"/>
        </w:rPr>
      </w:pPr>
    </w:p>
    <w:sectPr w:rsidR="004E6FF8">
      <w:footerReference w:type="default" r:id="rId3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1F99F6" w14:textId="77777777" w:rsidR="00770CD4" w:rsidRDefault="00770CD4">
      <w:r>
        <w:separator/>
      </w:r>
    </w:p>
  </w:endnote>
  <w:endnote w:type="continuationSeparator" w:id="0">
    <w:p w14:paraId="79A628E6" w14:textId="77777777" w:rsidR="00770CD4" w:rsidRDefault="00770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BBCB6F7-D19E-413F-8878-2B1C077C149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88B1F17-8A54-4355-B4AC-B9B23A4DF647}"/>
    <w:embedBold r:id="rId3" w:fontKey="{7A0D0986-B766-4DEF-9C74-13275A1149A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C27578C-7410-4836-BA6A-0A10AE69CDD0}"/>
    <w:embedItalic r:id="rId5" w:fontKey="{BC0FF0EF-92B6-458A-B71A-A2B9014D4C72}"/>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209948F7-B1C7-4FEF-990C-26F995B0E576}"/>
    <w:embedBold r:id="rId7" w:fontKey="{E65E274B-33BA-4893-8424-FBFA1CEB5C4C}"/>
  </w:font>
  <w:font w:name="Open Sans Light">
    <w:charset w:val="00"/>
    <w:family w:val="swiss"/>
    <w:pitch w:val="variable"/>
    <w:sig w:usb0="E00002EF" w:usb1="4000205B" w:usb2="00000028" w:usb3="00000000" w:csb0="0000019F" w:csb1="00000000"/>
    <w:embedRegular r:id="rId8" w:fontKey="{86D55A7F-A57F-4308-8FB4-B0DDD707E92B}"/>
    <w:embedBold r:id="rId9" w:fontKey="{8C7EE5AC-9AEE-4213-9946-38F5395B0580}"/>
  </w:font>
  <w:font w:name="Calibri Light">
    <w:panose1 w:val="020F0302020204030204"/>
    <w:charset w:val="00"/>
    <w:family w:val="swiss"/>
    <w:pitch w:val="variable"/>
    <w:sig w:usb0="E4002EFF" w:usb1="C000247B" w:usb2="00000009" w:usb3="00000000" w:csb0="000001FF" w:csb1="00000000"/>
    <w:embedRegular r:id="rId10" w:fontKey="{E4AE7E72-0C27-4636-970F-8559E95BB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3CF55" w14:textId="77777777" w:rsidR="004E6FF8"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A767297" wp14:editId="4D16D57C">
          <wp:simplePos x="0" y="0"/>
          <wp:positionH relativeFrom="column">
            <wp:posOffset>-1191894</wp:posOffset>
          </wp:positionH>
          <wp:positionV relativeFrom="paragraph">
            <wp:posOffset>167970</wp:posOffset>
          </wp:positionV>
          <wp:extent cx="7670550" cy="451315"/>
          <wp:effectExtent l="0" t="0" r="0" b="0"/>
          <wp:wrapNone/>
          <wp:docPr id="13023010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D95A3" w14:textId="77777777" w:rsidR="00770CD4" w:rsidRDefault="00770CD4">
      <w:r>
        <w:separator/>
      </w:r>
    </w:p>
  </w:footnote>
  <w:footnote w:type="continuationSeparator" w:id="0">
    <w:p w14:paraId="0FD4EEE2" w14:textId="77777777" w:rsidR="00770CD4" w:rsidRDefault="00770C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AC02CC"/>
    <w:multiLevelType w:val="multilevel"/>
    <w:tmpl w:val="19064B70"/>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0340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FF8"/>
    <w:rsid w:val="0016267E"/>
    <w:rsid w:val="00375D6C"/>
    <w:rsid w:val="003843CF"/>
    <w:rsid w:val="004E6FF8"/>
    <w:rsid w:val="006939BA"/>
    <w:rsid w:val="00727E99"/>
    <w:rsid w:val="00770CD4"/>
    <w:rsid w:val="00804427"/>
    <w:rsid w:val="00AB0B17"/>
    <w:rsid w:val="00B426DF"/>
    <w:rsid w:val="00D24E3E"/>
    <w:rsid w:val="00DC1040"/>
    <w:rsid w:val="00EA2393"/>
    <w:rsid w:val="00EA40F1"/>
    <w:rsid w:val="00FB60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018C4"/>
  <w15:docId w15:val="{DADAF8A5-0A08-4D2F-BFE9-34DA73BA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C0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m6445620330082090912gmail-msohyperlink">
    <w:name w:val="m_6445620330082090912gmail-msohyperlink"/>
    <w:basedOn w:val="Fuentedeprrafopredeter"/>
    <w:rsid w:val="0059074E"/>
  </w:style>
  <w:style w:type="character" w:styleId="Mencinsinresolver">
    <w:name w:val="Unresolved Mention"/>
    <w:basedOn w:val="Fuentedeprrafopredeter"/>
    <w:uiPriority w:val="99"/>
    <w:semiHidden/>
    <w:unhideWhenUsed/>
    <w:rsid w:val="00990AD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0499477">
      <w:bodyDiv w:val="1"/>
      <w:marLeft w:val="0"/>
      <w:marRight w:val="0"/>
      <w:marTop w:val="0"/>
      <w:marBottom w:val="0"/>
      <w:divBdr>
        <w:top w:val="none" w:sz="0" w:space="0" w:color="auto"/>
        <w:left w:val="none" w:sz="0" w:space="0" w:color="auto"/>
        <w:bottom w:val="none" w:sz="0" w:space="0" w:color="auto"/>
        <w:right w:val="none" w:sz="0" w:space="0" w:color="auto"/>
      </w:divBdr>
    </w:div>
    <w:div w:id="1139422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NT9ghwiJq8A" TargetMode="External"/><Relationship Id="rId18" Type="http://schemas.openxmlformats.org/officeDocument/2006/relationships/hyperlink" Target="https://www.fotocasa.es/indice/" TargetMode="External"/><Relationship Id="rId26"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hyperlink" Target="https://www.fotocasa.es/es/quienes-somo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www.fotocasa.es" TargetMode="External"/><Relationship Id="rId25" Type="http://schemas.openxmlformats.org/officeDocument/2006/relationships/hyperlink" Target="https://www.coches.ne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fotocasa.es" TargetMode="External"/><Relationship Id="rId20" Type="http://schemas.openxmlformats.org/officeDocument/2006/relationships/hyperlink" Target="https://www.adevinta.com/" TargetMode="External"/><Relationship Id="rId29"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infojobs.net/" TargetMode="External"/><Relationship Id="rId32" Type="http://schemas.openxmlformats.org/officeDocument/2006/relationships/hyperlink" Target="mailto:alicia.salvatella@llyc.global" TargetMode="External"/><Relationship Id="rId5" Type="http://schemas.openxmlformats.org/officeDocument/2006/relationships/webSettings" Target="webSettings.xml"/><Relationship Id="rId15" Type="http://schemas.openxmlformats.org/officeDocument/2006/relationships/hyperlink" Target="http://www.fotocasa.es" TargetMode="External"/><Relationship Id="rId23" Type="http://schemas.openxmlformats.org/officeDocument/2006/relationships/hyperlink" Target="https://www.habitaclia.com/" TargetMode="External"/><Relationship Id="rId28" Type="http://schemas.openxmlformats.org/officeDocument/2006/relationships/hyperlink" Target="http://adevinta.es" TargetMode="External"/><Relationship Id="rId10" Type="http://schemas.openxmlformats.org/officeDocument/2006/relationships/hyperlink" Target="https://www.fotocasa.es" TargetMode="External"/><Relationship Id="rId19" Type="http://schemas.openxmlformats.org/officeDocument/2006/relationships/hyperlink" Target="http://prensa.fotocasa.es" TargetMode="External"/><Relationship Id="rId31" Type="http://schemas.openxmlformats.org/officeDocument/2006/relationships/hyperlink" Target="mailto:emerino@llorenteycuenca.com" TargetMode="External"/><Relationship Id="rId4" Type="http://schemas.openxmlformats.org/officeDocument/2006/relationships/settings" Target="settings.xml"/><Relationship Id="rId9" Type="http://schemas.openxmlformats.org/officeDocument/2006/relationships/hyperlink" Target="https://youtu.be/NT9ghwiJq8A" TargetMode="External"/><Relationship Id="rId14" Type="http://schemas.openxmlformats.org/officeDocument/2006/relationships/image" Target="media/image2.jpeg"/><Relationship Id="rId22" Type="http://schemas.openxmlformats.org/officeDocument/2006/relationships/hyperlink" Target="https://www.fotocasa.es/es/" TargetMode="External"/><Relationship Id="rId27" Type="http://schemas.openxmlformats.org/officeDocument/2006/relationships/hyperlink" Target="https://www.milanuncios.com/" TargetMode="External"/><Relationship Id="rId30" Type="http://schemas.openxmlformats.org/officeDocument/2006/relationships/hyperlink" Target="mailto:emerino@llorenteycuenca.com" TargetMode="Externa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I:\Mi%20unidad\01-SCHIBSTED\03-NOTAS%20DE%20PRENSA\01-VENTA\01-NOTAS%20DE%20PRENSA\2024\07-JULIO\PRENSA%20VENTA%20julio%20202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4.6053791887125217E-2"/>
          <c:y val="4.9026498806293291E-2"/>
          <c:w val="0.89913341540741254"/>
          <c:h val="0.64706804000395912"/>
        </c:manualLayout>
      </c:layout>
      <c:barChart>
        <c:barDir val="col"/>
        <c:grouping val="clustered"/>
        <c:varyColors val="0"/>
        <c:ser>
          <c:idx val="0"/>
          <c:order val="0"/>
          <c:tx>
            <c:strRef>
              <c:f>Hoja5!$C$30</c:f>
              <c:strCache>
                <c:ptCount val="1"/>
                <c:pt idx="0">
                  <c:v>  % mensual </c:v>
                </c:pt>
              </c:strCache>
            </c:strRef>
          </c:tx>
          <c:spPr>
            <a:solidFill>
              <a:srgbClr val="5B9BD5">
                <a:lumMod val="75000"/>
              </a:srgbClr>
            </a:solidFill>
            <a:ln>
              <a:noFill/>
            </a:ln>
            <a:effectLst/>
          </c:spPr>
          <c:invertIfNegative val="0"/>
          <c:dLbls>
            <c:dLbl>
              <c:idx val="5"/>
              <c:layout>
                <c:manualLayout>
                  <c:x val="6.78264575522980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F8-4724-8C30-4F346EDC3D27}"/>
                </c:ext>
              </c:extLst>
            </c:dLbl>
            <c:dLbl>
              <c:idx val="9"/>
              <c:layout>
                <c:manualLayout>
                  <c:x val="-1.8832023099033309E-3"/>
                  <c:y val="5.96734914765040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F8-4724-8C30-4F346EDC3D27}"/>
                </c:ext>
              </c:extLst>
            </c:dLbl>
            <c:numFmt formatCode="#,##0.0&quot;%&quot;"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Hoja5!$A$31:$B$43</c:f>
              <c:multiLvlStrCache>
                <c:ptCount val="13"/>
                <c:lvl>
                  <c:pt idx="0">
                    <c:v>JUL</c:v>
                  </c:pt>
                  <c:pt idx="1">
                    <c:v>AGO</c:v>
                  </c:pt>
                  <c:pt idx="2">
                    <c:v>SEP</c:v>
                  </c:pt>
                  <c:pt idx="3">
                    <c:v>OCT</c:v>
                  </c:pt>
                  <c:pt idx="4">
                    <c:v>NOV</c:v>
                  </c:pt>
                  <c:pt idx="5">
                    <c:v>DIC</c:v>
                  </c:pt>
                  <c:pt idx="6">
                    <c:v>ENE</c:v>
                  </c:pt>
                  <c:pt idx="7">
                    <c:v>FEB</c:v>
                  </c:pt>
                  <c:pt idx="8">
                    <c:v>MAR</c:v>
                  </c:pt>
                  <c:pt idx="9">
                    <c:v>ABR</c:v>
                  </c:pt>
                  <c:pt idx="10">
                    <c:v>MAY</c:v>
                  </c:pt>
                  <c:pt idx="11">
                    <c:v>JUN</c:v>
                  </c:pt>
                  <c:pt idx="12">
                    <c:v>JUL</c:v>
                  </c:pt>
                </c:lvl>
                <c:lvl>
                  <c:pt idx="0">
                    <c:v>2023</c:v>
                  </c:pt>
                  <c:pt idx="6">
                    <c:v>2024</c:v>
                  </c:pt>
                </c:lvl>
              </c:multiLvlStrCache>
            </c:multiLvlStrRef>
          </c:cat>
          <c:val>
            <c:numRef>
              <c:f>Hoja5!$C$31:$C$43</c:f>
              <c:numCache>
                <c:formatCode>#,##0.0"%"</c:formatCode>
                <c:ptCount val="13"/>
                <c:pt idx="0">
                  <c:v>0.17426798128716836</c:v>
                </c:pt>
                <c:pt idx="1">
                  <c:v>-0.2381550426539536</c:v>
                </c:pt>
                <c:pt idx="2">
                  <c:v>0.30353329541110902</c:v>
                </c:pt>
                <c:pt idx="3">
                  <c:v>0.37048227774549858</c:v>
                </c:pt>
                <c:pt idx="4">
                  <c:v>0.59975361473125766</c:v>
                </c:pt>
                <c:pt idx="5">
                  <c:v>1.4239217004193838</c:v>
                </c:pt>
                <c:pt idx="6">
                  <c:v>0.55694249012754327</c:v>
                </c:pt>
                <c:pt idx="7">
                  <c:v>0.84951949335778654</c:v>
                </c:pt>
                <c:pt idx="8">
                  <c:v>1.1091267976313546</c:v>
                </c:pt>
                <c:pt idx="9">
                  <c:v>0.44400766721117702</c:v>
                </c:pt>
                <c:pt idx="10">
                  <c:v>1.1075363596297905</c:v>
                </c:pt>
                <c:pt idx="11">
                  <c:v>1.4476075898052887</c:v>
                </c:pt>
                <c:pt idx="12">
                  <c:v>0.69736265436077804</c:v>
                </c:pt>
              </c:numCache>
            </c:numRef>
          </c:val>
          <c:extLst>
            <c:ext xmlns:c16="http://schemas.microsoft.com/office/drawing/2014/chart" uri="{C3380CC4-5D6E-409C-BE32-E72D297353CC}">
              <c16:uniqueId val="{00000002-4BF8-4724-8C30-4F346EDC3D27}"/>
            </c:ext>
          </c:extLst>
        </c:ser>
        <c:ser>
          <c:idx val="1"/>
          <c:order val="1"/>
          <c:tx>
            <c:strRef>
              <c:f>Hoja5!$D$30</c:f>
              <c:strCache>
                <c:ptCount val="1"/>
                <c:pt idx="0">
                  <c:v> % interanual </c:v>
                </c:pt>
              </c:strCache>
            </c:strRef>
          </c:tx>
          <c:spPr>
            <a:solidFill>
              <a:sysClr val="window" lastClr="FFFFFF">
                <a:lumMod val="75000"/>
              </a:sysClr>
            </a:solidFill>
            <a:ln>
              <a:noFill/>
            </a:ln>
            <a:effectLst/>
          </c:spPr>
          <c:invertIfNegative val="0"/>
          <c:dLbls>
            <c:dLbl>
              <c:idx val="0"/>
              <c:layout>
                <c:manualLayout>
                  <c:x val="0"/>
                  <c:y val="1.234609721949001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F8-4724-8C30-4F346EDC3D27}"/>
                </c:ext>
              </c:extLst>
            </c:dLbl>
            <c:dLbl>
              <c:idx val="1"/>
              <c:layout>
                <c:manualLayout>
                  <c:x val="0"/>
                  <c:y val="3.86424444264649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F8-4724-8C30-4F346EDC3D27}"/>
                </c:ext>
              </c:extLst>
            </c:dLbl>
            <c:numFmt formatCode="#,##0.0&quot;%&quot;"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Hoja5!$A$31:$B$43</c:f>
              <c:multiLvlStrCache>
                <c:ptCount val="13"/>
                <c:lvl>
                  <c:pt idx="0">
                    <c:v>JUL</c:v>
                  </c:pt>
                  <c:pt idx="1">
                    <c:v>AGO</c:v>
                  </c:pt>
                  <c:pt idx="2">
                    <c:v>SEP</c:v>
                  </c:pt>
                  <c:pt idx="3">
                    <c:v>OCT</c:v>
                  </c:pt>
                  <c:pt idx="4">
                    <c:v>NOV</c:v>
                  </c:pt>
                  <c:pt idx="5">
                    <c:v>DIC</c:v>
                  </c:pt>
                  <c:pt idx="6">
                    <c:v>ENE</c:v>
                  </c:pt>
                  <c:pt idx="7">
                    <c:v>FEB</c:v>
                  </c:pt>
                  <c:pt idx="8">
                    <c:v>MAR</c:v>
                  </c:pt>
                  <c:pt idx="9">
                    <c:v>ABR</c:v>
                  </c:pt>
                  <c:pt idx="10">
                    <c:v>MAY</c:v>
                  </c:pt>
                  <c:pt idx="11">
                    <c:v>JUN</c:v>
                  </c:pt>
                  <c:pt idx="12">
                    <c:v>JUL</c:v>
                  </c:pt>
                </c:lvl>
                <c:lvl>
                  <c:pt idx="0">
                    <c:v>2023</c:v>
                  </c:pt>
                  <c:pt idx="6">
                    <c:v>2024</c:v>
                  </c:pt>
                </c:lvl>
              </c:multiLvlStrCache>
            </c:multiLvlStrRef>
          </c:cat>
          <c:val>
            <c:numRef>
              <c:f>Hoja5!$D$31:$D$43</c:f>
              <c:numCache>
                <c:formatCode>#,##0.0"%"</c:formatCode>
                <c:ptCount val="13"/>
                <c:pt idx="0">
                  <c:v>9.6945700203075802</c:v>
                </c:pt>
                <c:pt idx="1">
                  <c:v>7.8783367117513547</c:v>
                </c:pt>
                <c:pt idx="2">
                  <c:v>6.9970207453607713</c:v>
                </c:pt>
                <c:pt idx="3">
                  <c:v>6.6439472514446374</c:v>
                </c:pt>
                <c:pt idx="4">
                  <c:v>6.1599214126179636</c:v>
                </c:pt>
                <c:pt idx="5">
                  <c:v>7.4253225539052448</c:v>
                </c:pt>
                <c:pt idx="6">
                  <c:v>7.45199419904643</c:v>
                </c:pt>
                <c:pt idx="7">
                  <c:v>7.1184051550543748</c:v>
                </c:pt>
                <c:pt idx="8">
                  <c:v>7.4456700104165163</c:v>
                </c:pt>
                <c:pt idx="9">
                  <c:v>7.3701644386608312</c:v>
                </c:pt>
                <c:pt idx="10">
                  <c:v>7.6636803499106065</c:v>
                </c:pt>
                <c:pt idx="11">
                  <c:v>8.4440758205505784</c:v>
                </c:pt>
                <c:pt idx="12">
                  <c:v>9.0103541625966344</c:v>
                </c:pt>
              </c:numCache>
            </c:numRef>
          </c:val>
          <c:extLst>
            <c:ext xmlns:c16="http://schemas.microsoft.com/office/drawing/2014/chart" uri="{C3380CC4-5D6E-409C-BE32-E72D297353CC}">
              <c16:uniqueId val="{00000005-4BF8-4724-8C30-4F346EDC3D27}"/>
            </c:ext>
          </c:extLst>
        </c:ser>
        <c:dLbls>
          <c:showLegendKey val="0"/>
          <c:showVal val="0"/>
          <c:showCatName val="0"/>
          <c:showSerName val="0"/>
          <c:showPercent val="0"/>
          <c:showBubbleSize val="0"/>
        </c:dLbls>
        <c:gapWidth val="100"/>
        <c:overlap val="-14"/>
        <c:axId val="714532111"/>
        <c:axId val="1020150815"/>
      </c:barChart>
      <c:catAx>
        <c:axId val="714532111"/>
        <c:scaling>
          <c:orientation val="minMax"/>
        </c:scaling>
        <c:delete val="0"/>
        <c:axPos val="b"/>
        <c:numFmt formatCode="General" sourceLinked="1"/>
        <c:majorTickMark val="cross"/>
        <c:minorTickMark val="out"/>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quot;%&quot;"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0.12402571386666411"/>
          <c:y val="0.89729815127644519"/>
          <c:w val="0.84440494727317739"/>
          <c:h val="9.181702810317383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1000" b="0">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0.05421</cdr:x>
      <cdr:y>0.60425</cdr:y>
    </cdr:from>
    <cdr:to>
      <cdr:x>0.94995</cdr:x>
      <cdr:y>0.60432</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flipV="1">
          <a:off x="312263" y="1434649"/>
          <a:ext cx="5160107" cy="167"/>
        </a:xfrm>
        <a:prstGeom xmlns:a="http://schemas.openxmlformats.org/drawingml/2006/main" prst="line">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EgMUPQ7rwNChlpW0At2KJqIfmQ==">CgMxLjAyCGguZ2pkZ3hzMgloLjMwajB6bGwyCWguMnM4ZXlvMTgAciExOC1vNDNDSVEtSlBLcmR2R0gwYmd4d21oOFhkTXVtd0s=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12</Pages>
  <Words>3141</Words>
  <Characters>17281</Characters>
  <Application>Microsoft Office Word</Application>
  <DocSecurity>0</DocSecurity>
  <Lines>144</Lines>
  <Paragraphs>40</Paragraphs>
  <ScaleCrop>false</ScaleCrop>
  <Company/>
  <LinksUpToDate>false</LinksUpToDate>
  <CharactersWithSpaces>20382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9</cp:revision>
  <dcterms:created xsi:type="dcterms:W3CDTF">2020-08-26T10:47:00Z</dcterms:created>
  <dcterms:modified xsi:type="dcterms:W3CDTF">2024-07-23T12:11:00Z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2024-01-26T14:32:01Z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14e205f0-437b-4ec9-a62f-b3b1d7a711e1</vt:lpwstr>
  </property>
  <property fmtid="{D5CDD505-2E9C-101B-9397-08002B2CF9AE}" pid="8" name="MSIP_Label_defa4170-0d19-0005-0004-bc88714345d2_ContentBits">
    <vt:lpwstr>0</vt:lpwstr>
  </property>
</Properties>
</file>