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0FE427" w14:textId="77777777" w:rsidR="00C53517" w:rsidRDefault="00000000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32A03E5" wp14:editId="0DE44C26">
            <wp:simplePos x="0" y="0"/>
            <wp:positionH relativeFrom="column">
              <wp:posOffset>-1080129</wp:posOffset>
            </wp:positionH>
            <wp:positionV relativeFrom="paragraph">
              <wp:posOffset>-654679</wp:posOffset>
            </wp:positionV>
            <wp:extent cx="7581265" cy="1019175"/>
            <wp:effectExtent l="0" t="0" r="0" b="0"/>
            <wp:wrapNone/>
            <wp:docPr id="206681657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B089FA" w14:textId="77777777" w:rsidR="00C53517" w:rsidRDefault="00C53517">
      <w:pPr>
        <w:jc w:val="right"/>
        <w:rPr>
          <w:rFonts w:ascii="National" w:eastAsia="National" w:hAnsi="National" w:cs="National"/>
          <w:color w:val="303AB2"/>
          <w:sz w:val="36"/>
          <w:szCs w:val="36"/>
        </w:rPr>
      </w:pPr>
    </w:p>
    <w:p w14:paraId="43AA258B" w14:textId="77777777" w:rsidR="00C53517" w:rsidRDefault="00C53517">
      <w:pPr>
        <w:rPr>
          <w:rFonts w:ascii="National" w:eastAsia="National" w:hAnsi="National" w:cs="National"/>
          <w:color w:val="303AB2"/>
          <w:sz w:val="18"/>
          <w:szCs w:val="18"/>
        </w:rPr>
      </w:pPr>
    </w:p>
    <w:p w14:paraId="716F2AA6" w14:textId="77777777" w:rsidR="00C53517" w:rsidRDefault="00000000">
      <w:pPr>
        <w:spacing w:line="276" w:lineRule="auto"/>
        <w:jc w:val="center"/>
        <w:rPr>
          <w:rFonts w:ascii="National" w:eastAsia="National" w:hAnsi="National" w:cs="National"/>
          <w:b/>
          <w:color w:val="1DBDC5"/>
          <w:sz w:val="30"/>
          <w:szCs w:val="30"/>
        </w:rPr>
      </w:pPr>
      <w:r>
        <w:rPr>
          <w:rFonts w:ascii="National" w:eastAsia="National" w:hAnsi="National" w:cs="National"/>
          <w:b/>
          <w:color w:val="1DBDC5"/>
          <w:sz w:val="30"/>
          <w:szCs w:val="30"/>
        </w:rPr>
        <w:t>ANÁLISIS ESPAÑA VACIADA</w:t>
      </w:r>
    </w:p>
    <w:p w14:paraId="50C40463" w14:textId="77777777" w:rsidR="00C53517" w:rsidRDefault="00000000">
      <w:pPr>
        <w:jc w:val="center"/>
        <w:rPr>
          <w:rFonts w:ascii="National" w:eastAsia="National" w:hAnsi="National" w:cs="National"/>
          <w:b/>
          <w:color w:val="303AB2"/>
          <w:sz w:val="46"/>
          <w:szCs w:val="46"/>
        </w:rPr>
      </w:pPr>
      <w:r>
        <w:rPr>
          <w:rFonts w:ascii="National" w:eastAsia="National" w:hAnsi="National" w:cs="National"/>
          <w:b/>
          <w:color w:val="303AB2"/>
          <w:sz w:val="46"/>
          <w:szCs w:val="46"/>
        </w:rPr>
        <w:t xml:space="preserve">Los pueblos que tienen entre 5.000 y 10.000 habitantes son los preferidos para los que se quieren ir a vivir a una zona rural </w:t>
      </w:r>
    </w:p>
    <w:p w14:paraId="0AE91AF7" w14:textId="77777777" w:rsidR="00C53517" w:rsidRDefault="00C53517">
      <w:pPr>
        <w:spacing w:line="276" w:lineRule="auto"/>
        <w:ind w:right="4"/>
        <w:jc w:val="both"/>
        <w:rPr>
          <w:rFonts w:ascii="Open Sans" w:eastAsia="Open Sans" w:hAnsi="Open Sans" w:cs="Open Sans"/>
          <w:color w:val="303AB2"/>
        </w:rPr>
      </w:pPr>
    </w:p>
    <w:p w14:paraId="2BBC36C5" w14:textId="77777777" w:rsidR="00C535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El 76% de los que van a irse a vivir a una zona rural o les gusta la idea prefiere los pueblos de más de 1.000 habitantes</w:t>
      </w:r>
    </w:p>
    <w:p w14:paraId="6E8DF084" w14:textId="77777777" w:rsidR="00C535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En concreto, crece la preferencia de los pueblos que oscilan entre los 5.000 y los 10.000 habitantes que sube en un año del 36% al 44%</w:t>
      </w:r>
    </w:p>
    <w:p w14:paraId="5650E6B2" w14:textId="77777777" w:rsidR="00C535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Durante el último año ha decrecido el interés por los pueblos que tienen entre 101 y 1.000 habitantes, escogida por el 19% de los demandantes </w:t>
      </w:r>
    </w:p>
    <w:p w14:paraId="78AF267C" w14:textId="77777777" w:rsidR="00C535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Los pueblos de menos de 100 habitantes tan solo es la preferida para un 6% de demandantes</w:t>
      </w:r>
    </w:p>
    <w:p w14:paraId="72644B7F" w14:textId="77777777" w:rsidR="00C5351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Los demandantes de vivienda andaluces y catalanes son los que más tienen previsto trasladarse a un pueblo </w:t>
      </w:r>
    </w:p>
    <w:p w14:paraId="0CB12912" w14:textId="77777777" w:rsidR="00C53517" w:rsidRDefault="00C535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03815A9B" w14:textId="77777777" w:rsidR="00C53517" w:rsidRDefault="00C535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color w:val="303AB2"/>
        </w:rPr>
      </w:pPr>
    </w:p>
    <w:p w14:paraId="147D8F3A" w14:textId="4B9675BC" w:rsidR="00C5351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 xml:space="preserve">Madrid, </w:t>
      </w:r>
      <w:r w:rsidR="009A14AA">
        <w:rPr>
          <w:rFonts w:ascii="Open Sans Light" w:eastAsia="Open Sans Light" w:hAnsi="Open Sans Light" w:cs="Open Sans Light"/>
          <w:b/>
          <w:color w:val="303AB2"/>
        </w:rPr>
        <w:t>23</w:t>
      </w:r>
      <w:r>
        <w:rPr>
          <w:rFonts w:ascii="Open Sans Light" w:eastAsia="Open Sans Light" w:hAnsi="Open Sans Light" w:cs="Open Sans Light"/>
          <w:b/>
          <w:color w:val="303AB2"/>
        </w:rPr>
        <w:t xml:space="preserve"> de agosto de 2024</w:t>
      </w:r>
    </w:p>
    <w:p w14:paraId="2FEC7046" w14:textId="77777777" w:rsidR="00C53517" w:rsidRDefault="00C535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1C9BFCDB" w14:textId="77777777" w:rsidR="00C53517" w:rsidRDefault="00000000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Uno de los elementos que se tienen en cuenta a la hora de trasladarse a una zona rural son los servicios. Esta cuestión, en parte, viene ligada al tamaño de la población. Por eso, a la hora de hablar de los demandantes de vivienda que se van a instalar en un pueblo o que les gustaría hacerlo es pertinente saber qué tipo de localidad es más idónea.</w:t>
      </w:r>
    </w:p>
    <w:p w14:paraId="274025B7" w14:textId="77777777" w:rsidR="00C53517" w:rsidRDefault="00C53517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62F3B43F" w14:textId="77777777" w:rsidR="00C53517" w:rsidRDefault="00000000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  <w:bookmarkStart w:id="0" w:name="_heading=h.gjdgxs" w:colFirst="0" w:colLast="0"/>
      <w:bookmarkEnd w:id="0"/>
      <w:r>
        <w:rPr>
          <w:rFonts w:ascii="Open Sans" w:eastAsia="Open Sans" w:hAnsi="Open Sans" w:cs="Open Sans"/>
        </w:rPr>
        <w:t xml:space="preserve">En este sentido, hay una preferencia clara: </w:t>
      </w:r>
      <w:r>
        <w:rPr>
          <w:rFonts w:ascii="Open Sans" w:eastAsia="Open Sans" w:hAnsi="Open Sans" w:cs="Open Sans"/>
          <w:b/>
        </w:rPr>
        <w:t>el 76% prefiere pueblos de más de 1.000 habitantes (69% en 2023).</w:t>
      </w:r>
      <w:r>
        <w:rPr>
          <w:rFonts w:ascii="Open Sans" w:eastAsia="Open Sans" w:hAnsi="Open Sans" w:cs="Open Sans"/>
        </w:rPr>
        <w:t xml:space="preserve"> Esta cifra se compone del 32% que se decanta por lugares que tengan entre 1.001 y 5.000 habitantes y del 44% cuya preferencia son los que oscilan entre 5.001 y 10.000 habitantes, según muestra el “</w:t>
      </w:r>
      <w:r>
        <w:rPr>
          <w:rFonts w:ascii="Open Sans" w:eastAsia="Open Sans" w:hAnsi="Open Sans" w:cs="Open Sans"/>
          <w:b/>
          <w:i/>
        </w:rPr>
        <w:t>Análisis sobre la España Vaciada</w:t>
      </w:r>
      <w:r>
        <w:rPr>
          <w:rFonts w:ascii="Open Sans" w:eastAsia="Open Sans" w:hAnsi="Open Sans" w:cs="Open Sans"/>
        </w:rPr>
        <w:t xml:space="preserve">” realizado por </w:t>
      </w:r>
      <w:r>
        <w:rPr>
          <w:rFonts w:ascii="Open Sans" w:eastAsia="Open Sans" w:hAnsi="Open Sans" w:cs="Open Sans"/>
          <w:b/>
        </w:rPr>
        <w:t xml:space="preserve">Fotocasa </w:t>
      </w:r>
      <w:proofErr w:type="spellStart"/>
      <w:r>
        <w:rPr>
          <w:rFonts w:ascii="Open Sans" w:eastAsia="Open Sans" w:hAnsi="Open Sans" w:cs="Open Sans"/>
          <w:b/>
        </w:rPr>
        <w:t>Research</w:t>
      </w:r>
      <w:proofErr w:type="spellEnd"/>
      <w:r>
        <w:rPr>
          <w:rFonts w:ascii="Open Sans" w:eastAsia="Open Sans" w:hAnsi="Open Sans" w:cs="Open Sans"/>
        </w:rPr>
        <w:t xml:space="preserve"> de la mano del </w:t>
      </w:r>
      <w:hyperlink r:id="rId9">
        <w:r>
          <w:rPr>
            <w:rFonts w:ascii="Open Sans" w:eastAsia="Open Sans" w:hAnsi="Open Sans" w:cs="Open Sans"/>
            <w:color w:val="0000FF"/>
            <w:u w:val="single"/>
          </w:rPr>
          <w:t>Proyecto Vivienda</w:t>
        </w:r>
      </w:hyperlink>
      <w:r>
        <w:rPr>
          <w:rFonts w:ascii="Open Sans" w:eastAsia="Open Sans" w:hAnsi="Open Sans" w:cs="Open Sans"/>
        </w:rPr>
        <w:t xml:space="preserve"> de </w:t>
      </w:r>
      <w:hyperlink r:id="rId10">
        <w:r>
          <w:rPr>
            <w:rFonts w:ascii="Open Sans" w:eastAsia="Open Sans" w:hAnsi="Open Sans" w:cs="Open Sans"/>
            <w:color w:val="0000FF"/>
            <w:u w:val="single"/>
          </w:rPr>
          <w:t>Fotocasa</w:t>
        </w:r>
      </w:hyperlink>
      <w:r>
        <w:rPr>
          <w:rFonts w:ascii="Open Sans" w:eastAsia="Open Sans" w:hAnsi="Open Sans" w:cs="Open Sans"/>
        </w:rPr>
        <w:t xml:space="preserve">. </w:t>
      </w:r>
    </w:p>
    <w:p w14:paraId="3A56BBC4" w14:textId="77777777" w:rsidR="00C53517" w:rsidRDefault="00C53517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2C6E10BE" w14:textId="77777777" w:rsidR="00C53517" w:rsidRDefault="00000000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 xml:space="preserve">Además, este segundo grupo (de 5.001 a 10.000 habitantes), ha crecido de manera estadísticamente significativa en el último año: </w:t>
      </w:r>
      <w:r>
        <w:rPr>
          <w:rFonts w:ascii="Open Sans" w:eastAsia="Open Sans" w:hAnsi="Open Sans" w:cs="Open Sans"/>
          <w:b/>
        </w:rPr>
        <w:t>en 2023 eran el 36% los que preferían este tipo de localidades y en 2024 son el 44%.</w:t>
      </w:r>
    </w:p>
    <w:p w14:paraId="158507E4" w14:textId="77777777" w:rsidR="00C53517" w:rsidRDefault="00C53517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2B8C7884" w14:textId="77777777" w:rsidR="00C53517" w:rsidRDefault="00000000">
      <w:pPr>
        <w:spacing w:line="276" w:lineRule="auto"/>
        <w:ind w:right="4"/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</w:rPr>
        <w:t xml:space="preserve">En contraposición, durante el último año ha decrecido el interés por los pueblos que tienen entre </w:t>
      </w:r>
      <w:r>
        <w:rPr>
          <w:rFonts w:ascii="Open Sans" w:eastAsia="Open Sans" w:hAnsi="Open Sans" w:cs="Open Sans"/>
          <w:b/>
        </w:rPr>
        <w:t xml:space="preserve">101 y 1.000 habitantes: un 19% elegiría esta opción, frente al 23% que lo hacía en 2023. </w:t>
      </w:r>
    </w:p>
    <w:p w14:paraId="46F82CC1" w14:textId="77777777" w:rsidR="00C53517" w:rsidRDefault="00C53517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67491C72" w14:textId="7AD52870" w:rsidR="009A14AA" w:rsidRDefault="00000000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Aparte de estas opciones, en último lugar se encuentran las poblaciones de </w:t>
      </w:r>
      <w:r>
        <w:rPr>
          <w:rFonts w:ascii="Open Sans" w:eastAsia="Open Sans" w:hAnsi="Open Sans" w:cs="Open Sans"/>
          <w:b/>
        </w:rPr>
        <w:t>menos de 100 habitantes, que serían las preferidas por solamente el 6%</w:t>
      </w:r>
      <w:r>
        <w:rPr>
          <w:rFonts w:ascii="Open Sans" w:eastAsia="Open Sans" w:hAnsi="Open Sans" w:cs="Open Sans"/>
        </w:rPr>
        <w:t xml:space="preserve"> de los demandantes de vivienda mayores de 18 años (8% en 2023). </w:t>
      </w:r>
    </w:p>
    <w:p w14:paraId="56B0DE77" w14:textId="0A722830" w:rsidR="009A14AA" w:rsidRPr="009A14AA" w:rsidRDefault="009A14AA" w:rsidP="009A14AA">
      <w:pPr>
        <w:jc w:val="both"/>
        <w:rPr>
          <w:rFonts w:ascii="Open Sans" w:eastAsia="Open Sans" w:hAnsi="Open Sans" w:cs="Open Sans"/>
          <w:lang w:val="es-ES"/>
        </w:rPr>
      </w:pPr>
      <w:r w:rsidRPr="009A14AA">
        <w:rPr>
          <w:rFonts w:ascii="Open Sans" w:eastAsia="Open Sans" w:hAnsi="Open Sans" w:cs="Open Sans"/>
          <w:lang w:val="es-ES"/>
        </w:rPr>
        <w:drawing>
          <wp:inline distT="0" distB="0" distL="0" distR="0" wp14:anchorId="345C5EE2" wp14:editId="2AEA2B55">
            <wp:extent cx="5760720" cy="3455670"/>
            <wp:effectExtent l="0" t="0" r="0" b="0"/>
            <wp:docPr id="908978232" name="Imagen 2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78232" name="Imagen 2" descr="Gráfico, Gráfico de barra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8CFF5" w14:textId="77777777" w:rsidR="00C53517" w:rsidRDefault="00C53517">
      <w:pPr>
        <w:jc w:val="both"/>
        <w:rPr>
          <w:rFonts w:ascii="Open Sans" w:eastAsia="Open Sans" w:hAnsi="Open Sans" w:cs="Open Sans"/>
        </w:rPr>
      </w:pPr>
    </w:p>
    <w:p w14:paraId="47EED5FA" w14:textId="67A11D33" w:rsidR="00C53517" w:rsidRDefault="00000000">
      <w:pPr>
        <w:spacing w:line="276" w:lineRule="auto"/>
        <w:jc w:val="both"/>
      </w:pPr>
      <w:r>
        <w:rPr>
          <w:rFonts w:ascii="Open Sans" w:eastAsia="Open Sans" w:hAnsi="Open Sans" w:cs="Open Sans"/>
        </w:rPr>
        <w:t xml:space="preserve">“Es habitual que muchas personas opten por vivir en áreas de mayor contacto con la naturaleza, alejadas de los centros urbanos, en busca de tranquilidad y bienestar, teniendo en cuenta que cada vez las ciudades acogen a más población. Mejorar la calidad de vida es una prioridad para la mayoría, y estos beneficios son más accesibles en la periferia que en el centro de las grandes ciudades. La contaminación acústica y ambiental de las urbes fomenta el éxodo hacia las zonas rurales para establecer una residencia habitual. Además, desde el impacto de la pandemia, se han generado cambios sociales y habitacionales que brindan nuevas oportunidades a las áreas rurales para combatir la despoblación”, </w:t>
      </w:r>
      <w:r w:rsidRPr="009A14AA">
        <w:rPr>
          <w:rFonts w:ascii="Open Sans" w:eastAsia="Open Sans" w:hAnsi="Open Sans" w:cs="Open Sans"/>
          <w:b/>
          <w:bCs/>
        </w:rPr>
        <w:t xml:space="preserve">comenta María Matos, directora de Estudios y portavoz de </w:t>
      </w:r>
      <w:hyperlink r:id="rId12">
        <w:r w:rsidR="009A14AA">
          <w:rPr>
            <w:rFonts w:ascii="Open Sans" w:eastAsia="Open Sans" w:hAnsi="Open Sans" w:cs="Open Sans"/>
            <w:color w:val="0000FF"/>
            <w:u w:val="single"/>
          </w:rPr>
          <w:t>Fotocasa</w:t>
        </w:r>
      </w:hyperlink>
      <w:r w:rsidRPr="009A14AA">
        <w:rPr>
          <w:rFonts w:ascii="Open Sans" w:eastAsia="Open Sans" w:hAnsi="Open Sans" w:cs="Open Sans"/>
          <w:b/>
          <w:bCs/>
        </w:rPr>
        <w:t>.</w:t>
      </w:r>
    </w:p>
    <w:p w14:paraId="3093A7EC" w14:textId="77777777" w:rsidR="00C53517" w:rsidRDefault="00C53517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2B9DC2E1" w14:textId="77777777" w:rsidR="00C5351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lastRenderedPageBreak/>
        <w:t>Andalucía y Cataluña, las comunidades con más particulares que planean irse a una zona rural próximamente</w:t>
      </w:r>
    </w:p>
    <w:p w14:paraId="5E4A09C7" w14:textId="77777777" w:rsidR="00C53517" w:rsidRDefault="00C53517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5966018A" w14:textId="77777777" w:rsidR="00C53517" w:rsidRDefault="00000000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Otra perspectiva desde la que resulta interesante hacer este análisis es la territorial. En este sentido, </w:t>
      </w:r>
      <w:r>
        <w:rPr>
          <w:rFonts w:ascii="Open Sans" w:eastAsia="Open Sans" w:hAnsi="Open Sans" w:cs="Open Sans"/>
          <w:b/>
        </w:rPr>
        <w:t>Andalucía y Cataluña son las comunidades autónomas en las que hay más demandantes de vivienda a los que les gusta la idea de irse a vivir a un pueblo o planean hacerlo</w:t>
      </w:r>
      <w:r>
        <w:rPr>
          <w:rFonts w:ascii="Open Sans" w:eastAsia="Open Sans" w:hAnsi="Open Sans" w:cs="Open Sans"/>
        </w:rPr>
        <w:t xml:space="preserve">. Son el 68% y el 61%, respectivamente. </w:t>
      </w:r>
    </w:p>
    <w:p w14:paraId="3955FAB4" w14:textId="77777777" w:rsidR="00C53517" w:rsidRDefault="00000000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Además, en estas comunidades también despuntan aquellos demandantes de vivienda que </w:t>
      </w:r>
      <w:r>
        <w:rPr>
          <w:rFonts w:ascii="Open Sans" w:eastAsia="Open Sans" w:hAnsi="Open Sans" w:cs="Open Sans"/>
          <w:b/>
        </w:rPr>
        <w:t>aseguran tener previsto trasladarse a un entorno rural próximamente.</w:t>
      </w:r>
      <w:r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  <w:b/>
        </w:rPr>
        <w:t>En el caso de Andalucía son el 13% y en el de Cataluña el 11%.</w:t>
      </w:r>
      <w:r>
        <w:rPr>
          <w:rFonts w:ascii="Open Sans" w:eastAsia="Open Sans" w:hAnsi="Open Sans" w:cs="Open Sans"/>
        </w:rPr>
        <w:t xml:space="preserve"> </w:t>
      </w:r>
    </w:p>
    <w:p w14:paraId="327F90A0" w14:textId="77777777" w:rsidR="00C53517" w:rsidRDefault="00C53517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62DC1DAB" w14:textId="77777777" w:rsidR="00C53517" w:rsidRDefault="00000000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Tras estas dos comunidades se sitúa la </w:t>
      </w:r>
      <w:r>
        <w:rPr>
          <w:rFonts w:ascii="Open Sans" w:eastAsia="Open Sans" w:hAnsi="Open Sans" w:cs="Open Sans"/>
          <w:b/>
        </w:rPr>
        <w:t>Comunidad Valenciana</w:t>
      </w:r>
      <w:r>
        <w:rPr>
          <w:rFonts w:ascii="Open Sans" w:eastAsia="Open Sans" w:hAnsi="Open Sans" w:cs="Open Sans"/>
        </w:rPr>
        <w:t xml:space="preserve">. Allí, la suma de los que se sienten atraídos por la idea de mudarse a un pueblo y los que prevén hacerlo representa al 60% de los demandantes de vivienda. </w:t>
      </w:r>
    </w:p>
    <w:p w14:paraId="316B1744" w14:textId="77777777" w:rsidR="00C53517" w:rsidRDefault="00C53517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746865FD" w14:textId="77777777" w:rsidR="00C53517" w:rsidRDefault="00000000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En este territorio, además, se ha producido un cambio relevante estadísticamente en comparación con 2023: </w:t>
      </w:r>
      <w:r>
        <w:rPr>
          <w:rFonts w:ascii="Open Sans" w:eastAsia="Open Sans" w:hAnsi="Open Sans" w:cs="Open Sans"/>
          <w:b/>
        </w:rPr>
        <w:t>el porcentaje de particulares que afirmaba tener planes efectivos de trasladarse a una zona rural con un teletrabajo ha caído del 6% al 1%</w:t>
      </w:r>
      <w:r>
        <w:rPr>
          <w:rFonts w:ascii="Open Sans" w:eastAsia="Open Sans" w:hAnsi="Open Sans" w:cs="Open Sans"/>
        </w:rPr>
        <w:t xml:space="preserve">. Y, en consecuencia, la cifra de demandantes de vivienda valencianos que planean irse a un pueblo próximamente ha pasado del 16% en 2023 al 8% actual. </w:t>
      </w:r>
    </w:p>
    <w:p w14:paraId="641D9664" w14:textId="77777777" w:rsidR="00C53517" w:rsidRDefault="00C53517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5E1F615A" w14:textId="77777777" w:rsidR="00C53517" w:rsidRDefault="00000000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Por lo que se refiere a la </w:t>
      </w:r>
      <w:r>
        <w:rPr>
          <w:rFonts w:ascii="Open Sans" w:eastAsia="Open Sans" w:hAnsi="Open Sans" w:cs="Open Sans"/>
          <w:b/>
        </w:rPr>
        <w:t>Comunidad de Madrid, solamente al 56% le gusta la idea de marcharse a un pueblo a vivir o planea hacerlo</w:t>
      </w:r>
      <w:r>
        <w:rPr>
          <w:rFonts w:ascii="Open Sans" w:eastAsia="Open Sans" w:hAnsi="Open Sans" w:cs="Open Sans"/>
        </w:rPr>
        <w:t>. Este segundo grupo, el de aquellos que tienen planes efectivos, está compuesto por un 8% que se divide a partes iguales entre los que se van a mudar gracias a un cambio de empleo o gracias al teletrabajo.</w:t>
      </w:r>
    </w:p>
    <w:p w14:paraId="74E6B087" w14:textId="77777777" w:rsidR="00C53517" w:rsidRDefault="00C53517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441BEC04" w14:textId="77777777" w:rsidR="00443DFB" w:rsidRDefault="00443DFB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1A9C88C2" w14:textId="77777777" w:rsidR="00443DFB" w:rsidRDefault="00443DFB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1BCDA597" w14:textId="77777777" w:rsidR="00443DFB" w:rsidRDefault="00443DFB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77587A6E" w14:textId="77777777" w:rsidR="00443DFB" w:rsidRDefault="00443DFB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619594C2" w14:textId="77777777" w:rsidR="00443DFB" w:rsidRDefault="00443DFB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2F5DD391" w14:textId="77777777" w:rsidR="00443DFB" w:rsidRDefault="00443DFB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510F2E64" w14:textId="77777777" w:rsidR="00C53517" w:rsidRDefault="00C53517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7768CC61" w14:textId="46F52BD8" w:rsidR="00443DFB" w:rsidRPr="00443DFB" w:rsidRDefault="00443DFB" w:rsidP="00443DFB">
      <w:pPr>
        <w:spacing w:line="276" w:lineRule="auto"/>
        <w:ind w:right="4"/>
        <w:jc w:val="both"/>
        <w:rPr>
          <w:b/>
          <w:smallCaps/>
          <w:color w:val="323FAC"/>
          <w:lang w:val="es-ES"/>
        </w:rPr>
      </w:pPr>
      <w:r w:rsidRPr="00443DFB">
        <w:rPr>
          <w:b/>
          <w:smallCaps/>
          <w:color w:val="323FAC"/>
          <w:lang w:val="es-ES"/>
        </w:rPr>
        <w:lastRenderedPageBreak/>
        <w:drawing>
          <wp:inline distT="0" distB="0" distL="0" distR="0" wp14:anchorId="7ED61ECE" wp14:editId="71EA5316">
            <wp:extent cx="5760720" cy="4205605"/>
            <wp:effectExtent l="0" t="0" r="0" b="4445"/>
            <wp:docPr id="1506244696" name="Imagen 4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244696" name="Imagen 4" descr="Gráfico, Gráfico de barra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C9BD4" w14:textId="77777777" w:rsidR="00C53517" w:rsidRDefault="00C53517">
      <w:pPr>
        <w:spacing w:line="276" w:lineRule="auto"/>
        <w:ind w:right="4"/>
        <w:jc w:val="both"/>
        <w:rPr>
          <w:rFonts w:ascii="Open Sans" w:eastAsia="Open Sans" w:hAnsi="Open Sans" w:cs="Open Sans"/>
        </w:rPr>
      </w:pPr>
    </w:p>
    <w:p w14:paraId="576313C4" w14:textId="77777777" w:rsidR="00C53517" w:rsidRDefault="00000000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>Sobre Fotocasa</w:t>
      </w:r>
    </w:p>
    <w:p w14:paraId="0EFA3ADF" w14:textId="77777777" w:rsidR="00C53517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Portal inmobiliario que cuenta con inmuebles de segunda mano, promociones de obra nueva y viviendas de alquiler. Cada mes genera un tráfico de 34 millones de visitas (75% a través de dispositivos móviles). Mensualmente elabora el </w:t>
      </w:r>
      <w:hyperlink r:id="rId14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índice inmobiliario 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un informe de referencia sobre la evolución del precio medio de la vivienda en España, tanto en venta como en alquiler. Toda nuestra información la puedes encontrar en nuestra </w:t>
      </w:r>
      <w:hyperlink r:id="rId15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Sala de Prensa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bookmarkStart w:id="1" w:name="_heading=h.2s8eyo1" w:colFirst="0" w:colLast="0"/>
    <w:bookmarkEnd w:id="1"/>
    <w:p w14:paraId="30B1295F" w14:textId="77777777" w:rsidR="00C53517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fldChar w:fldCharType="begin"/>
      </w:r>
      <w:r>
        <w:instrText>HYPERLINK "http://www.fotocasa.es/" \h</w:instrText>
      </w:r>
      <w:r>
        <w:fldChar w:fldCharType="separate"/>
      </w:r>
      <w:r>
        <w:rPr>
          <w:rFonts w:ascii="Open Sans" w:eastAsia="Open Sans" w:hAnsi="Open Sans" w:cs="Open Sans"/>
          <w:b/>
          <w:color w:val="0000FF"/>
          <w:sz w:val="22"/>
          <w:szCs w:val="22"/>
          <w:u w:val="single"/>
        </w:rPr>
        <w:t>Fotocasa</w:t>
      </w:r>
      <w:r>
        <w:rPr>
          <w:rFonts w:ascii="Open Sans" w:eastAsia="Open Sans" w:hAnsi="Open Sans" w:cs="Open Sans"/>
          <w:b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sz w:val="22"/>
          <w:szCs w:val="22"/>
        </w:rPr>
        <w:t> pertenece a </w:t>
      </w:r>
      <w:proofErr w:type="spellStart"/>
      <w:r>
        <w:fldChar w:fldCharType="begin"/>
      </w:r>
      <w:r>
        <w:instrText>HYPERLINK "https://www.adevinta.com/" \h</w:instrText>
      </w:r>
      <w:r>
        <w:fldChar w:fldCharType="separate"/>
      </w:r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t>Adevinta</w:t>
      </w:r>
      <w:proofErr w:type="spellEnd"/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sz w:val="22"/>
          <w:szCs w:val="22"/>
        </w:rPr>
        <w:t xml:space="preserve">, una empresa 100% especializada en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Marketplaces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digitales y el único “pure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player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” del sector a nivel mundial. </w:t>
      </w:r>
    </w:p>
    <w:p w14:paraId="178CE95F" w14:textId="77777777" w:rsidR="00C53517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hyperlink r:id="rId16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Más información sobre 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p w14:paraId="13E19C69" w14:textId="77777777" w:rsidR="00C53517" w:rsidRDefault="00C53517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513A12C7" w14:textId="77777777" w:rsidR="00C53517" w:rsidRDefault="00000000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 xml:space="preserve">Sobre </w:t>
      </w:r>
      <w:proofErr w:type="spellStart"/>
      <w:r>
        <w:rPr>
          <w:rFonts w:ascii="Open Sans Light" w:eastAsia="Open Sans Light" w:hAnsi="Open Sans Light" w:cs="Open Sans Light"/>
          <w:b/>
          <w:color w:val="303AB2"/>
        </w:rPr>
        <w:t>Adevinta</w:t>
      </w:r>
      <w:proofErr w:type="spellEnd"/>
      <w:r>
        <w:rPr>
          <w:rFonts w:ascii="Open Sans Light" w:eastAsia="Open Sans Light" w:hAnsi="Open Sans Light" w:cs="Open Sans Light"/>
          <w:b/>
          <w:color w:val="303AB2"/>
        </w:rPr>
        <w:t xml:space="preserve"> </w:t>
      </w:r>
      <w:proofErr w:type="spellStart"/>
      <w:r>
        <w:rPr>
          <w:rFonts w:ascii="Open Sans Light" w:eastAsia="Open Sans Light" w:hAnsi="Open Sans Light" w:cs="Open Sans Light"/>
          <w:b/>
          <w:color w:val="303AB2"/>
        </w:rPr>
        <w:t>Spain</w:t>
      </w:r>
      <w:proofErr w:type="spellEnd"/>
    </w:p>
    <w:p w14:paraId="3BEF43B2" w14:textId="77777777" w:rsidR="00C53517" w:rsidRDefault="00000000">
      <w:pPr>
        <w:spacing w:before="143" w:after="200"/>
        <w:jc w:val="both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  <w:sz w:val="22"/>
          <w:szCs w:val="22"/>
        </w:rPr>
        <w:t>Adevinta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Spain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es una compañía líder en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marketplaces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digitales y una de las principales empresas del sector tecnológico del país, con más de 18 millones de usuarios al mes en sus plataformas de los sectores inmobiliario (</w:t>
      </w:r>
      <w:hyperlink r:id="rId17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r>
        <w:rPr>
          <w:rFonts w:ascii="Open Sans" w:eastAsia="Open Sans" w:hAnsi="Open Sans" w:cs="Open Sans"/>
          <w:sz w:val="22"/>
          <w:szCs w:val="22"/>
        </w:rPr>
        <w:t>y</w:t>
      </w:r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hyperlink r:id="rId18">
        <w:proofErr w:type="spellStart"/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habitaclia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>), empleo (</w:t>
      </w:r>
      <w:hyperlink r:id="rId19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InfoJobs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), </w:t>
      </w:r>
      <w:r>
        <w:rPr>
          <w:rFonts w:ascii="Open Sans" w:eastAsia="Open Sans" w:hAnsi="Open Sans" w:cs="Open Sans"/>
          <w:sz w:val="22"/>
          <w:szCs w:val="22"/>
        </w:rPr>
        <w:lastRenderedPageBreak/>
        <w:t>motor (</w:t>
      </w:r>
      <w:hyperlink r:id="rId20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coches.net</w:t>
        </w:r>
      </w:hyperlink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r>
        <w:rPr>
          <w:rFonts w:ascii="Open Sans" w:eastAsia="Open Sans" w:hAnsi="Open Sans" w:cs="Open Sans"/>
          <w:sz w:val="22"/>
          <w:szCs w:val="22"/>
        </w:rPr>
        <w:t>y</w:t>
      </w:r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hyperlink r:id="rId21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motos.net</w:t>
        </w:r>
      </w:hyperlink>
      <w:r>
        <w:rPr>
          <w:rFonts w:ascii="Open Sans" w:eastAsia="Open Sans" w:hAnsi="Open Sans" w:cs="Open Sans"/>
          <w:sz w:val="22"/>
          <w:szCs w:val="22"/>
        </w:rPr>
        <w:t>) y compraventa de artículos de segunda mano (</w:t>
      </w:r>
      <w:proofErr w:type="spellStart"/>
      <w:r>
        <w:fldChar w:fldCharType="begin"/>
      </w:r>
      <w:r>
        <w:instrText>HYPERLINK "https://www.milanuncios.com/" \h</w:instrText>
      </w:r>
      <w:r>
        <w:fldChar w:fldCharType="separate"/>
      </w:r>
      <w:r>
        <w:rPr>
          <w:rFonts w:ascii="Open Sans" w:eastAsia="Open Sans" w:hAnsi="Open Sans" w:cs="Open Sans"/>
          <w:color w:val="1155CC"/>
          <w:sz w:val="22"/>
          <w:szCs w:val="22"/>
          <w:u w:val="single"/>
        </w:rPr>
        <w:t>Milanuncios</w:t>
      </w:r>
      <w:proofErr w:type="spellEnd"/>
      <w:r>
        <w:rPr>
          <w:rFonts w:ascii="Open Sans" w:eastAsia="Open Sans" w:hAnsi="Open Sans" w:cs="Open Sans"/>
          <w:color w:val="1155CC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sz w:val="22"/>
          <w:szCs w:val="22"/>
        </w:rPr>
        <w:t>).</w:t>
      </w:r>
    </w:p>
    <w:p w14:paraId="6504D09D" w14:textId="77777777" w:rsidR="00C53517" w:rsidRDefault="00000000">
      <w:pPr>
        <w:spacing w:before="143" w:after="200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Los negocios de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Adevinta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han evolucionado del papel al online a lo largo de más de 40 años de trayectoria en España, convirtiéndose en referentes de Internet. La sede de la compañía está en Barcelona y cuenta con una plantilla de 1.200 personas comprometidas con fomentar un cambio positivo en el mundo a través de tecnología innovadora, otorgando una nueva oportunidad a quienes la están buscando y dando a las cosas una segunda vida.</w:t>
      </w:r>
    </w:p>
    <w:p w14:paraId="04C405C8" w14:textId="77777777" w:rsidR="00C53517" w:rsidRDefault="00000000">
      <w:pPr>
        <w:spacing w:before="143" w:after="200"/>
        <w:jc w:val="both"/>
        <w:rPr>
          <w:rFonts w:ascii="Open Sans" w:eastAsia="Open Sans" w:hAnsi="Open Sans" w:cs="Open Sans"/>
          <w:sz w:val="22"/>
          <w:szCs w:val="22"/>
        </w:rPr>
      </w:pPr>
      <w:proofErr w:type="spellStart"/>
      <w:r>
        <w:rPr>
          <w:rFonts w:ascii="Open Sans" w:eastAsia="Open Sans" w:hAnsi="Open Sans" w:cs="Open Sans"/>
          <w:sz w:val="22"/>
          <w:szCs w:val="22"/>
        </w:rPr>
        <w:t>Adevinta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tiene presencia mundial en 10 países. El conjunto de sus plataformas locales recibe un promedio de 3.000 millones de visitas cada mes. </w:t>
      </w:r>
    </w:p>
    <w:p w14:paraId="6F1E8EF6" w14:textId="77777777" w:rsidR="00C53517" w:rsidRDefault="00000000">
      <w:pPr>
        <w:spacing w:line="276" w:lineRule="auto"/>
        <w:jc w:val="righ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sz w:val="22"/>
          <w:szCs w:val="22"/>
        </w:rPr>
        <w:t xml:space="preserve">Más información en </w:t>
      </w:r>
      <w:hyperlink r:id="rId22">
        <w:r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adevinta.es</w:t>
        </w:r>
      </w:hyperlink>
    </w:p>
    <w:p w14:paraId="025F743F" w14:textId="77777777" w:rsidR="00C53517" w:rsidRDefault="00C53517">
      <w:pPr>
        <w:spacing w:line="276" w:lineRule="auto"/>
        <w:jc w:val="right"/>
        <w:rPr>
          <w:rFonts w:ascii="Open Sans" w:eastAsia="Open Sans" w:hAnsi="Open Sans" w:cs="Open Sans"/>
        </w:rPr>
      </w:pPr>
    </w:p>
    <w:p w14:paraId="22FB588D" w14:textId="77777777" w:rsidR="00C53517" w:rsidRDefault="00000000">
      <w:pPr>
        <w:spacing w:line="276" w:lineRule="auto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>Departamento Comunicación Fotocasa</w:t>
      </w:r>
    </w:p>
    <w:p w14:paraId="1F80CD87" w14:textId="77777777" w:rsidR="00C53517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b/>
          <w:color w:val="000000"/>
          <w:sz w:val="22"/>
          <w:szCs w:val="22"/>
        </w:rPr>
      </w:pPr>
      <w:r>
        <w:rPr>
          <w:rFonts w:ascii="Open Sans" w:eastAsia="Open Sans" w:hAnsi="Open Sans" w:cs="Open Sans"/>
          <w:b/>
          <w:color w:val="000000"/>
          <w:sz w:val="22"/>
          <w:szCs w:val="22"/>
        </w:rPr>
        <w:t>Anaïs López</w:t>
      </w:r>
    </w:p>
    <w:p w14:paraId="2B597648" w14:textId="77777777" w:rsidR="00C53517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color w:val="0000FF"/>
          <w:sz w:val="22"/>
          <w:szCs w:val="22"/>
          <w:u w:val="single"/>
        </w:rPr>
      </w:pPr>
      <w:hyperlink r:id="rId23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comunicacion@fotocasa.es</w:t>
        </w:r>
      </w:hyperlink>
    </w:p>
    <w:p w14:paraId="221B7183" w14:textId="77777777" w:rsidR="00C53517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620 66 29 26</w:t>
      </w:r>
    </w:p>
    <w:p w14:paraId="11DE81C3" w14:textId="77777777" w:rsidR="00C53517" w:rsidRDefault="00C53517">
      <w:pPr>
        <w:spacing w:line="276" w:lineRule="auto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</w:p>
    <w:p w14:paraId="2024E125" w14:textId="77777777" w:rsidR="00C53517" w:rsidRDefault="00C53517">
      <w:pPr>
        <w:spacing w:line="276" w:lineRule="auto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</w:p>
    <w:p w14:paraId="41DE10F9" w14:textId="77777777" w:rsidR="00C53517" w:rsidRDefault="00000000">
      <w:pPr>
        <w:ind w:right="-433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 xml:space="preserve">Llorente y Cuenca    </w:t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  <w:t xml:space="preserve">       </w:t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</w:r>
    </w:p>
    <w:p w14:paraId="7F3DF3B3" w14:textId="77777777" w:rsidR="00C53517" w:rsidRDefault="00000000">
      <w:pPr>
        <w:shd w:val="clear" w:color="auto" w:fill="FFFFFF"/>
        <w:ind w:right="-433"/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b/>
          <w:sz w:val="22"/>
          <w:szCs w:val="22"/>
        </w:rPr>
        <w:t>Fanny Merino</w:t>
      </w:r>
    </w:p>
    <w:p w14:paraId="06BB12AA" w14:textId="77777777" w:rsidR="00C53517" w:rsidRDefault="00000000">
      <w:pPr>
        <w:shd w:val="clear" w:color="auto" w:fill="FFFFFF"/>
        <w:ind w:right="-433"/>
        <w:rPr>
          <w:rFonts w:ascii="Open Sans" w:eastAsia="Open Sans" w:hAnsi="Open Sans" w:cs="Open Sans"/>
          <w:b/>
          <w:sz w:val="22"/>
          <w:szCs w:val="22"/>
        </w:rPr>
      </w:pPr>
      <w:hyperlink r:id="rId24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emerino@</w:t>
        </w:r>
      </w:hyperlink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t>llyc.global</w:t>
      </w:r>
      <w:r>
        <w:rPr>
          <w:rFonts w:ascii="Open Sans" w:eastAsia="Open Sans" w:hAnsi="Open Sans" w:cs="Open Sans"/>
          <w:color w:val="0000FF"/>
          <w:sz w:val="22"/>
          <w:szCs w:val="22"/>
        </w:rPr>
        <w:tab/>
      </w:r>
      <w:r>
        <w:rPr>
          <w:rFonts w:ascii="Open Sans" w:eastAsia="Open Sans" w:hAnsi="Open Sans" w:cs="Open Sans"/>
          <w:color w:val="0000FF"/>
          <w:sz w:val="22"/>
          <w:szCs w:val="22"/>
        </w:rPr>
        <w:tab/>
      </w:r>
    </w:p>
    <w:p w14:paraId="51C7C851" w14:textId="77777777" w:rsidR="00C53517" w:rsidRPr="009A14AA" w:rsidRDefault="00000000">
      <w:pPr>
        <w:shd w:val="clear" w:color="auto" w:fill="FFFFFF"/>
        <w:ind w:right="-433"/>
        <w:rPr>
          <w:rFonts w:ascii="Open Sans" w:eastAsia="Open Sans" w:hAnsi="Open Sans" w:cs="Open Sans"/>
          <w:sz w:val="22"/>
          <w:szCs w:val="22"/>
          <w:lang w:val="en-US"/>
        </w:rPr>
      </w:pPr>
      <w:r w:rsidRPr="009A14AA">
        <w:rPr>
          <w:rFonts w:ascii="Open Sans" w:eastAsia="Open Sans" w:hAnsi="Open Sans" w:cs="Open Sans"/>
          <w:sz w:val="22"/>
          <w:szCs w:val="22"/>
          <w:lang w:val="en-US"/>
        </w:rPr>
        <w:t>663 35 69 75 </w:t>
      </w:r>
      <w:r w:rsidRPr="009A14AA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9A14AA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9A14AA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9A14AA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9A14AA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9A14AA">
        <w:rPr>
          <w:rFonts w:ascii="Open Sans" w:eastAsia="Open Sans" w:hAnsi="Open Sans" w:cs="Open Sans"/>
          <w:sz w:val="22"/>
          <w:szCs w:val="22"/>
          <w:lang w:val="en-US"/>
        </w:rPr>
        <w:tab/>
      </w:r>
    </w:p>
    <w:p w14:paraId="785CACFB" w14:textId="77777777" w:rsidR="00C53517" w:rsidRPr="009A14AA" w:rsidRDefault="00000000">
      <w:pPr>
        <w:shd w:val="clear" w:color="auto" w:fill="FFFFFF"/>
        <w:ind w:right="-433"/>
        <w:rPr>
          <w:color w:val="222222"/>
          <w:sz w:val="22"/>
          <w:szCs w:val="22"/>
          <w:lang w:val="en-US"/>
        </w:rPr>
      </w:pPr>
      <w:r w:rsidRPr="009A14AA">
        <w:rPr>
          <w:color w:val="222222"/>
          <w:sz w:val="22"/>
          <w:szCs w:val="22"/>
          <w:lang w:val="en-US"/>
        </w:rPr>
        <w:tab/>
      </w:r>
      <w:r w:rsidRPr="009A14AA">
        <w:rPr>
          <w:color w:val="222222"/>
          <w:sz w:val="22"/>
          <w:szCs w:val="22"/>
          <w:lang w:val="en-US"/>
        </w:rPr>
        <w:tab/>
        <w:t xml:space="preserve">     </w:t>
      </w:r>
    </w:p>
    <w:p w14:paraId="1665060F" w14:textId="77777777" w:rsidR="00C53517" w:rsidRPr="009A14AA" w:rsidRDefault="00000000">
      <w:pPr>
        <w:shd w:val="clear" w:color="auto" w:fill="FFFFFF"/>
        <w:ind w:right="-433"/>
        <w:rPr>
          <w:rFonts w:ascii="Open Sans" w:eastAsia="Open Sans" w:hAnsi="Open Sans" w:cs="Open Sans"/>
          <w:b/>
          <w:sz w:val="22"/>
          <w:szCs w:val="22"/>
          <w:lang w:val="en-US"/>
        </w:rPr>
      </w:pPr>
      <w:r w:rsidRPr="009A14AA">
        <w:rPr>
          <w:rFonts w:ascii="Open Sans" w:eastAsia="Open Sans" w:hAnsi="Open Sans" w:cs="Open Sans"/>
          <w:b/>
          <w:sz w:val="22"/>
          <w:szCs w:val="22"/>
          <w:lang w:val="en-US"/>
        </w:rPr>
        <w:t xml:space="preserve">Judit </w:t>
      </w:r>
      <w:proofErr w:type="spellStart"/>
      <w:r w:rsidRPr="009A14AA">
        <w:rPr>
          <w:rFonts w:ascii="Open Sans" w:eastAsia="Open Sans" w:hAnsi="Open Sans" w:cs="Open Sans"/>
          <w:b/>
          <w:sz w:val="22"/>
          <w:szCs w:val="22"/>
          <w:lang w:val="en-US"/>
        </w:rPr>
        <w:t>Campillos</w:t>
      </w:r>
      <w:proofErr w:type="spellEnd"/>
    </w:p>
    <w:p w14:paraId="3CA61E14" w14:textId="77777777" w:rsidR="00C53517" w:rsidRPr="009A14AA" w:rsidRDefault="00000000">
      <w:pPr>
        <w:shd w:val="clear" w:color="auto" w:fill="FFFFFF"/>
        <w:ind w:right="-433"/>
        <w:rPr>
          <w:rFonts w:ascii="Open Sans" w:eastAsia="Open Sans" w:hAnsi="Open Sans" w:cs="Open Sans"/>
          <w:b/>
          <w:sz w:val="22"/>
          <w:szCs w:val="22"/>
          <w:lang w:val="en-US"/>
        </w:rPr>
      </w:pPr>
      <w:proofErr w:type="spellStart"/>
      <w:r w:rsidRPr="009A14AA">
        <w:rPr>
          <w:rFonts w:ascii="Open Sans" w:eastAsia="Open Sans" w:hAnsi="Open Sans" w:cs="Open Sans"/>
          <w:color w:val="0000FF"/>
          <w:sz w:val="22"/>
          <w:szCs w:val="22"/>
          <w:u w:val="single"/>
          <w:lang w:val="en-US"/>
        </w:rPr>
        <w:t>jcampillos</w:t>
      </w:r>
      <w:hyperlink r:id="rId25">
        <w:r w:rsidRPr="009A14AA">
          <w:rPr>
            <w:rFonts w:ascii="Open Sans" w:eastAsia="Open Sans" w:hAnsi="Open Sans" w:cs="Open Sans"/>
            <w:color w:val="0000FF"/>
            <w:sz w:val="22"/>
            <w:szCs w:val="22"/>
            <w:u w:val="single"/>
            <w:lang w:val="en-US"/>
          </w:rPr>
          <w:t>@ll</w:t>
        </w:r>
      </w:hyperlink>
      <w:proofErr w:type="gramStart"/>
      <w:r w:rsidRPr="009A14AA">
        <w:rPr>
          <w:rFonts w:ascii="Open Sans" w:eastAsia="Open Sans" w:hAnsi="Open Sans" w:cs="Open Sans"/>
          <w:color w:val="0000FF"/>
          <w:sz w:val="22"/>
          <w:szCs w:val="22"/>
          <w:u w:val="single"/>
          <w:lang w:val="en-US"/>
        </w:rPr>
        <w:t>yc.global</w:t>
      </w:r>
      <w:proofErr w:type="spellEnd"/>
      <w:proofErr w:type="gramEnd"/>
      <w:r w:rsidRPr="009A14AA">
        <w:rPr>
          <w:rFonts w:ascii="Open Sans" w:eastAsia="Open Sans" w:hAnsi="Open Sans" w:cs="Open Sans"/>
          <w:color w:val="0000FF"/>
          <w:sz w:val="22"/>
          <w:szCs w:val="22"/>
          <w:lang w:val="en-US"/>
        </w:rPr>
        <w:tab/>
      </w:r>
      <w:r w:rsidRPr="009A14AA">
        <w:rPr>
          <w:rFonts w:ascii="Open Sans" w:eastAsia="Open Sans" w:hAnsi="Open Sans" w:cs="Open Sans"/>
          <w:color w:val="0000FF"/>
          <w:sz w:val="22"/>
          <w:szCs w:val="22"/>
          <w:lang w:val="en-US"/>
        </w:rPr>
        <w:tab/>
      </w:r>
    </w:p>
    <w:p w14:paraId="4BDCBAAF" w14:textId="77777777" w:rsidR="00C53517" w:rsidRDefault="00000000">
      <w:pPr>
        <w:shd w:val="clear" w:color="auto" w:fill="FFFFFF"/>
        <w:ind w:right="-433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699 13 91 53</w:t>
      </w:r>
    </w:p>
    <w:p w14:paraId="6DF2A81C" w14:textId="77777777" w:rsidR="00C53517" w:rsidRDefault="00C53517">
      <w:pPr>
        <w:rPr>
          <w:rFonts w:ascii="Open Sans" w:eastAsia="Open Sans" w:hAnsi="Open Sans" w:cs="Open Sans"/>
          <w:color w:val="30302E"/>
          <w:sz w:val="22"/>
          <w:szCs w:val="22"/>
          <w:highlight w:val="white"/>
        </w:rPr>
      </w:pPr>
    </w:p>
    <w:p w14:paraId="11282087" w14:textId="77777777" w:rsidR="00C53517" w:rsidRDefault="00000000">
      <w:pPr>
        <w:rPr>
          <w:rFonts w:ascii="Open Sans" w:eastAsia="Open Sans" w:hAnsi="Open Sans" w:cs="Open Sans"/>
          <w:b/>
          <w:color w:val="30302E"/>
          <w:sz w:val="22"/>
          <w:szCs w:val="22"/>
          <w:highlight w:val="white"/>
        </w:rPr>
      </w:pPr>
      <w:r>
        <w:rPr>
          <w:rFonts w:ascii="Open Sans" w:eastAsia="Open Sans" w:hAnsi="Open Sans" w:cs="Open Sans"/>
          <w:b/>
          <w:color w:val="30302E"/>
          <w:sz w:val="22"/>
          <w:szCs w:val="22"/>
          <w:highlight w:val="white"/>
        </w:rPr>
        <w:t xml:space="preserve">Alicia </w:t>
      </w:r>
      <w:proofErr w:type="spellStart"/>
      <w:r>
        <w:rPr>
          <w:rFonts w:ascii="Open Sans" w:eastAsia="Open Sans" w:hAnsi="Open Sans" w:cs="Open Sans"/>
          <w:b/>
          <w:color w:val="30302E"/>
          <w:sz w:val="22"/>
          <w:szCs w:val="22"/>
          <w:highlight w:val="white"/>
        </w:rPr>
        <w:t>Salvatella</w:t>
      </w:r>
      <w:proofErr w:type="spellEnd"/>
    </w:p>
    <w:p w14:paraId="4B749350" w14:textId="77777777" w:rsidR="00C53517" w:rsidRDefault="00000000">
      <w:pPr>
        <w:rPr>
          <w:rFonts w:ascii="Open Sans" w:eastAsia="Open Sans" w:hAnsi="Open Sans" w:cs="Open Sans"/>
          <w:color w:val="0000FF"/>
          <w:sz w:val="22"/>
          <w:szCs w:val="22"/>
          <w:u w:val="single"/>
        </w:rPr>
      </w:pPr>
      <w:hyperlink r:id="rId26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alicia.salvatella@llyc.global</w:t>
        </w:r>
      </w:hyperlink>
    </w:p>
    <w:p w14:paraId="52444DB6" w14:textId="77777777" w:rsidR="00C53517" w:rsidRDefault="00000000">
      <w:pPr>
        <w:rPr>
          <w:rFonts w:ascii="Open Sans" w:eastAsia="Open Sans" w:hAnsi="Open Sans" w:cs="Open Sans"/>
          <w:color w:val="30302E"/>
          <w:sz w:val="22"/>
          <w:szCs w:val="22"/>
          <w:highlight w:val="white"/>
        </w:rPr>
      </w:pPr>
      <w:r>
        <w:rPr>
          <w:rFonts w:ascii="Open Sans" w:eastAsia="Open Sans" w:hAnsi="Open Sans" w:cs="Open Sans"/>
          <w:color w:val="30302E"/>
          <w:sz w:val="22"/>
          <w:szCs w:val="22"/>
          <w:highlight w:val="white"/>
        </w:rPr>
        <w:t>697 65 54 68</w:t>
      </w:r>
    </w:p>
    <w:p w14:paraId="21661D4E" w14:textId="77777777" w:rsidR="00C53517" w:rsidRDefault="00C53517">
      <w:pPr>
        <w:shd w:val="clear" w:color="auto" w:fill="FFFFFF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657EF92C" w14:textId="77777777" w:rsidR="00C53517" w:rsidRDefault="00C53517">
      <w:pPr>
        <w:shd w:val="clear" w:color="auto" w:fill="FFFFFF"/>
        <w:rPr>
          <w:rFonts w:ascii="Open Sans" w:eastAsia="Open Sans" w:hAnsi="Open Sans" w:cs="Open Sans"/>
          <w:color w:val="000000"/>
          <w:sz w:val="22"/>
          <w:szCs w:val="22"/>
        </w:rPr>
      </w:pPr>
    </w:p>
    <w:sectPr w:rsidR="00C53517">
      <w:footerReference w:type="default" r:id="rId27"/>
      <w:pgSz w:w="11900" w:h="16840"/>
      <w:pgMar w:top="1417" w:right="1127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9E966C" w14:textId="77777777" w:rsidR="00FE474E" w:rsidRDefault="00FE474E">
      <w:r>
        <w:separator/>
      </w:r>
    </w:p>
  </w:endnote>
  <w:endnote w:type="continuationSeparator" w:id="0">
    <w:p w14:paraId="484F6550" w14:textId="77777777" w:rsidR="00FE474E" w:rsidRDefault="00FE4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E592DF68-68D2-4D4B-AC15-4B57BE816CD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A26E20A-40DC-41C6-8A53-EFC1624A8E6A}"/>
    <w:embedBold r:id="rId3" w:fontKey="{511D1242-715C-4EC3-A10A-9439935ACC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2488FD4-C976-44EF-89E0-FEE4D601D4DE}"/>
    <w:embedItalic r:id="rId5" w:fontKey="{871A453F-87CB-49EE-B8C4-C746469E2B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C7C078D-3470-46F2-8F1E-26BE0D3B9237}"/>
  </w:font>
  <w:font w:name="National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C1631883-84A2-4C69-B9AA-367E34287CCC}"/>
    <w:embedBold r:id="rId8" w:fontKey="{0C2AB552-052E-41FD-B682-B7B980FBE601}"/>
    <w:embedBoldItalic r:id="rId9" w:fontKey="{B511C368-C2ED-434E-8749-16E5B3CC5F17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10" w:fontKey="{E5B08F4B-3D00-4255-97B0-9E3CB57F5B6F}"/>
    <w:embedBold r:id="rId11" w:fontKey="{42D61F91-9BD1-4D01-AFFE-0E68EAB3E5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2D4C58" w14:textId="77777777" w:rsidR="00C5351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ACE3705" wp14:editId="642184EB">
          <wp:simplePos x="0" y="0"/>
          <wp:positionH relativeFrom="column">
            <wp:posOffset>-1068053</wp:posOffset>
          </wp:positionH>
          <wp:positionV relativeFrom="paragraph">
            <wp:posOffset>174608</wp:posOffset>
          </wp:positionV>
          <wp:extent cx="7670550" cy="451315"/>
          <wp:effectExtent l="0" t="0" r="0" b="0"/>
          <wp:wrapNone/>
          <wp:docPr id="206681658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0550" cy="451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8C6227" w14:textId="77777777" w:rsidR="00FE474E" w:rsidRDefault="00FE474E">
      <w:r>
        <w:separator/>
      </w:r>
    </w:p>
  </w:footnote>
  <w:footnote w:type="continuationSeparator" w:id="0">
    <w:p w14:paraId="003C03EB" w14:textId="77777777" w:rsidR="00FE474E" w:rsidRDefault="00FE47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AF7829"/>
    <w:multiLevelType w:val="multilevel"/>
    <w:tmpl w:val="00201C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926111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517"/>
    <w:rsid w:val="002F0CD6"/>
    <w:rsid w:val="00443DFB"/>
    <w:rsid w:val="009A14AA"/>
    <w:rsid w:val="00C53517"/>
    <w:rsid w:val="00FE4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76FBD"/>
  <w15:docId w15:val="{4180CAC8-3DDF-4124-816E-536033EA4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c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0">
    <w:basedOn w:val="TableNormalc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character" w:styleId="Hipervnculo">
    <w:name w:val="Hyperlink"/>
    <w:basedOn w:val="Fuentedeprrafopredeter"/>
    <w:uiPriority w:val="99"/>
    <w:unhideWhenUsed/>
    <w:rsid w:val="00FE7DB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E7DB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D48F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paragraph" w:styleId="Textocomentario">
    <w:name w:val="annotation text"/>
    <w:basedOn w:val="Normal"/>
    <w:link w:val="TextocomentarioCar"/>
    <w:uiPriority w:val="99"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uentedeprrafopredeter"/>
    <w:rsid w:val="00A35D58"/>
  </w:style>
  <w:style w:type="table" w:styleId="Tablaconcuadrcula">
    <w:name w:val="Table Grid"/>
    <w:basedOn w:val="Tablanormal"/>
    <w:uiPriority w:val="39"/>
    <w:rsid w:val="00A35D58"/>
    <w:rPr>
      <w:rFonts w:asciiTheme="minorHAnsi" w:eastAsiaTheme="minorHAnsi" w:hAnsiTheme="minorHAnsi" w:cstheme="minorBidi"/>
      <w:kern w:val="2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9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9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40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4008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4C3974"/>
    <w:pPr>
      <w:ind w:left="720"/>
      <w:contextualSpacing/>
    </w:pPr>
  </w:style>
  <w:style w:type="character" w:styleId="Referenciaintensa">
    <w:name w:val="Intense Reference"/>
    <w:basedOn w:val="Fuentedeprrafopredeter"/>
    <w:uiPriority w:val="32"/>
    <w:qFormat/>
    <w:rsid w:val="00A775CB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24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yperlink" Target="https://www.habitaclia.com/" TargetMode="External"/><Relationship Id="rId26" Type="http://schemas.openxmlformats.org/officeDocument/2006/relationships/hyperlink" Target="mailto:alicia.salvatella@llyc.global" TargetMode="External"/><Relationship Id="rId3" Type="http://schemas.openxmlformats.org/officeDocument/2006/relationships/styles" Target="styles.xml"/><Relationship Id="rId21" Type="http://schemas.openxmlformats.org/officeDocument/2006/relationships/hyperlink" Target="https://motos.coches.net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fotocasa.es" TargetMode="External"/><Relationship Id="rId17" Type="http://schemas.openxmlformats.org/officeDocument/2006/relationships/hyperlink" Target="https://www.fotocasa.es/es/" TargetMode="External"/><Relationship Id="rId25" Type="http://schemas.openxmlformats.org/officeDocument/2006/relationships/hyperlink" Target="mailto:emerino@llorenteycuenca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otocasa.es/es/quienes-somos/" TargetMode="External"/><Relationship Id="rId20" Type="http://schemas.openxmlformats.org/officeDocument/2006/relationships/hyperlink" Target="https://www.coches.net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mailto:emerino@llorenteycuenca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rensa.fotocasa.es" TargetMode="External"/><Relationship Id="rId23" Type="http://schemas.openxmlformats.org/officeDocument/2006/relationships/hyperlink" Target="mailto:comunicacion@fotocasa.es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fotocasa.es" TargetMode="External"/><Relationship Id="rId19" Type="http://schemas.openxmlformats.org/officeDocument/2006/relationships/hyperlink" Target="https://www.infojobs.ne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otocasa.es/proyecto-vivienda/" TargetMode="External"/><Relationship Id="rId14" Type="http://schemas.openxmlformats.org/officeDocument/2006/relationships/hyperlink" Target="https://www.fotocasa.es/indice/" TargetMode="External"/><Relationship Id="rId22" Type="http://schemas.openxmlformats.org/officeDocument/2006/relationships/hyperlink" Target="http://adevinta.es" TargetMode="External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hx4S1LK118k7lKWcGw4uwnc7bQ==">CgMxLjAyCGguZ2pkZ3hzMgloLjJzOGV5bzE4AHIhMTkzdGR3cG05UHhIWmJ3cV9IM2p6U29TcHhIZzJnT0w1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1135</Words>
  <Characters>6247</Characters>
  <Application>Microsoft Office Word</Application>
  <DocSecurity>0</DocSecurity>
  <Lines>52</Lines>
  <Paragraphs>14</Paragraphs>
  <ScaleCrop>false</ScaleCrop>
  <Company/>
  <LinksUpToDate>false</LinksUpToDate>
  <CharactersWithSpaces>7368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Anaïs López García</cp:lastModifiedBy>
  <cp:revision>3</cp:revision>
  <dcterms:created xsi:type="dcterms:W3CDTF">2024-02-06T13:46:00Z</dcterms:created>
  <dcterms:modified xsi:type="dcterms:W3CDTF">2024-07-25T13:18:00Z</dcterms:modified>
</cp:coreProperties>
</file>