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AE7FF" w14:textId="77777777" w:rsidR="00F30BCA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71A72DD" wp14:editId="3CB53EE9">
            <wp:simplePos x="0" y="0"/>
            <wp:positionH relativeFrom="column">
              <wp:posOffset>-1080128</wp:posOffset>
            </wp:positionH>
            <wp:positionV relativeFrom="paragraph">
              <wp:posOffset>-654678</wp:posOffset>
            </wp:positionV>
            <wp:extent cx="7581265" cy="1019175"/>
            <wp:effectExtent l="0" t="0" r="0" b="0"/>
            <wp:wrapNone/>
            <wp:docPr id="206681658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52FFF9" w14:textId="77777777" w:rsidR="00F30BCA" w:rsidRDefault="00F30BCA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3332C13C" w14:textId="77777777" w:rsidR="00F30BCA" w:rsidRDefault="00F30BCA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3D2BE31A" w14:textId="77777777" w:rsidR="00F30BCA" w:rsidRDefault="00000000">
      <w:pPr>
        <w:spacing w:line="276" w:lineRule="auto"/>
        <w:jc w:val="center"/>
        <w:rPr>
          <w:rFonts w:ascii="National" w:eastAsia="National" w:hAnsi="National" w:cs="National"/>
          <w:b/>
          <w:color w:val="1DBDC5"/>
          <w:sz w:val="30"/>
          <w:szCs w:val="30"/>
        </w:rPr>
      </w:pPr>
      <w:r>
        <w:rPr>
          <w:rFonts w:ascii="National" w:eastAsia="National" w:hAnsi="National" w:cs="National"/>
          <w:b/>
          <w:color w:val="1DBDC5"/>
          <w:sz w:val="30"/>
          <w:szCs w:val="30"/>
        </w:rPr>
        <w:t>DEMANDANTE DE SEGUNDA RESIDENCIA</w:t>
      </w:r>
    </w:p>
    <w:p w14:paraId="57B44126" w14:textId="77777777" w:rsidR="00F30BCA" w:rsidRPr="00840593" w:rsidRDefault="00000000">
      <w:pPr>
        <w:jc w:val="center"/>
        <w:rPr>
          <w:rFonts w:ascii="National" w:eastAsia="National" w:hAnsi="National" w:cs="National"/>
          <w:b/>
          <w:color w:val="303AB2"/>
          <w:sz w:val="48"/>
          <w:szCs w:val="48"/>
        </w:rPr>
      </w:pPr>
      <w:r w:rsidRPr="00840593">
        <w:rPr>
          <w:rFonts w:ascii="National" w:eastAsia="National" w:hAnsi="National" w:cs="National"/>
          <w:b/>
          <w:color w:val="303AB2"/>
          <w:sz w:val="48"/>
          <w:szCs w:val="48"/>
        </w:rPr>
        <w:t xml:space="preserve">Descienden los propietarios que quieren poner en alquiler su segunda vivienda  </w:t>
      </w:r>
    </w:p>
    <w:p w14:paraId="39342D71" w14:textId="77777777" w:rsidR="00F30BCA" w:rsidRDefault="00F30BCA">
      <w:pPr>
        <w:spacing w:line="276" w:lineRule="auto"/>
        <w:ind w:right="4"/>
        <w:jc w:val="both"/>
        <w:rPr>
          <w:rFonts w:ascii="Open Sans" w:eastAsia="Open Sans" w:hAnsi="Open Sans" w:cs="Open Sans"/>
          <w:color w:val="303AB2"/>
        </w:rPr>
      </w:pPr>
    </w:p>
    <w:p w14:paraId="21C00B57" w14:textId="77777777" w:rsidR="00F30BCA" w:rsidRDefault="00000000">
      <w:pPr>
        <w:numPr>
          <w:ilvl w:val="0"/>
          <w:numId w:val="1"/>
        </w:numP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El 25% de quienes no ponen su segunda vivienda en alquiler tienen temor a que los inquilinos la estropeen o a problemas de impagos de la renta (17%)</w:t>
      </w:r>
    </w:p>
    <w:p w14:paraId="5F7FC06D" w14:textId="77777777" w:rsidR="00F30B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Los compradores que ponen en alquiler su segunda residencia lo hacen por la rentabilidad que obtienen, aunque esta idea desciende 11 puntos porcentuales</w:t>
      </w:r>
    </w:p>
    <w:p w14:paraId="4305FBCD" w14:textId="77777777" w:rsidR="00F30B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Los demandantes de segundas residencias compran la vivienda para invertir y para crear patrimonio</w:t>
      </w:r>
    </w:p>
    <w:p w14:paraId="5799B805" w14:textId="77777777" w:rsidR="00F30B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La movilidad laboral y la imposibilidad de comprar, las principales razones por las que los inquilinos buscan segundas viviendas</w:t>
      </w:r>
    </w:p>
    <w:p w14:paraId="3F357BC5" w14:textId="77777777" w:rsidR="00F30BCA" w:rsidRDefault="00F30B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272DA905" w14:textId="57A9DDFB" w:rsidR="00F30BC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Madrid, </w:t>
      </w:r>
      <w:r w:rsidR="00C24652">
        <w:rPr>
          <w:rFonts w:ascii="Open Sans Light" w:eastAsia="Open Sans Light" w:hAnsi="Open Sans Light" w:cs="Open Sans Light"/>
          <w:b/>
          <w:color w:val="303AB2"/>
        </w:rPr>
        <w:t>8 de agosto</w:t>
      </w:r>
      <w:r>
        <w:rPr>
          <w:rFonts w:ascii="Open Sans Light" w:eastAsia="Open Sans Light" w:hAnsi="Open Sans Light" w:cs="Open Sans Light"/>
          <w:b/>
          <w:color w:val="303AB2"/>
        </w:rPr>
        <w:t xml:space="preserve"> de 2024</w:t>
      </w:r>
    </w:p>
    <w:p w14:paraId="1DB9FF42" w14:textId="77777777" w:rsidR="00F30BCA" w:rsidRDefault="00F30B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3825AAD" w14:textId="4A3D08E4" w:rsidR="00F30BCA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Una de las claves a la hora de analizar el mercado de compra de segunda vivienda se refiere al uso que se plantea darle a ese inmueble. Aunque la utilización mayoritaria es la de segunda residencia (68%), </w:t>
      </w:r>
      <w:r>
        <w:rPr>
          <w:rFonts w:ascii="Open Sans" w:eastAsia="Open Sans" w:hAnsi="Open Sans" w:cs="Open Sans"/>
          <w:b/>
        </w:rPr>
        <w:t xml:space="preserve">hay aproximadamente un tercio de </w:t>
      </w:r>
      <w:r w:rsidR="00C24652">
        <w:rPr>
          <w:rFonts w:ascii="Open Sans" w:eastAsia="Open Sans" w:hAnsi="Open Sans" w:cs="Open Sans"/>
          <w:b/>
        </w:rPr>
        <w:t>los compradores</w:t>
      </w:r>
      <w:r>
        <w:rPr>
          <w:rFonts w:ascii="Open Sans" w:eastAsia="Open Sans" w:hAnsi="Open Sans" w:cs="Open Sans"/>
          <w:b/>
        </w:rPr>
        <w:t xml:space="preserve"> de segunda vivienda (32%, frente al 36% de 2023) que estaría dispuesto a alquilarla</w:t>
      </w:r>
      <w:r>
        <w:rPr>
          <w:rFonts w:ascii="Open Sans" w:eastAsia="Open Sans" w:hAnsi="Open Sans" w:cs="Open Sans"/>
        </w:rPr>
        <w:t>, principalmente para estancias de larga duración (18%) o para estancias cortas (14%). Esta es una de las principales conclusiones que se extraen del informe “</w:t>
      </w:r>
      <w:r w:rsidRPr="00C62815">
        <w:rPr>
          <w:rFonts w:ascii="Open Sans" w:eastAsia="Open Sans" w:hAnsi="Open Sans" w:cs="Open Sans"/>
          <w:b/>
          <w:bCs/>
          <w:i/>
        </w:rPr>
        <w:t>Perfil del demandante de segunda residencia</w:t>
      </w:r>
      <w:r>
        <w:rPr>
          <w:rFonts w:ascii="Open Sans" w:eastAsia="Open Sans" w:hAnsi="Open Sans" w:cs="Open Sans"/>
        </w:rPr>
        <w:t xml:space="preserve">” elaborado </w:t>
      </w:r>
      <w:r w:rsidR="00C62815">
        <w:rPr>
          <w:rFonts w:ascii="Open Sans" w:eastAsia="Open Sans" w:hAnsi="Open Sans" w:cs="Open Sans"/>
        </w:rPr>
        <w:t xml:space="preserve">por </w:t>
      </w:r>
      <w:r w:rsidR="00C62815" w:rsidRPr="00C62815">
        <w:rPr>
          <w:rFonts w:ascii="Open Sans" w:eastAsia="Open Sans" w:hAnsi="Open Sans" w:cs="Open Sans"/>
          <w:b/>
          <w:bCs/>
        </w:rPr>
        <w:t xml:space="preserve">Fotocasa </w:t>
      </w:r>
      <w:proofErr w:type="spellStart"/>
      <w:r w:rsidR="00C62815" w:rsidRPr="00C62815">
        <w:rPr>
          <w:rFonts w:ascii="Open Sans" w:eastAsia="Open Sans" w:hAnsi="Open Sans" w:cs="Open Sans"/>
          <w:b/>
          <w:bCs/>
        </w:rPr>
        <w:t>Research</w:t>
      </w:r>
      <w:proofErr w:type="spellEnd"/>
      <w:r w:rsidR="00C62815">
        <w:rPr>
          <w:rFonts w:ascii="Open Sans" w:eastAsia="Open Sans" w:hAnsi="Open Sans" w:cs="Open Sans"/>
        </w:rPr>
        <w:t xml:space="preserve">. </w:t>
      </w:r>
    </w:p>
    <w:p w14:paraId="3ADD4E34" w14:textId="77777777" w:rsidR="00F30BCA" w:rsidRDefault="00F30BCA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570DF2F0" w14:textId="77777777" w:rsidR="00F30BCA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En su decisión de poner en alquiler la vivienda, </w:t>
      </w:r>
      <w:r>
        <w:rPr>
          <w:rFonts w:ascii="Open Sans" w:eastAsia="Open Sans" w:hAnsi="Open Sans" w:cs="Open Sans"/>
          <w:b/>
        </w:rPr>
        <w:t>el 57% está motivado por la rentabilidad que proporciona</w:t>
      </w:r>
      <w:r>
        <w:rPr>
          <w:rFonts w:ascii="Open Sans" w:eastAsia="Open Sans" w:hAnsi="Open Sans" w:cs="Open Sans"/>
        </w:rPr>
        <w:t xml:space="preserve"> (este factor sufre un considerable descenso desde el 68% del año anterior), mientras que el 35% (29% en 2023) afirma que lo hace para suavizar el gasto que acarrea la hipoteca de este inmueble. También hay un 12% que quiere esperar a venderla a que el mercado mejore y crezca por tanto el valor del inmueble. </w:t>
      </w:r>
    </w:p>
    <w:p w14:paraId="4D2DB70E" w14:textId="77777777" w:rsidR="00F30BCA" w:rsidRDefault="00F30BCA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6DD47411" w14:textId="77777777" w:rsidR="00F30BCA" w:rsidRDefault="00000000">
      <w:pPr>
        <w:spacing w:line="276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Del 68% que no contempla poner en alquiler esa segunda vivienda, un 74% prevé su uso propio, mientras que existen otras razones como el </w:t>
      </w:r>
      <w:r>
        <w:rPr>
          <w:rFonts w:ascii="Open Sans" w:eastAsia="Open Sans" w:hAnsi="Open Sans" w:cs="Open Sans"/>
          <w:b/>
        </w:rPr>
        <w:t xml:space="preserve">temor a que los </w:t>
      </w:r>
      <w:r>
        <w:rPr>
          <w:rFonts w:ascii="Open Sans" w:eastAsia="Open Sans" w:hAnsi="Open Sans" w:cs="Open Sans"/>
          <w:b/>
        </w:rPr>
        <w:lastRenderedPageBreak/>
        <w:t>inquilinos estropeen la vivienda (25%) o tener problemas de impagos</w:t>
      </w:r>
      <w:r>
        <w:rPr>
          <w:rFonts w:ascii="Open Sans" w:eastAsia="Open Sans" w:hAnsi="Open Sans" w:cs="Open Sans"/>
        </w:rPr>
        <w:t xml:space="preserve"> de la renta que les hacen desestimar la idea del alquiler (17%). </w:t>
      </w:r>
    </w:p>
    <w:p w14:paraId="0A75A42B" w14:textId="77777777" w:rsidR="00F30BCA" w:rsidRDefault="00F30BCA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5E27BFFD" w14:textId="77777777" w:rsidR="00F30BCA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103B3415" wp14:editId="4A49CF63">
            <wp:extent cx="5830253" cy="3854976"/>
            <wp:effectExtent l="0" t="0" r="0" b="0"/>
            <wp:docPr id="206681658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l="4228" r="5024"/>
                    <a:stretch>
                      <a:fillRect/>
                    </a:stretch>
                  </pic:blipFill>
                  <pic:spPr>
                    <a:xfrm>
                      <a:off x="0" y="0"/>
                      <a:ext cx="5830253" cy="3854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FD39DB" w14:textId="77777777" w:rsidR="00F30BCA" w:rsidRDefault="00F30BCA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4EA16471" w14:textId="77777777" w:rsidR="00F30BC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“Uno de los aspectos más relevantes del análisis es que desciende en cuatro puntos el porcentaje de propietarios de segundas residencias que las destinan a alquiler. Esta tendencia es perjudicial para el mercado al reducir la oferta disponible del parque en renta, ya de por sí escaso. Por ello, los propietarios necesitan más garantías y seguridad para poner esa vivienda en arrendamiento. También es importante destacar que quienes buscan segunda residencia en alquiler, en un porcentaje significativo (17%), lo hacen por la imposibilidad de comprar, por lo que este indicador pone de manifiesto la frustración de acceso a la vivienda, debido a los altos precios y la mala situación laboral”, </w:t>
      </w:r>
      <w:r>
        <w:rPr>
          <w:rFonts w:ascii="Open Sans" w:eastAsia="Open Sans" w:hAnsi="Open Sans" w:cs="Open Sans"/>
          <w:b/>
        </w:rPr>
        <w:t xml:space="preserve">explica María Matos, directora de Estudios y portavoz de </w:t>
      </w:r>
      <w:hyperlink r:id="rId10">
        <w:r>
          <w:rPr>
            <w:rFonts w:ascii="Open Sans" w:eastAsia="Open Sans" w:hAnsi="Open Sans" w:cs="Open Sans"/>
            <w:b/>
            <w:color w:val="1155CC"/>
            <w:u w:val="single"/>
          </w:rPr>
          <w:t>Fotocasa</w:t>
        </w:r>
      </w:hyperlink>
      <w:r>
        <w:rPr>
          <w:rFonts w:ascii="Open Sans" w:eastAsia="Open Sans" w:hAnsi="Open Sans" w:cs="Open Sans"/>
          <w:b/>
        </w:rPr>
        <w:t>.</w:t>
      </w:r>
    </w:p>
    <w:p w14:paraId="209733BF" w14:textId="77777777" w:rsidR="00F30BCA" w:rsidRDefault="00F30B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</w:rPr>
      </w:pPr>
    </w:p>
    <w:p w14:paraId="63A8E10E" w14:textId="77777777" w:rsidR="00F30BCA" w:rsidRDefault="00F30B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60CEB88A" w14:textId="77777777" w:rsidR="00F30BC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Los que compran segunda vivienda también valoran la inversión</w:t>
      </w:r>
    </w:p>
    <w:p w14:paraId="758A79E5" w14:textId="77777777" w:rsidR="00F30BCA" w:rsidRDefault="00F30BCA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5C733861" w14:textId="42C99622" w:rsidR="00F30BCA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 pesar de que la ilusión mayoritaria de los demandantes de segunda residencia es disfrutarla ellos mismos, no se debe perder de vista el hecho de que </w:t>
      </w:r>
      <w:r>
        <w:rPr>
          <w:rFonts w:ascii="Open Sans" w:eastAsia="Open Sans" w:hAnsi="Open Sans" w:cs="Open Sans"/>
          <w:b/>
        </w:rPr>
        <w:t xml:space="preserve">la adquisición de una vivienda de estas características supone también una </w:t>
      </w:r>
      <w:r>
        <w:rPr>
          <w:rFonts w:ascii="Open Sans" w:eastAsia="Open Sans" w:hAnsi="Open Sans" w:cs="Open Sans"/>
          <w:b/>
        </w:rPr>
        <w:lastRenderedPageBreak/>
        <w:t>inversión a largo plazo</w:t>
      </w:r>
      <w:r>
        <w:rPr>
          <w:rFonts w:ascii="Open Sans" w:eastAsia="Open Sans" w:hAnsi="Open Sans" w:cs="Open Sans"/>
        </w:rPr>
        <w:t xml:space="preserve">. Así lo valoran el 41% de los consultados, un porcentaje que crece tres puntos sobre el 38% de 2023. Otro 33% considera que se trata de </w:t>
      </w:r>
      <w:r>
        <w:rPr>
          <w:rFonts w:ascii="Open Sans" w:eastAsia="Open Sans" w:hAnsi="Open Sans" w:cs="Open Sans"/>
          <w:b/>
        </w:rPr>
        <w:t>una forma de crear patrimonio, mientras que un 24% opina que la adquisición de un inmueble de este tipo constituye un seguro para el futuro</w:t>
      </w:r>
      <w:r>
        <w:rPr>
          <w:rFonts w:ascii="Open Sans" w:eastAsia="Open Sans" w:hAnsi="Open Sans" w:cs="Open Sans"/>
        </w:rPr>
        <w:t xml:space="preserve">. </w:t>
      </w:r>
    </w:p>
    <w:p w14:paraId="4B46DA8C" w14:textId="4A917DD4" w:rsidR="00F30BCA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En la lista de motivos para buscar en el mercado de propiedad una vivienda vacacional también destaca la mejora de la situación económica (24%). </w:t>
      </w:r>
    </w:p>
    <w:p w14:paraId="783B099E" w14:textId="77777777" w:rsidR="00F30BCA" w:rsidRDefault="00F30BCA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0BECEDA9" w14:textId="074EB977" w:rsidR="00F30BCA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Sin embargo, respecto a 2023 siguen decayendo los que aseguran que su situación laboral ha mejorado, dado que ahora solo lo afirman el 10% de los consultados, frente al 12% de 2023 y el 18% de 2022. Por el contrario, se duplica el porcentaje de los que creen que es un buen momento para comprar, porque los precios se están moderando. Así lo creen el 10 %, frente al 5 % de doce meses antes.   </w:t>
      </w:r>
    </w:p>
    <w:p w14:paraId="1B66183B" w14:textId="77777777" w:rsidR="00F30BCA" w:rsidRDefault="00F30BCA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36BC4CE0" w14:textId="77777777" w:rsidR="00F30BCA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0CA5E6EE" wp14:editId="5398E365">
            <wp:extent cx="6020753" cy="3592548"/>
            <wp:effectExtent l="0" t="0" r="0" b="0"/>
            <wp:docPr id="206681658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l="4066" t="4070" r="4531" b="5016"/>
                    <a:stretch>
                      <a:fillRect/>
                    </a:stretch>
                  </pic:blipFill>
                  <pic:spPr>
                    <a:xfrm>
                      <a:off x="0" y="0"/>
                      <a:ext cx="6020753" cy="3592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DE051D" w14:textId="77777777" w:rsidR="00F30BCA" w:rsidRDefault="00F30BCA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44D13D45" w14:textId="77777777" w:rsidR="00F30BCA" w:rsidRDefault="00000000">
      <w:pP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 xml:space="preserve">El alquiler, marcado por la movilidad laboral </w:t>
      </w:r>
    </w:p>
    <w:p w14:paraId="2A2851BD" w14:textId="77777777" w:rsidR="00F30BCA" w:rsidRDefault="00F30BCA">
      <w:pP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67D4990C" w14:textId="77777777" w:rsidR="00F30BCA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Del lado del alquiler, los motivos que dirigen la búsqueda de segunda residencia son distintos a los de los compradores. En este caso, </w:t>
      </w:r>
      <w:r>
        <w:rPr>
          <w:rFonts w:ascii="Open Sans" w:eastAsia="Open Sans" w:hAnsi="Open Sans" w:cs="Open Sans"/>
          <w:b/>
        </w:rPr>
        <w:t>la movilidad laboral es la principal razón, esgrimida por el 19 % de estos demandantes de segunda residencia en alquiler</w:t>
      </w:r>
      <w:r>
        <w:rPr>
          <w:rFonts w:ascii="Open Sans" w:eastAsia="Open Sans" w:hAnsi="Open Sans" w:cs="Open Sans"/>
        </w:rPr>
        <w:t>. Se trata, no obstante, de un porcentaje inferior en cinco puntos al registrado doce meses antes.</w:t>
      </w:r>
    </w:p>
    <w:p w14:paraId="41EE1708" w14:textId="722DBADB" w:rsidR="00F30BCA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A continuación, el hecho de que </w:t>
      </w:r>
      <w:r>
        <w:rPr>
          <w:rFonts w:ascii="Open Sans" w:eastAsia="Open Sans" w:hAnsi="Open Sans" w:cs="Open Sans"/>
          <w:b/>
        </w:rPr>
        <w:t>la situación económica impida comprar una vivienda es la idea más compartida por los inquilinos</w:t>
      </w:r>
      <w:r>
        <w:rPr>
          <w:rFonts w:ascii="Open Sans" w:eastAsia="Open Sans" w:hAnsi="Open Sans" w:cs="Open Sans"/>
        </w:rPr>
        <w:t xml:space="preserve">, en un porcentaje del 17%. </w:t>
      </w:r>
    </w:p>
    <w:p w14:paraId="75646924" w14:textId="77777777" w:rsidR="00840593" w:rsidRDefault="00840593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65F659E2" w14:textId="4C400A98" w:rsidR="00F30BCA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La tercera razón esgrimida es que adquirir un inmueble en propiedad no entra en sus planes, con un 16% de opiniones. Le sigue, con el mismo porcentaje, que los tipos de interés están demasiado altos para acceder a la compra. Otro 16% argumenta que se encuentra a la espera de que los precios bajen.</w:t>
      </w:r>
    </w:p>
    <w:p w14:paraId="36E313FC" w14:textId="77777777" w:rsidR="00F30BCA" w:rsidRDefault="00F30BCA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40827F11" w14:textId="77777777" w:rsidR="00F30BCA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B58769B" wp14:editId="7BCAD4C6">
            <wp:extent cx="5801678" cy="3715203"/>
            <wp:effectExtent l="0" t="0" r="0" b="0"/>
            <wp:docPr id="206681658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l="5057" t="3877" r="4861"/>
                    <a:stretch>
                      <a:fillRect/>
                    </a:stretch>
                  </pic:blipFill>
                  <pic:spPr>
                    <a:xfrm>
                      <a:off x="0" y="0"/>
                      <a:ext cx="5801678" cy="3715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EEECD5" w14:textId="77777777" w:rsidR="00840593" w:rsidRDefault="00840593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695184D1" w14:textId="4FE352DE" w:rsidR="00F30BCA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Como puede deducirse, las diferencias que se aprecian entre ambos perfiles (compradores e inquilinos) reflejan de modo evidente, a sus respectivas características sociodemográficas, por </w:t>
      </w:r>
      <w:r>
        <w:rPr>
          <w:rFonts w:ascii="Open Sans" w:eastAsia="Open Sans" w:hAnsi="Open Sans" w:cs="Open Sans"/>
          <w:b/>
        </w:rPr>
        <w:t>las que las personas que optan por el alquiler son más jóvenes y de estratos socioeconómicos inferiores a los de los compradores</w:t>
      </w:r>
      <w:r>
        <w:rPr>
          <w:rFonts w:ascii="Open Sans" w:eastAsia="Open Sans" w:hAnsi="Open Sans" w:cs="Open Sans"/>
        </w:rPr>
        <w:t xml:space="preserve">, por lo que resulta lógico que esto se plasme en sus motivos principales a la hora de decantarse por una vivienda de segunda residencia. </w:t>
      </w:r>
    </w:p>
    <w:p w14:paraId="7761375D" w14:textId="77777777" w:rsidR="00F30BCA" w:rsidRDefault="00F30BCA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6795EB23" w14:textId="77777777" w:rsidR="00F30BCA" w:rsidRDefault="00F30BCA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23445DAE" w14:textId="77777777" w:rsidR="00840593" w:rsidRDefault="00840593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477B3326" w14:textId="77777777" w:rsidR="00840593" w:rsidRDefault="00840593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55B1D569" w14:textId="77777777" w:rsidR="00840593" w:rsidRDefault="00840593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7D6A7D65" w14:textId="77777777" w:rsidR="00F30BCA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>Sobre Fotocasa</w:t>
      </w:r>
    </w:p>
    <w:p w14:paraId="79598A2B" w14:textId="77777777" w:rsidR="00F30BCA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3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1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bookmarkStart w:id="0" w:name="_heading=h.2s8eyo1" w:colFirst="0" w:colLast="0"/>
    <w:bookmarkEnd w:id="0"/>
    <w:p w14:paraId="7B1684D6" w14:textId="77777777" w:rsidR="00F30BCA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 pertenece a </w:t>
      </w:r>
      <w:proofErr w:type="spellStart"/>
      <w:r>
        <w:fldChar w:fldCharType="begin"/>
      </w:r>
      <w:r>
        <w:instrText>HYPERLINK "https://www.adevinta.com/" \h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” del sector a nivel mundial. </w:t>
      </w:r>
    </w:p>
    <w:p w14:paraId="29F2F144" w14:textId="77777777" w:rsidR="00F30BCA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hyperlink r:id="rId1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681E8A5A" w14:textId="77777777" w:rsidR="00F30BCA" w:rsidRDefault="00F30BCA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76AE97ED" w14:textId="77777777" w:rsidR="00F30BCA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  <w:r>
        <w:rPr>
          <w:rFonts w:ascii="Open Sans Light" w:eastAsia="Open Sans Light" w:hAnsi="Open Sans Light" w:cs="Open Sans Light"/>
          <w:b/>
          <w:color w:val="303AB2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Spain</w:t>
      </w:r>
      <w:proofErr w:type="spellEnd"/>
    </w:p>
    <w:p w14:paraId="23075B42" w14:textId="77777777" w:rsidR="00F30BCA" w:rsidRDefault="00000000">
      <w:pPr>
        <w:spacing w:before="143" w:after="200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16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17">
        <w:proofErr w:type="spellStart"/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18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>), motor (</w:t>
      </w:r>
      <w:hyperlink r:id="rId19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0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proofErr w:type="spellStart"/>
      <w:r>
        <w:fldChar w:fldCharType="begin"/>
      </w:r>
      <w:r>
        <w:instrText>HYPERLINK "https://www.milanuncios.com/" \h</w:instrText>
      </w:r>
      <w:r>
        <w:fldChar w:fldCharType="separate"/>
      </w:r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t>Milanuncios</w:t>
      </w:r>
      <w:proofErr w:type="spellEnd"/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).</w:t>
      </w:r>
    </w:p>
    <w:p w14:paraId="6C44A5B3" w14:textId="77777777" w:rsidR="00F30BCA" w:rsidRDefault="00000000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Los negocios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14:paraId="2095C31C" w14:textId="77777777" w:rsidR="00F30BCA" w:rsidRDefault="00000000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tiene presencia mundial en 10 países. El conjunto de sus plataformas locales recibe un promedio de 3.000 millones de visitas cada mes. </w:t>
      </w:r>
    </w:p>
    <w:p w14:paraId="2C6ABF0C" w14:textId="77777777" w:rsidR="00F30BCA" w:rsidRDefault="00000000">
      <w:pPr>
        <w:spacing w:line="276" w:lineRule="auto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1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162FF9D7" w14:textId="77777777" w:rsidR="00F30BCA" w:rsidRDefault="00F30BCA">
      <w:pPr>
        <w:spacing w:line="276" w:lineRule="auto"/>
        <w:jc w:val="right"/>
        <w:rPr>
          <w:rFonts w:ascii="Open Sans" w:eastAsia="Open Sans" w:hAnsi="Open Sans" w:cs="Open Sans"/>
        </w:rPr>
      </w:pPr>
    </w:p>
    <w:p w14:paraId="499075B6" w14:textId="77777777" w:rsidR="00F30BCA" w:rsidRDefault="00000000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Departamento Comunicación Fotocasa</w:t>
      </w:r>
    </w:p>
    <w:p w14:paraId="4600A155" w14:textId="77777777" w:rsidR="00F30BCA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213A0808" w14:textId="77777777" w:rsidR="00F30BCA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2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4A52DFB1" w14:textId="77777777" w:rsidR="00F30BCA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685C5966" w14:textId="77777777" w:rsidR="00F30BCA" w:rsidRDefault="00F30BCA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39DE7E90" w14:textId="77777777" w:rsidR="00F30BCA" w:rsidRDefault="00F30BCA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27AA325B" w14:textId="77777777" w:rsidR="00F30BCA" w:rsidRDefault="00000000">
      <w:pPr>
        <w:ind w:right="-433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</w:p>
    <w:p w14:paraId="475A90F2" w14:textId="77777777" w:rsidR="00F30BCA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Fanny Merino</w:t>
      </w:r>
    </w:p>
    <w:p w14:paraId="78775D1E" w14:textId="77777777" w:rsidR="00F30BCA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</w:rPr>
      </w:pPr>
      <w:hyperlink r:id="rId23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emerino@</w:t>
        </w:r>
      </w:hyperlink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llyc.global</w:t>
      </w:r>
      <w:r>
        <w:rPr>
          <w:rFonts w:ascii="Open Sans" w:eastAsia="Open Sans" w:hAnsi="Open Sans" w:cs="Open Sans"/>
          <w:color w:val="0000FF"/>
          <w:sz w:val="22"/>
          <w:szCs w:val="22"/>
        </w:rPr>
        <w:tab/>
      </w:r>
      <w:r>
        <w:rPr>
          <w:rFonts w:ascii="Open Sans" w:eastAsia="Open Sans" w:hAnsi="Open Sans" w:cs="Open Sans"/>
          <w:color w:val="0000FF"/>
          <w:sz w:val="22"/>
          <w:szCs w:val="22"/>
        </w:rPr>
        <w:tab/>
      </w:r>
    </w:p>
    <w:p w14:paraId="163C3380" w14:textId="77777777" w:rsidR="00F30BCA" w:rsidRPr="00C24652" w:rsidRDefault="00000000">
      <w:pPr>
        <w:shd w:val="clear" w:color="auto" w:fill="FFFFFF"/>
        <w:ind w:right="-433"/>
        <w:rPr>
          <w:rFonts w:ascii="Open Sans" w:eastAsia="Open Sans" w:hAnsi="Open Sans" w:cs="Open Sans"/>
          <w:sz w:val="22"/>
          <w:szCs w:val="22"/>
          <w:lang w:val="en-US"/>
        </w:rPr>
      </w:pPr>
      <w:r w:rsidRPr="00C24652">
        <w:rPr>
          <w:rFonts w:ascii="Open Sans" w:eastAsia="Open Sans" w:hAnsi="Open Sans" w:cs="Open Sans"/>
          <w:sz w:val="22"/>
          <w:szCs w:val="22"/>
          <w:lang w:val="en-US"/>
        </w:rPr>
        <w:t>663 35 69 75 </w:t>
      </w:r>
      <w:r w:rsidRPr="00C24652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C24652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C24652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C24652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C24652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C24652">
        <w:rPr>
          <w:rFonts w:ascii="Open Sans" w:eastAsia="Open Sans" w:hAnsi="Open Sans" w:cs="Open Sans"/>
          <w:sz w:val="22"/>
          <w:szCs w:val="22"/>
          <w:lang w:val="en-US"/>
        </w:rPr>
        <w:tab/>
      </w:r>
    </w:p>
    <w:p w14:paraId="1E9062AF" w14:textId="77777777" w:rsidR="00F30BCA" w:rsidRPr="00C24652" w:rsidRDefault="00000000">
      <w:pPr>
        <w:shd w:val="clear" w:color="auto" w:fill="FFFFFF"/>
        <w:ind w:right="-433"/>
        <w:rPr>
          <w:color w:val="222222"/>
          <w:sz w:val="22"/>
          <w:szCs w:val="22"/>
          <w:lang w:val="en-US"/>
        </w:rPr>
      </w:pPr>
      <w:r w:rsidRPr="00C24652">
        <w:rPr>
          <w:color w:val="222222"/>
          <w:sz w:val="22"/>
          <w:szCs w:val="22"/>
          <w:lang w:val="en-US"/>
        </w:rPr>
        <w:lastRenderedPageBreak/>
        <w:tab/>
      </w:r>
      <w:r w:rsidRPr="00C24652">
        <w:rPr>
          <w:color w:val="222222"/>
          <w:sz w:val="22"/>
          <w:szCs w:val="22"/>
          <w:lang w:val="en-US"/>
        </w:rPr>
        <w:tab/>
        <w:t xml:space="preserve">     </w:t>
      </w:r>
    </w:p>
    <w:p w14:paraId="24269B5C" w14:textId="77777777" w:rsidR="00F30BCA" w:rsidRPr="00C24652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  <w:lang w:val="en-US"/>
        </w:rPr>
      </w:pPr>
      <w:r w:rsidRPr="00C24652">
        <w:rPr>
          <w:rFonts w:ascii="Open Sans" w:eastAsia="Open Sans" w:hAnsi="Open Sans" w:cs="Open Sans"/>
          <w:b/>
          <w:sz w:val="22"/>
          <w:szCs w:val="22"/>
          <w:lang w:val="en-US"/>
        </w:rPr>
        <w:t xml:space="preserve">Judit </w:t>
      </w:r>
      <w:proofErr w:type="spellStart"/>
      <w:r w:rsidRPr="00C24652">
        <w:rPr>
          <w:rFonts w:ascii="Open Sans" w:eastAsia="Open Sans" w:hAnsi="Open Sans" w:cs="Open Sans"/>
          <w:b/>
          <w:sz w:val="22"/>
          <w:szCs w:val="22"/>
          <w:lang w:val="en-US"/>
        </w:rPr>
        <w:t>Campillos</w:t>
      </w:r>
      <w:proofErr w:type="spellEnd"/>
    </w:p>
    <w:p w14:paraId="7822CC58" w14:textId="77777777" w:rsidR="00F30BCA" w:rsidRPr="00C24652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  <w:lang w:val="en-US"/>
        </w:rPr>
      </w:pPr>
      <w:proofErr w:type="spellStart"/>
      <w:r w:rsidRPr="00C24652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jcampillos</w:t>
      </w:r>
      <w:hyperlink r:id="rId24">
        <w:r w:rsidRPr="00C24652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@ll</w:t>
        </w:r>
      </w:hyperlink>
      <w:proofErr w:type="gramStart"/>
      <w:r w:rsidRPr="00C24652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yc.global</w:t>
      </w:r>
      <w:proofErr w:type="spellEnd"/>
      <w:proofErr w:type="gramEnd"/>
      <w:r w:rsidRPr="00C24652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C24652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6A064773" w14:textId="77777777" w:rsidR="00F30BCA" w:rsidRDefault="00000000">
      <w:pPr>
        <w:shd w:val="clear" w:color="auto" w:fill="FFFFFF"/>
        <w:ind w:right="-433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699 13 91 53</w:t>
      </w:r>
    </w:p>
    <w:p w14:paraId="0DEFEDCF" w14:textId="77777777" w:rsidR="00F30BCA" w:rsidRDefault="00F30BCA">
      <w:pPr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</w:p>
    <w:p w14:paraId="4882C84F" w14:textId="77777777" w:rsidR="00F30BCA" w:rsidRDefault="00000000">
      <w:pP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 xml:space="preserve">Alicia </w:t>
      </w:r>
      <w:proofErr w:type="spellStart"/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>Salvatella</w:t>
      </w:r>
      <w:proofErr w:type="spellEnd"/>
    </w:p>
    <w:p w14:paraId="5C4B5BAF" w14:textId="77777777" w:rsidR="00F30BCA" w:rsidRDefault="00000000">
      <w:pPr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alicia.salvatella@llyc.global</w:t>
        </w:r>
      </w:hyperlink>
    </w:p>
    <w:p w14:paraId="5209325F" w14:textId="77777777" w:rsidR="00F30BCA" w:rsidRDefault="00000000">
      <w:pPr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color w:val="30302E"/>
          <w:sz w:val="22"/>
          <w:szCs w:val="22"/>
          <w:highlight w:val="white"/>
        </w:rPr>
        <w:t>697 65 54 68</w:t>
      </w:r>
    </w:p>
    <w:p w14:paraId="45DE52A2" w14:textId="77777777" w:rsidR="00F30BCA" w:rsidRDefault="00F30BCA">
      <w:pPr>
        <w:shd w:val="clear" w:color="auto" w:fill="FFFFFF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7D14EECF" w14:textId="77777777" w:rsidR="00F30BCA" w:rsidRDefault="00F30BCA">
      <w:pPr>
        <w:shd w:val="clear" w:color="auto" w:fill="FFFFFF"/>
        <w:rPr>
          <w:rFonts w:ascii="Open Sans" w:eastAsia="Open Sans" w:hAnsi="Open Sans" w:cs="Open Sans"/>
          <w:color w:val="000000"/>
          <w:sz w:val="22"/>
          <w:szCs w:val="22"/>
        </w:rPr>
      </w:pPr>
    </w:p>
    <w:sectPr w:rsidR="00F30BCA">
      <w:footerReference w:type="default" r:id="rId26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ECA7E0" w14:textId="77777777" w:rsidR="00AF4DA7" w:rsidRDefault="00AF4DA7">
      <w:r>
        <w:separator/>
      </w:r>
    </w:p>
  </w:endnote>
  <w:endnote w:type="continuationSeparator" w:id="0">
    <w:p w14:paraId="14E23727" w14:textId="77777777" w:rsidR="00AF4DA7" w:rsidRDefault="00AF4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172237A-9660-473B-B5BD-F0921510A6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901E246-168D-4B41-B1E2-28EB7C846F9B}"/>
    <w:embedBold r:id="rId3" w:fontKey="{407CB482-2BFD-4513-84E1-D3F3C08FEF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DFF752B-4464-480B-AF20-9E7C19C3D392}"/>
    <w:embedItalic r:id="rId5" w:fontKey="{B5247077-645E-498E-B433-DBCFEBA854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972A15-0215-478F-A4F1-E25FF150EC6C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2DB8371E-C1DF-4D8B-86CD-401C44F376AB}"/>
    <w:embedBold r:id="rId8" w:fontKey="{84577E4F-6DF7-47FA-817C-68881FE98919}"/>
    <w:embedBoldItalic r:id="rId9" w:fontKey="{25D40104-45DF-45AB-B9F5-ED20EEEF4B72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0" w:fontKey="{C60B0D49-C0CB-44AA-97F9-AC07F309B142}"/>
    <w:embedBold r:id="rId11" w:fontKey="{90F53F72-970E-48B7-AB64-1111CD68B0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70F8E" w14:textId="77777777" w:rsidR="00F30B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B8C0BEC" wp14:editId="16B201AD">
          <wp:simplePos x="0" y="0"/>
          <wp:positionH relativeFrom="column">
            <wp:posOffset>-1068052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58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1D220B" w14:textId="77777777" w:rsidR="00AF4DA7" w:rsidRDefault="00AF4DA7">
      <w:r>
        <w:separator/>
      </w:r>
    </w:p>
  </w:footnote>
  <w:footnote w:type="continuationSeparator" w:id="0">
    <w:p w14:paraId="37398FF4" w14:textId="77777777" w:rsidR="00AF4DA7" w:rsidRDefault="00AF4D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B47D85"/>
    <w:multiLevelType w:val="multilevel"/>
    <w:tmpl w:val="3FC0F4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9669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BCA"/>
    <w:rsid w:val="00570FB4"/>
    <w:rsid w:val="00840593"/>
    <w:rsid w:val="00AF4DA7"/>
    <w:rsid w:val="00C24652"/>
    <w:rsid w:val="00C62815"/>
    <w:rsid w:val="00F3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8E67C"/>
  <w15:docId w15:val="{F2870628-B791-4FF3-855C-231894890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d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d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a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a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otocasa.es/indice/" TargetMode="External"/><Relationship Id="rId18" Type="http://schemas.openxmlformats.org/officeDocument/2006/relationships/hyperlink" Target="https://www.infojobs.net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adevinta.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www.habitaclia.com/" TargetMode="External"/><Relationship Id="rId25" Type="http://schemas.openxmlformats.org/officeDocument/2006/relationships/hyperlink" Target="mailto:alicia.salvatella@llyc.globa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otocasa.es/es/" TargetMode="External"/><Relationship Id="rId20" Type="http://schemas.openxmlformats.org/officeDocument/2006/relationships/hyperlink" Target="https://motos.coches.ne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mailto:emerino@llorenteycuenca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otocasa.es/es/quienes-somos/" TargetMode="External"/><Relationship Id="rId23" Type="http://schemas.openxmlformats.org/officeDocument/2006/relationships/hyperlink" Target="mailto:emerino@llorenteycuenca.co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fotocasa.es/es/" TargetMode="External"/><Relationship Id="rId19" Type="http://schemas.openxmlformats.org/officeDocument/2006/relationships/hyperlink" Target="https://www.coches.ne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prensa.fotocasa.es" TargetMode="External"/><Relationship Id="rId22" Type="http://schemas.openxmlformats.org/officeDocument/2006/relationships/hyperlink" Target="mailto:comunicacion@fotocasa.es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weD7bcJPgq27pQFiYNZdnA9uYQ==">CgMxLjAyCWguMnM4ZXlvMTgAciExeHh2T1NqcnBJUVpMOEhpcVNzZVBmUGhzekNzNThoTEU=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1217</Words>
  <Characters>6699</Characters>
  <Application>Microsoft Office Word</Application>
  <DocSecurity>0</DocSecurity>
  <Lines>55</Lines>
  <Paragraphs>15</Paragraphs>
  <ScaleCrop>false</ScaleCrop>
  <Company/>
  <LinksUpToDate>false</LinksUpToDate>
  <CharactersWithSpaces>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Anaïs López García</cp:lastModifiedBy>
  <cp:revision>4</cp:revision>
  <dcterms:created xsi:type="dcterms:W3CDTF">2024-02-06T13:46:00Z</dcterms:created>
  <dcterms:modified xsi:type="dcterms:W3CDTF">2024-07-22T11:43:00Z</dcterms:modified>
</cp:coreProperties>
</file>