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32D45" w14:textId="77777777" w:rsidR="00910CCC" w:rsidRDefault="00000000">
      <w:r>
        <w:rPr>
          <w:noProof/>
        </w:rPr>
        <w:drawing>
          <wp:anchor distT="0" distB="0" distL="114300" distR="114300" simplePos="0" relativeHeight="251658240" behindDoc="0" locked="0" layoutInCell="1" hidden="0" allowOverlap="1" wp14:anchorId="4593F428" wp14:editId="580A76AD">
            <wp:simplePos x="0" y="0"/>
            <wp:positionH relativeFrom="column">
              <wp:posOffset>-1080128</wp:posOffset>
            </wp:positionH>
            <wp:positionV relativeFrom="paragraph">
              <wp:posOffset>-654678</wp:posOffset>
            </wp:positionV>
            <wp:extent cx="7581265" cy="1019175"/>
            <wp:effectExtent l="0" t="0" r="0" b="0"/>
            <wp:wrapNone/>
            <wp:docPr id="20668165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60C8A34" w14:textId="77777777" w:rsidR="00910CCC" w:rsidRDefault="00910CCC">
      <w:pPr>
        <w:jc w:val="right"/>
        <w:rPr>
          <w:rFonts w:ascii="National" w:eastAsia="National" w:hAnsi="National" w:cs="National"/>
          <w:color w:val="303AB2"/>
          <w:sz w:val="36"/>
          <w:szCs w:val="36"/>
        </w:rPr>
      </w:pPr>
    </w:p>
    <w:p w14:paraId="0A1EDA70" w14:textId="77777777" w:rsidR="00910CCC" w:rsidRDefault="00910CCC">
      <w:pPr>
        <w:rPr>
          <w:rFonts w:ascii="National" w:eastAsia="National" w:hAnsi="National" w:cs="National"/>
          <w:color w:val="303AB2"/>
          <w:sz w:val="18"/>
          <w:szCs w:val="18"/>
        </w:rPr>
      </w:pPr>
    </w:p>
    <w:p w14:paraId="5CAEC397" w14:textId="77777777" w:rsidR="00910CC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PERFIL DEL DEMANDANTE DE SEGUNDA RESIDENCIA</w:t>
      </w:r>
    </w:p>
    <w:p w14:paraId="37926DF1" w14:textId="77777777" w:rsidR="00910CCC"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Los demandantes de segunda residencia en propiedad rebajan significativamente sus exigencias respecto al inmueble  </w:t>
      </w:r>
    </w:p>
    <w:p w14:paraId="07909A95" w14:textId="77777777" w:rsidR="00910CCC" w:rsidRDefault="00910CCC">
      <w:pPr>
        <w:pBdr>
          <w:top w:val="nil"/>
          <w:left w:val="nil"/>
          <w:bottom w:val="nil"/>
          <w:right w:val="nil"/>
          <w:between w:val="nil"/>
        </w:pBdr>
        <w:spacing w:line="276" w:lineRule="auto"/>
        <w:jc w:val="both"/>
        <w:rPr>
          <w:rFonts w:ascii="Open Sans" w:eastAsia="Open Sans" w:hAnsi="Open Sans" w:cs="Open Sans"/>
          <w:color w:val="000000"/>
          <w:sz w:val="22"/>
          <w:szCs w:val="22"/>
        </w:rPr>
      </w:pPr>
    </w:p>
    <w:p w14:paraId="51870C69" w14:textId="77777777" w:rsidR="00910CCC"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sz w:val="22"/>
          <w:szCs w:val="22"/>
        </w:rPr>
        <w:t>Los demandantes de segunda residencia valoran mucho más que los de alquiler las características intrínsecas del inmueble, como la terraza o la orientación</w:t>
      </w:r>
    </w:p>
    <w:p w14:paraId="44F40085" w14:textId="77777777" w:rsidR="00910CCC"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Cuatro de cada diez particulares que han comprado segunda residencia han optado por zonas costeras en un 42% frente a un 36% zonas de montaña</w:t>
      </w:r>
    </w:p>
    <w:p w14:paraId="5FC4C921" w14:textId="77777777" w:rsidR="00910CC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Los inquilinos de segunda residencia tienen más en cuenta el clima frío (42%) a la hora de alquilar que el clima caluroso (20%)</w:t>
      </w:r>
    </w:p>
    <w:p w14:paraId="1B64D686" w14:textId="77777777" w:rsidR="00910CCC" w:rsidRDefault="00910CCC">
      <w:pPr>
        <w:spacing w:line="276" w:lineRule="auto"/>
        <w:ind w:left="720"/>
        <w:jc w:val="both"/>
        <w:rPr>
          <w:rFonts w:ascii="Open Sans" w:eastAsia="Open Sans" w:hAnsi="Open Sans" w:cs="Open Sans"/>
          <w:sz w:val="22"/>
          <w:szCs w:val="22"/>
        </w:rPr>
      </w:pPr>
    </w:p>
    <w:p w14:paraId="06869CDD" w14:textId="1BDBB722" w:rsidR="00910CC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4242DF">
        <w:rPr>
          <w:rFonts w:ascii="Open Sans Light" w:eastAsia="Open Sans Light" w:hAnsi="Open Sans Light" w:cs="Open Sans Light"/>
          <w:b/>
          <w:color w:val="303AB2"/>
        </w:rPr>
        <w:t>14 de agosto</w:t>
      </w:r>
      <w:r>
        <w:rPr>
          <w:rFonts w:ascii="Open Sans Light" w:eastAsia="Open Sans Light" w:hAnsi="Open Sans Light" w:cs="Open Sans Light"/>
          <w:b/>
          <w:color w:val="303AB2"/>
        </w:rPr>
        <w:t xml:space="preserve"> de 2024</w:t>
      </w:r>
    </w:p>
    <w:p w14:paraId="753C7704" w14:textId="77777777" w:rsidR="00910CCC" w:rsidRDefault="00910CCC">
      <w:pPr>
        <w:pBdr>
          <w:top w:val="nil"/>
          <w:left w:val="nil"/>
          <w:bottom w:val="nil"/>
          <w:right w:val="nil"/>
          <w:between w:val="nil"/>
        </w:pBdr>
        <w:spacing w:line="276" w:lineRule="auto"/>
        <w:jc w:val="both"/>
        <w:rPr>
          <w:rFonts w:ascii="Open Sans" w:eastAsia="Open Sans" w:hAnsi="Open Sans" w:cs="Open Sans"/>
        </w:rPr>
      </w:pPr>
    </w:p>
    <w:p w14:paraId="2BAEBF27" w14:textId="6D6449EC" w:rsidR="00910CCC" w:rsidRDefault="00000000">
      <w:pPr>
        <w:spacing w:line="276" w:lineRule="auto"/>
        <w:jc w:val="both"/>
        <w:rPr>
          <w:rFonts w:ascii="Open Sans" w:eastAsia="Open Sans" w:hAnsi="Open Sans" w:cs="Open Sans"/>
        </w:rPr>
      </w:pPr>
      <w:r>
        <w:rPr>
          <w:rFonts w:ascii="Open Sans" w:eastAsia="Open Sans" w:hAnsi="Open Sans" w:cs="Open Sans"/>
        </w:rPr>
        <w:t>El precio continúa siendo el aspecto más relevante para el 47% de los compradores de segunda residencia. No obstante, esta cuestión pierde mucho peso en comparación con el año anterior, cuando alcanzaba el 59%. Esta es una de las principales conclusiones que se extraen del informe “</w:t>
      </w:r>
      <w:r w:rsidRPr="004242DF">
        <w:rPr>
          <w:rFonts w:ascii="Open Sans" w:eastAsia="Open Sans" w:hAnsi="Open Sans" w:cs="Open Sans"/>
          <w:b/>
          <w:bCs/>
          <w:i/>
        </w:rPr>
        <w:t>Perfil del demandante de segunda residencia</w:t>
      </w:r>
      <w:r>
        <w:rPr>
          <w:rFonts w:ascii="Open Sans" w:eastAsia="Open Sans" w:hAnsi="Open Sans" w:cs="Open Sans"/>
        </w:rPr>
        <w:t>” elaborado por</w:t>
      </w:r>
      <w:r w:rsidR="004242DF">
        <w:rPr>
          <w:rFonts w:ascii="Open Sans" w:eastAsia="Open Sans" w:hAnsi="Open Sans" w:cs="Open Sans"/>
        </w:rPr>
        <w:t xml:space="preserve"> </w:t>
      </w:r>
      <w:r w:rsidR="004242DF" w:rsidRPr="004242DF">
        <w:rPr>
          <w:rFonts w:ascii="Open Sans" w:eastAsia="Open Sans" w:hAnsi="Open Sans" w:cs="Open Sans"/>
          <w:b/>
          <w:bCs/>
        </w:rPr>
        <w:t xml:space="preserve">Fotocasa </w:t>
      </w:r>
      <w:proofErr w:type="spellStart"/>
      <w:r w:rsidR="004242DF" w:rsidRPr="004242DF">
        <w:rPr>
          <w:rFonts w:ascii="Open Sans" w:eastAsia="Open Sans" w:hAnsi="Open Sans" w:cs="Open Sans"/>
          <w:b/>
          <w:bCs/>
        </w:rPr>
        <w:t>Research</w:t>
      </w:r>
      <w:proofErr w:type="spellEnd"/>
      <w:r w:rsidR="004242DF">
        <w:rPr>
          <w:rFonts w:ascii="Open Sans" w:eastAsia="Open Sans" w:hAnsi="Open Sans" w:cs="Open Sans"/>
        </w:rPr>
        <w:t xml:space="preserve"> </w:t>
      </w:r>
      <w:r>
        <w:rPr>
          <w:rFonts w:ascii="Open Sans" w:eastAsia="Open Sans" w:hAnsi="Open Sans" w:cs="Open Sans"/>
        </w:rPr>
        <w:t>para el que se han realizado 3.500 encuestas a particulares demandantes de vivienda.</w:t>
      </w:r>
    </w:p>
    <w:p w14:paraId="69E807D1" w14:textId="77777777" w:rsidR="00910CCC" w:rsidRDefault="00910CCC">
      <w:pPr>
        <w:spacing w:line="276" w:lineRule="auto"/>
        <w:jc w:val="both"/>
        <w:rPr>
          <w:rFonts w:ascii="Open Sans" w:eastAsia="Open Sans" w:hAnsi="Open Sans" w:cs="Open Sans"/>
        </w:rPr>
      </w:pPr>
    </w:p>
    <w:p w14:paraId="0580D62A"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Tras esta premisa fundamental, encontramos algunas características intrínsecas del inmueble que son muy valoradas por los compradores de segunda residencia, como pueden ser que cuente </w:t>
      </w:r>
      <w:r>
        <w:rPr>
          <w:rFonts w:ascii="Open Sans" w:eastAsia="Open Sans" w:hAnsi="Open Sans" w:cs="Open Sans"/>
          <w:b/>
        </w:rPr>
        <w:t xml:space="preserve">con terraza (33 %, cifra también muy inferior al 44 % de 2023); que tenga buena orientación (31 %, frente al 33 % de doce meses antes) o que disponga del número apropiado de habitaciones </w:t>
      </w:r>
      <w:r>
        <w:rPr>
          <w:rFonts w:ascii="Open Sans" w:eastAsia="Open Sans" w:hAnsi="Open Sans" w:cs="Open Sans"/>
        </w:rPr>
        <w:t>(31 %, por el 39 % de 2023). Como se aprecia, las cifras se reducen, algunas de manera muy significativa, con respecto a las anotadas en el año anterior.</w:t>
      </w:r>
    </w:p>
    <w:p w14:paraId="3AA4B8B0" w14:textId="77777777" w:rsidR="00910CCC" w:rsidRDefault="00910CCC">
      <w:pPr>
        <w:spacing w:line="276" w:lineRule="auto"/>
        <w:jc w:val="both"/>
        <w:rPr>
          <w:rFonts w:ascii="Open Sans" w:eastAsia="Open Sans" w:hAnsi="Open Sans" w:cs="Open Sans"/>
        </w:rPr>
      </w:pPr>
    </w:p>
    <w:p w14:paraId="5C4E10F3"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un segundo nivel estarían, por un lado, otros aspectos propios de la vivienda como </w:t>
      </w:r>
      <w:r>
        <w:rPr>
          <w:rFonts w:ascii="Open Sans" w:eastAsia="Open Sans" w:hAnsi="Open Sans" w:cs="Open Sans"/>
          <w:b/>
        </w:rPr>
        <w:t>la distribución (27 %), la existencia de plaza de garaje (26 %), el tamaño de la vivienda (25 %) o la calidad de los materiales</w:t>
      </w:r>
      <w:r>
        <w:rPr>
          <w:rFonts w:ascii="Open Sans" w:eastAsia="Open Sans" w:hAnsi="Open Sans" w:cs="Open Sans"/>
        </w:rPr>
        <w:t xml:space="preserve"> (23 %), y otros más externos </w:t>
      </w:r>
      <w:r>
        <w:rPr>
          <w:rFonts w:ascii="Open Sans" w:eastAsia="Open Sans" w:hAnsi="Open Sans" w:cs="Open Sans"/>
        </w:rPr>
        <w:lastRenderedPageBreak/>
        <w:t>como la cercanía a servicios (26 %) o que este alejado de grandes núcleos urbanos (23 %).</w:t>
      </w:r>
    </w:p>
    <w:p w14:paraId="39ED3263" w14:textId="77777777" w:rsidR="00910CCC" w:rsidRDefault="00000000">
      <w:pP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2477A404" wp14:editId="1CDBE6C7">
            <wp:extent cx="5764220" cy="3454400"/>
            <wp:effectExtent l="0" t="0" r="0" b="0"/>
            <wp:docPr id="20668165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64220" cy="3454400"/>
                    </a:xfrm>
                    <a:prstGeom prst="rect">
                      <a:avLst/>
                    </a:prstGeom>
                    <a:ln/>
                  </pic:spPr>
                </pic:pic>
              </a:graphicData>
            </a:graphic>
          </wp:inline>
        </w:drawing>
      </w:r>
    </w:p>
    <w:p w14:paraId="5BB2E052" w14:textId="77777777" w:rsidR="00910CCC" w:rsidRDefault="00910CCC">
      <w:pPr>
        <w:spacing w:line="276" w:lineRule="auto"/>
        <w:jc w:val="both"/>
        <w:rPr>
          <w:rFonts w:ascii="Open Sans" w:eastAsia="Open Sans" w:hAnsi="Open Sans" w:cs="Open Sans"/>
        </w:rPr>
      </w:pPr>
    </w:p>
    <w:p w14:paraId="78549A41"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Por su parte, para los inquilinos de segunda residencia (o aspirantes a serlo), tras </w:t>
      </w:r>
      <w:r>
        <w:rPr>
          <w:rFonts w:ascii="Open Sans" w:eastAsia="Open Sans" w:hAnsi="Open Sans" w:cs="Open Sans"/>
          <w:b/>
        </w:rPr>
        <w:t>el precio (39%), la prioridad es que no deban invertir mucho en reformas (35%</w:t>
      </w:r>
      <w:r>
        <w:rPr>
          <w:rFonts w:ascii="Open Sans" w:eastAsia="Open Sans" w:hAnsi="Open Sans" w:cs="Open Sans"/>
        </w:rPr>
        <w:t>, un porcentaje que está cinco puntos por encima del registrado el año anterior). Otras características muy valoradas por los arrendatarios de segunda residencia son el número de habitaciones (30 %) y que se encuentre cerca del trabajo o centro de estudios (29 %).</w:t>
      </w:r>
    </w:p>
    <w:p w14:paraId="60AEA21A" w14:textId="77777777" w:rsidR="00910CCC" w:rsidRDefault="00910CCC">
      <w:pPr>
        <w:spacing w:line="276" w:lineRule="auto"/>
        <w:jc w:val="both"/>
        <w:rPr>
          <w:rFonts w:ascii="Open Sans" w:eastAsia="Open Sans" w:hAnsi="Open Sans" w:cs="Open Sans"/>
        </w:rPr>
      </w:pPr>
    </w:p>
    <w:p w14:paraId="268DAE44" w14:textId="77777777" w:rsidR="00910CC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“Aunque el precio sigue siendo el principal obstáculo para acceder a la vivienda, los porcentajes se rebajan debido a la entrada de un perfil más solvente en el mercado de compra de segunda vivienda, una figura inversora que la destina al alquiler como fuente de ingresos. También es relevante mencionar la predilección por las zonas de costa a la hora de buscar segunda residencia, que aumentan en comparación con el año anterior, en detrimento de las zonas de montaña”, </w:t>
      </w:r>
      <w:r>
        <w:rPr>
          <w:rFonts w:ascii="Open Sans" w:eastAsia="Open Sans" w:hAnsi="Open Sans" w:cs="Open Sans"/>
          <w:b/>
        </w:rPr>
        <w:t xml:space="preserve">explica María Matos, directora de Estudios y portavoz de </w:t>
      </w:r>
      <w:hyperlink r:id="rId10">
        <w:r>
          <w:rPr>
            <w:rFonts w:ascii="Open Sans" w:eastAsia="Open Sans" w:hAnsi="Open Sans" w:cs="Open Sans"/>
            <w:b/>
            <w:color w:val="1155CC"/>
            <w:u w:val="single"/>
          </w:rPr>
          <w:t>Fotocasa</w:t>
        </w:r>
      </w:hyperlink>
      <w:r>
        <w:rPr>
          <w:rFonts w:ascii="Open Sans" w:eastAsia="Open Sans" w:hAnsi="Open Sans" w:cs="Open Sans"/>
          <w:b/>
        </w:rPr>
        <w:t>.</w:t>
      </w:r>
    </w:p>
    <w:p w14:paraId="246332FB" w14:textId="77777777" w:rsidR="00910CCC" w:rsidRDefault="00910CCC">
      <w:pPr>
        <w:pBdr>
          <w:top w:val="nil"/>
          <w:left w:val="nil"/>
          <w:bottom w:val="nil"/>
          <w:right w:val="nil"/>
          <w:between w:val="nil"/>
        </w:pBdr>
        <w:spacing w:line="276" w:lineRule="auto"/>
        <w:jc w:val="both"/>
        <w:rPr>
          <w:rFonts w:ascii="Open Sans" w:eastAsia="Open Sans" w:hAnsi="Open Sans" w:cs="Open Sans"/>
        </w:rPr>
      </w:pPr>
    </w:p>
    <w:p w14:paraId="0CA79D94" w14:textId="77777777" w:rsidR="00910CCC" w:rsidRDefault="00000000">
      <w:pPr>
        <w:pBdr>
          <w:top w:val="nil"/>
          <w:left w:val="nil"/>
          <w:bottom w:val="nil"/>
          <w:right w:val="nil"/>
          <w:between w:val="nil"/>
        </w:pBd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Se busca un cambio de aires cuando se demanda segunda residencia</w:t>
      </w:r>
    </w:p>
    <w:p w14:paraId="1554FACE" w14:textId="77777777" w:rsidR="00910CCC" w:rsidRDefault="00910CCC">
      <w:pPr>
        <w:pBdr>
          <w:top w:val="nil"/>
          <w:left w:val="nil"/>
          <w:bottom w:val="nil"/>
          <w:right w:val="nil"/>
          <w:between w:val="nil"/>
        </w:pBdr>
        <w:rPr>
          <w:rFonts w:ascii="Open Sans Light" w:eastAsia="Open Sans Light" w:hAnsi="Open Sans Light" w:cs="Open Sans Light"/>
          <w:b/>
          <w:color w:val="303AB2"/>
          <w:sz w:val="28"/>
          <w:szCs w:val="28"/>
        </w:rPr>
      </w:pPr>
    </w:p>
    <w:p w14:paraId="7826619C"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Lógicamente, la búsqueda de una segunda vivienda suele tener entre sus principales fines el cambio del paisaje y entorno habitual por uno diferente. En </w:t>
      </w:r>
      <w:r>
        <w:rPr>
          <w:rFonts w:ascii="Open Sans" w:eastAsia="Open Sans" w:hAnsi="Open Sans" w:cs="Open Sans"/>
        </w:rPr>
        <w:lastRenderedPageBreak/>
        <w:t xml:space="preserve">este sentido, en las preferencias </w:t>
      </w:r>
      <w:r>
        <w:rPr>
          <w:rFonts w:ascii="Open Sans" w:eastAsia="Open Sans" w:hAnsi="Open Sans" w:cs="Open Sans"/>
          <w:b/>
        </w:rPr>
        <w:t>tanto de compradores como de inquilinos son mayoría los que optan por inmuebles situados en otra localidad diferente a la que se reside</w:t>
      </w:r>
      <w:r>
        <w:rPr>
          <w:rFonts w:ascii="Open Sans" w:eastAsia="Open Sans" w:hAnsi="Open Sans" w:cs="Open Sans"/>
        </w:rPr>
        <w:t xml:space="preserve">. En el caso de los compradores, el 80% de quienes efectivamente han comprado una segunda residencia lo ha hecho en una localidad distinta de donde vive habitualmente. Y, de estos, el 34 % lo hace en una provincia distinta. </w:t>
      </w:r>
    </w:p>
    <w:p w14:paraId="737BA763" w14:textId="77777777" w:rsidR="00910CCC" w:rsidRDefault="00910CCC">
      <w:pPr>
        <w:spacing w:line="276" w:lineRule="auto"/>
        <w:jc w:val="both"/>
        <w:rPr>
          <w:rFonts w:ascii="Open Sans" w:eastAsia="Open Sans" w:hAnsi="Open Sans" w:cs="Open Sans"/>
        </w:rPr>
      </w:pPr>
    </w:p>
    <w:p w14:paraId="69D17BC5"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el caso de los inquilinos, son el 77 % los que alquilan una segunda residencia en otra localidad distinta a la habitual. Los que cambian de provincia representan un 35 %. </w:t>
      </w:r>
    </w:p>
    <w:p w14:paraId="248629AE" w14:textId="77777777" w:rsidR="00910CCC" w:rsidRDefault="00910CCC">
      <w:pPr>
        <w:spacing w:line="276" w:lineRule="auto"/>
        <w:jc w:val="both"/>
        <w:rPr>
          <w:rFonts w:ascii="Open Sans" w:eastAsia="Open Sans" w:hAnsi="Open Sans" w:cs="Open Sans"/>
        </w:rPr>
      </w:pPr>
    </w:p>
    <w:p w14:paraId="49F9CE61" w14:textId="77777777" w:rsidR="00910CC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114300" distB="114300" distL="114300" distR="114300" wp14:anchorId="3B31120C" wp14:editId="648E2136">
            <wp:extent cx="5849303" cy="3505643"/>
            <wp:effectExtent l="0" t="0" r="0" b="0"/>
            <wp:docPr id="206681658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4561" t="4930" r="4531" b="4159"/>
                    <a:stretch>
                      <a:fillRect/>
                    </a:stretch>
                  </pic:blipFill>
                  <pic:spPr>
                    <a:xfrm>
                      <a:off x="0" y="0"/>
                      <a:ext cx="5849303" cy="3505643"/>
                    </a:xfrm>
                    <a:prstGeom prst="rect">
                      <a:avLst/>
                    </a:prstGeom>
                    <a:ln/>
                  </pic:spPr>
                </pic:pic>
              </a:graphicData>
            </a:graphic>
          </wp:inline>
        </w:drawing>
      </w:r>
    </w:p>
    <w:p w14:paraId="0F6F34BC" w14:textId="77777777" w:rsidR="00910CCC" w:rsidRDefault="00910CCC">
      <w:pPr>
        <w:spacing w:line="276" w:lineRule="auto"/>
        <w:ind w:right="4"/>
        <w:jc w:val="both"/>
        <w:rPr>
          <w:rFonts w:ascii="Open Sans" w:eastAsia="Open Sans" w:hAnsi="Open Sans" w:cs="Open Sans"/>
        </w:rPr>
      </w:pPr>
    </w:p>
    <w:p w14:paraId="3846CD70"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Pero esa disposición a la movilidad puede concretarse de diferentes formas y en el caso de los demandantes de vivienda en propiedad como segunda residencia tienen más preponderancia las zonas de playa (42 %) que entre los que buscan un inmueble de segunda residencia de alquiler (30 %). </w:t>
      </w:r>
    </w:p>
    <w:p w14:paraId="0F4423EC" w14:textId="77777777" w:rsidR="00910CCC" w:rsidRDefault="00910CCC">
      <w:pPr>
        <w:spacing w:line="276" w:lineRule="auto"/>
        <w:jc w:val="both"/>
        <w:rPr>
          <w:rFonts w:ascii="Open Sans" w:eastAsia="Open Sans" w:hAnsi="Open Sans" w:cs="Open Sans"/>
        </w:rPr>
      </w:pPr>
    </w:p>
    <w:p w14:paraId="4422CD3B"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Más igualados están en relación con</w:t>
      </w:r>
      <w:r>
        <w:rPr>
          <w:rFonts w:ascii="Open Sans" w:eastAsia="Open Sans" w:hAnsi="Open Sans" w:cs="Open Sans"/>
          <w:b/>
        </w:rPr>
        <w:t xml:space="preserve"> la opción de montaña (36 % en compra y 35 % en alquiler), mientras que el arrendamiento tiene más peso (35 %)</w:t>
      </w:r>
      <w:r>
        <w:rPr>
          <w:rFonts w:ascii="Open Sans" w:eastAsia="Open Sans" w:hAnsi="Open Sans" w:cs="Open Sans"/>
        </w:rPr>
        <w:t xml:space="preserve"> otras ubicaciones al margen de estas dos opciones. </w:t>
      </w:r>
    </w:p>
    <w:p w14:paraId="062828A1" w14:textId="77777777" w:rsidR="00910CCC" w:rsidRDefault="00000000">
      <w:pPr>
        <w:spacing w:line="276" w:lineRule="auto"/>
        <w:jc w:val="both"/>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3B9D0011" wp14:editId="111851CA">
            <wp:extent cx="5290185" cy="3057525"/>
            <wp:effectExtent l="0" t="0" r="0" b="0"/>
            <wp:docPr id="20668165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2741" t="6748" r="5519" b="4811"/>
                    <a:stretch>
                      <a:fillRect/>
                    </a:stretch>
                  </pic:blipFill>
                  <pic:spPr>
                    <a:xfrm>
                      <a:off x="0" y="0"/>
                      <a:ext cx="5290185" cy="3057525"/>
                    </a:xfrm>
                    <a:prstGeom prst="rect">
                      <a:avLst/>
                    </a:prstGeom>
                    <a:ln/>
                  </pic:spPr>
                </pic:pic>
              </a:graphicData>
            </a:graphic>
          </wp:inline>
        </w:drawing>
      </w:r>
    </w:p>
    <w:p w14:paraId="4DAB53F2" w14:textId="77777777" w:rsidR="00910CCC" w:rsidRDefault="00910CCC">
      <w:pPr>
        <w:spacing w:line="276" w:lineRule="auto"/>
        <w:jc w:val="both"/>
        <w:rPr>
          <w:rFonts w:ascii="Open Sans" w:eastAsia="Open Sans" w:hAnsi="Open Sans" w:cs="Open Sans"/>
        </w:rPr>
      </w:pPr>
    </w:p>
    <w:p w14:paraId="40C0523E" w14:textId="77777777" w:rsidR="00910CCC" w:rsidRDefault="00000000">
      <w:pPr>
        <w:spacing w:line="276" w:lineRule="auto"/>
        <w:jc w:val="both"/>
        <w:rPr>
          <w:rFonts w:ascii="Open Sans" w:eastAsia="Open Sans" w:hAnsi="Open Sans" w:cs="Open Sans"/>
        </w:rPr>
      </w:pPr>
      <w:r>
        <w:rPr>
          <w:rFonts w:ascii="Open Sans" w:eastAsia="Open Sans" w:hAnsi="Open Sans" w:cs="Open Sans"/>
        </w:rPr>
        <w:t xml:space="preserve">En cuanto a los periodos preferentes de uso de la segunda residencia, también hay diferencias entre quienes han comprado y quienes han alquilado. Los primeros se decantan más por un uso indistinto (50 %), mientras que entre los segundos hay una cierta preferencia (42 %) por los periodos invernales. </w:t>
      </w:r>
    </w:p>
    <w:p w14:paraId="2D1FDA82" w14:textId="77777777" w:rsidR="00866A48" w:rsidRPr="00866A48" w:rsidRDefault="00866A48" w:rsidP="00866A48">
      <w:pPr>
        <w:spacing w:line="276" w:lineRule="auto"/>
        <w:jc w:val="both"/>
        <w:rPr>
          <w:rFonts w:ascii="Open Sans" w:eastAsia="Open Sans" w:hAnsi="Open Sans" w:cs="Open Sans"/>
          <w:lang w:val="es-ES"/>
        </w:rPr>
      </w:pPr>
      <w:r w:rsidRPr="00866A48">
        <w:rPr>
          <w:rFonts w:ascii="Open Sans" w:eastAsia="Open Sans" w:hAnsi="Open Sans" w:cs="Open Sans"/>
          <w:noProof/>
          <w:lang w:val="es-ES"/>
        </w:rPr>
        <w:drawing>
          <wp:inline distT="0" distB="0" distL="0" distR="0" wp14:anchorId="6D065C0A" wp14:editId="3B74E5D2">
            <wp:extent cx="5783580" cy="3469383"/>
            <wp:effectExtent l="0" t="0" r="7620" b="0"/>
            <wp:docPr id="610467804"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67804" name="Imagen 2" descr="Gráfico, Gráfico de barr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4840" cy="3470139"/>
                    </a:xfrm>
                    <a:prstGeom prst="rect">
                      <a:avLst/>
                    </a:prstGeom>
                    <a:noFill/>
                    <a:ln>
                      <a:noFill/>
                    </a:ln>
                  </pic:spPr>
                </pic:pic>
              </a:graphicData>
            </a:graphic>
          </wp:inline>
        </w:drawing>
      </w:r>
    </w:p>
    <w:p w14:paraId="3A0E79BB" w14:textId="77777777" w:rsidR="00866A48" w:rsidRDefault="00866A48">
      <w:pPr>
        <w:spacing w:line="276" w:lineRule="auto"/>
        <w:jc w:val="both"/>
        <w:rPr>
          <w:rFonts w:ascii="Open Sans" w:eastAsia="Open Sans" w:hAnsi="Open Sans" w:cs="Open Sans"/>
        </w:rPr>
      </w:pPr>
    </w:p>
    <w:p w14:paraId="5860BFDE" w14:textId="77777777" w:rsidR="00866A48" w:rsidRDefault="00866A48">
      <w:pPr>
        <w:spacing w:line="276" w:lineRule="auto"/>
        <w:jc w:val="both"/>
        <w:rPr>
          <w:rFonts w:ascii="Open Sans" w:eastAsia="Open Sans" w:hAnsi="Open Sans" w:cs="Open Sans"/>
        </w:rPr>
      </w:pPr>
    </w:p>
    <w:p w14:paraId="12AD85B0" w14:textId="77777777" w:rsidR="00866A48" w:rsidRDefault="00866A48">
      <w:pPr>
        <w:spacing w:line="276" w:lineRule="auto"/>
        <w:jc w:val="both"/>
        <w:rPr>
          <w:rFonts w:ascii="Open Sans" w:eastAsia="Open Sans" w:hAnsi="Open Sans" w:cs="Open Sans"/>
        </w:rPr>
      </w:pPr>
    </w:p>
    <w:p w14:paraId="25EE62D7" w14:textId="77777777" w:rsidR="00910CCC" w:rsidRDefault="00910CCC">
      <w:pPr>
        <w:spacing w:line="276" w:lineRule="auto"/>
        <w:jc w:val="right"/>
        <w:rPr>
          <w:rFonts w:ascii="Open Sans Light" w:eastAsia="Open Sans Light" w:hAnsi="Open Sans Light" w:cs="Open Sans Light"/>
          <w:b/>
          <w:color w:val="303AB2"/>
        </w:rPr>
      </w:pPr>
    </w:p>
    <w:p w14:paraId="4552AAE5" w14:textId="77777777" w:rsidR="00910CC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F72F666" w14:textId="77777777" w:rsidR="00910CC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8636D6A" w14:textId="77777777" w:rsidR="00910CC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969447D" w14:textId="77777777" w:rsidR="00910CCC" w:rsidRDefault="0000000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675461A" w14:textId="77777777" w:rsidR="00910CCC" w:rsidRDefault="00910CCC">
      <w:pPr>
        <w:spacing w:line="276" w:lineRule="auto"/>
        <w:jc w:val="right"/>
        <w:rPr>
          <w:rFonts w:ascii="Open Sans Light" w:eastAsia="Open Sans Light" w:hAnsi="Open Sans Light" w:cs="Open Sans Light"/>
          <w:b/>
          <w:color w:val="303AB2"/>
        </w:rPr>
      </w:pPr>
    </w:p>
    <w:p w14:paraId="1C0F335B" w14:textId="77777777" w:rsidR="00910CC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E31F0B8" w14:textId="77777777" w:rsidR="00910CC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CEC8156" w14:textId="77777777" w:rsidR="00910CC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82A8674" w14:textId="77777777" w:rsidR="00910CC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6274CB2F" w14:textId="77777777" w:rsidR="00910CC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35A3A902" w14:textId="77777777" w:rsidR="00910CCC" w:rsidRDefault="00910CCC">
      <w:pPr>
        <w:spacing w:line="276" w:lineRule="auto"/>
        <w:jc w:val="right"/>
        <w:rPr>
          <w:rFonts w:ascii="Open Sans" w:eastAsia="Open Sans" w:hAnsi="Open Sans" w:cs="Open Sans"/>
        </w:rPr>
      </w:pPr>
    </w:p>
    <w:p w14:paraId="629790E2" w14:textId="77777777" w:rsidR="00910CC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B9E222A" w14:textId="77777777" w:rsidR="00910CC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C918CF6" w14:textId="77777777" w:rsidR="00910CCC"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6D97BD4" w14:textId="77777777" w:rsidR="00910CC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0705247" w14:textId="77777777" w:rsidR="00910CCC" w:rsidRDefault="00910CCC">
      <w:pPr>
        <w:spacing w:line="276" w:lineRule="auto"/>
        <w:rPr>
          <w:rFonts w:ascii="Open Sans Light" w:eastAsia="Open Sans Light" w:hAnsi="Open Sans Light" w:cs="Open Sans Light"/>
          <w:b/>
          <w:color w:val="303AB2"/>
          <w:sz w:val="22"/>
          <w:szCs w:val="22"/>
        </w:rPr>
      </w:pPr>
    </w:p>
    <w:p w14:paraId="3011349A" w14:textId="77777777" w:rsidR="00910CCC" w:rsidRDefault="00910CCC">
      <w:pPr>
        <w:spacing w:line="276" w:lineRule="auto"/>
        <w:rPr>
          <w:rFonts w:ascii="Open Sans Light" w:eastAsia="Open Sans Light" w:hAnsi="Open Sans Light" w:cs="Open Sans Light"/>
          <w:b/>
          <w:color w:val="303AB2"/>
          <w:sz w:val="22"/>
          <w:szCs w:val="22"/>
        </w:rPr>
      </w:pPr>
    </w:p>
    <w:p w14:paraId="1F1BC460" w14:textId="77777777" w:rsidR="00910CCC"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74954D8" w14:textId="77777777" w:rsidR="00910CCC"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23489E43" w14:textId="77777777" w:rsidR="00910CCC" w:rsidRDefault="00000000">
      <w:pPr>
        <w:shd w:val="clear" w:color="auto" w:fill="FFFFFF"/>
        <w:ind w:right="-433"/>
        <w:rPr>
          <w:rFonts w:ascii="Open Sans" w:eastAsia="Open Sans" w:hAnsi="Open Sans" w:cs="Open Sans"/>
          <w:b/>
          <w:sz w:val="22"/>
          <w:szCs w:val="22"/>
        </w:rPr>
      </w:pPr>
      <w:hyperlink r:id="rId24">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33EC483B" w14:textId="77777777" w:rsidR="00910CCC" w:rsidRPr="00866A48" w:rsidRDefault="00000000">
      <w:pPr>
        <w:shd w:val="clear" w:color="auto" w:fill="FFFFFF"/>
        <w:ind w:right="-433"/>
        <w:rPr>
          <w:rFonts w:ascii="Open Sans" w:eastAsia="Open Sans" w:hAnsi="Open Sans" w:cs="Open Sans"/>
          <w:sz w:val="22"/>
          <w:szCs w:val="22"/>
          <w:lang w:val="en-US"/>
        </w:rPr>
      </w:pPr>
      <w:r w:rsidRPr="00866A48">
        <w:rPr>
          <w:rFonts w:ascii="Open Sans" w:eastAsia="Open Sans" w:hAnsi="Open Sans" w:cs="Open Sans"/>
          <w:sz w:val="22"/>
          <w:szCs w:val="22"/>
          <w:lang w:val="en-US"/>
        </w:rPr>
        <w:t>663 35 69 75 </w:t>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r w:rsidRPr="00866A48">
        <w:rPr>
          <w:rFonts w:ascii="Open Sans" w:eastAsia="Open Sans" w:hAnsi="Open Sans" w:cs="Open Sans"/>
          <w:sz w:val="22"/>
          <w:szCs w:val="22"/>
          <w:lang w:val="en-US"/>
        </w:rPr>
        <w:tab/>
      </w:r>
    </w:p>
    <w:p w14:paraId="0A9BDBC0" w14:textId="77777777" w:rsidR="00910CCC" w:rsidRPr="00866A48" w:rsidRDefault="00000000">
      <w:pPr>
        <w:shd w:val="clear" w:color="auto" w:fill="FFFFFF"/>
        <w:ind w:right="-433"/>
        <w:rPr>
          <w:color w:val="222222"/>
          <w:sz w:val="22"/>
          <w:szCs w:val="22"/>
          <w:lang w:val="en-US"/>
        </w:rPr>
      </w:pPr>
      <w:r w:rsidRPr="00866A48">
        <w:rPr>
          <w:color w:val="222222"/>
          <w:sz w:val="22"/>
          <w:szCs w:val="22"/>
          <w:lang w:val="en-US"/>
        </w:rPr>
        <w:lastRenderedPageBreak/>
        <w:tab/>
      </w:r>
      <w:r w:rsidRPr="00866A48">
        <w:rPr>
          <w:color w:val="222222"/>
          <w:sz w:val="22"/>
          <w:szCs w:val="22"/>
          <w:lang w:val="en-US"/>
        </w:rPr>
        <w:tab/>
        <w:t xml:space="preserve">     </w:t>
      </w:r>
    </w:p>
    <w:p w14:paraId="1849FFD6" w14:textId="77777777" w:rsidR="00910CCC" w:rsidRPr="00866A48" w:rsidRDefault="00000000">
      <w:pPr>
        <w:shd w:val="clear" w:color="auto" w:fill="FFFFFF"/>
        <w:ind w:right="-433"/>
        <w:rPr>
          <w:rFonts w:ascii="Open Sans" w:eastAsia="Open Sans" w:hAnsi="Open Sans" w:cs="Open Sans"/>
          <w:b/>
          <w:sz w:val="22"/>
          <w:szCs w:val="22"/>
          <w:lang w:val="en-US"/>
        </w:rPr>
      </w:pPr>
      <w:r w:rsidRPr="00866A48">
        <w:rPr>
          <w:rFonts w:ascii="Open Sans" w:eastAsia="Open Sans" w:hAnsi="Open Sans" w:cs="Open Sans"/>
          <w:b/>
          <w:sz w:val="22"/>
          <w:szCs w:val="22"/>
          <w:lang w:val="en-US"/>
        </w:rPr>
        <w:t xml:space="preserve">Judit </w:t>
      </w:r>
      <w:proofErr w:type="spellStart"/>
      <w:r w:rsidRPr="00866A48">
        <w:rPr>
          <w:rFonts w:ascii="Open Sans" w:eastAsia="Open Sans" w:hAnsi="Open Sans" w:cs="Open Sans"/>
          <w:b/>
          <w:sz w:val="22"/>
          <w:szCs w:val="22"/>
          <w:lang w:val="en-US"/>
        </w:rPr>
        <w:t>Campillos</w:t>
      </w:r>
      <w:proofErr w:type="spellEnd"/>
    </w:p>
    <w:p w14:paraId="69E87939" w14:textId="77777777" w:rsidR="00910CCC" w:rsidRPr="00866A48" w:rsidRDefault="00000000">
      <w:pPr>
        <w:shd w:val="clear" w:color="auto" w:fill="FFFFFF"/>
        <w:ind w:right="-433"/>
        <w:rPr>
          <w:rFonts w:ascii="Open Sans" w:eastAsia="Open Sans" w:hAnsi="Open Sans" w:cs="Open Sans"/>
          <w:b/>
          <w:sz w:val="22"/>
          <w:szCs w:val="22"/>
          <w:lang w:val="en-US"/>
        </w:rPr>
      </w:pPr>
      <w:proofErr w:type="spellStart"/>
      <w:r w:rsidRPr="00866A48">
        <w:rPr>
          <w:rFonts w:ascii="Open Sans" w:eastAsia="Open Sans" w:hAnsi="Open Sans" w:cs="Open Sans"/>
          <w:color w:val="0000FF"/>
          <w:sz w:val="22"/>
          <w:szCs w:val="22"/>
          <w:u w:val="single"/>
          <w:lang w:val="en-US"/>
        </w:rPr>
        <w:t>jcampillos</w:t>
      </w:r>
      <w:hyperlink r:id="rId25">
        <w:r w:rsidRPr="00866A48">
          <w:rPr>
            <w:rFonts w:ascii="Open Sans" w:eastAsia="Open Sans" w:hAnsi="Open Sans" w:cs="Open Sans"/>
            <w:color w:val="0000FF"/>
            <w:sz w:val="22"/>
            <w:szCs w:val="22"/>
            <w:u w:val="single"/>
            <w:lang w:val="en-US"/>
          </w:rPr>
          <w:t>@ll</w:t>
        </w:r>
      </w:hyperlink>
      <w:proofErr w:type="gramStart"/>
      <w:r w:rsidRPr="00866A48">
        <w:rPr>
          <w:rFonts w:ascii="Open Sans" w:eastAsia="Open Sans" w:hAnsi="Open Sans" w:cs="Open Sans"/>
          <w:color w:val="0000FF"/>
          <w:sz w:val="22"/>
          <w:szCs w:val="22"/>
          <w:u w:val="single"/>
          <w:lang w:val="en-US"/>
        </w:rPr>
        <w:t>yc.global</w:t>
      </w:r>
      <w:proofErr w:type="spellEnd"/>
      <w:proofErr w:type="gramEnd"/>
      <w:r w:rsidRPr="00866A48">
        <w:rPr>
          <w:rFonts w:ascii="Open Sans" w:eastAsia="Open Sans" w:hAnsi="Open Sans" w:cs="Open Sans"/>
          <w:color w:val="0000FF"/>
          <w:sz w:val="22"/>
          <w:szCs w:val="22"/>
          <w:lang w:val="en-US"/>
        </w:rPr>
        <w:tab/>
      </w:r>
      <w:r w:rsidRPr="00866A48">
        <w:rPr>
          <w:rFonts w:ascii="Open Sans" w:eastAsia="Open Sans" w:hAnsi="Open Sans" w:cs="Open Sans"/>
          <w:color w:val="0000FF"/>
          <w:sz w:val="22"/>
          <w:szCs w:val="22"/>
          <w:lang w:val="en-US"/>
        </w:rPr>
        <w:tab/>
      </w:r>
    </w:p>
    <w:p w14:paraId="167F80A9" w14:textId="77777777" w:rsidR="00910CCC" w:rsidRPr="004242DF" w:rsidRDefault="00000000">
      <w:pPr>
        <w:shd w:val="clear" w:color="auto" w:fill="FFFFFF"/>
        <w:ind w:right="-433"/>
        <w:rPr>
          <w:rFonts w:ascii="Open Sans" w:eastAsia="Open Sans" w:hAnsi="Open Sans" w:cs="Open Sans"/>
          <w:sz w:val="22"/>
          <w:szCs w:val="22"/>
          <w:lang w:val="en-US"/>
        </w:rPr>
      </w:pPr>
      <w:r w:rsidRPr="004242DF">
        <w:rPr>
          <w:rFonts w:ascii="Open Sans" w:eastAsia="Open Sans" w:hAnsi="Open Sans" w:cs="Open Sans"/>
          <w:sz w:val="22"/>
          <w:szCs w:val="22"/>
          <w:lang w:val="en-US"/>
        </w:rPr>
        <w:t>699 13 91 53</w:t>
      </w:r>
    </w:p>
    <w:p w14:paraId="34779E06" w14:textId="77777777" w:rsidR="00910CCC" w:rsidRPr="004242DF" w:rsidRDefault="00910CCC">
      <w:pPr>
        <w:rPr>
          <w:rFonts w:ascii="Open Sans" w:eastAsia="Open Sans" w:hAnsi="Open Sans" w:cs="Open Sans"/>
          <w:color w:val="30302E"/>
          <w:sz w:val="22"/>
          <w:szCs w:val="22"/>
          <w:highlight w:val="white"/>
          <w:lang w:val="en-US"/>
        </w:rPr>
      </w:pPr>
    </w:p>
    <w:p w14:paraId="6BF622B8" w14:textId="77777777" w:rsidR="00910CCC"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5C9EE52D" w14:textId="77777777" w:rsidR="00910CCC" w:rsidRDefault="00000000">
      <w:pPr>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alicia.salvatella@llyc.global</w:t>
        </w:r>
      </w:hyperlink>
    </w:p>
    <w:p w14:paraId="56CAE4C2" w14:textId="77777777" w:rsidR="00910CCC"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0B6D885" w14:textId="77777777" w:rsidR="00910CCC" w:rsidRDefault="00910CCC">
      <w:pPr>
        <w:shd w:val="clear" w:color="auto" w:fill="FFFFFF"/>
        <w:rPr>
          <w:rFonts w:ascii="Open Sans" w:eastAsia="Open Sans" w:hAnsi="Open Sans" w:cs="Open Sans"/>
          <w:color w:val="000000"/>
          <w:sz w:val="22"/>
          <w:szCs w:val="22"/>
        </w:rPr>
      </w:pPr>
    </w:p>
    <w:p w14:paraId="419D2B53" w14:textId="77777777" w:rsidR="00910CCC" w:rsidRDefault="00910CCC">
      <w:pPr>
        <w:shd w:val="clear" w:color="auto" w:fill="FFFFFF"/>
        <w:rPr>
          <w:rFonts w:ascii="Open Sans" w:eastAsia="Open Sans" w:hAnsi="Open Sans" w:cs="Open Sans"/>
          <w:color w:val="000000"/>
          <w:sz w:val="22"/>
          <w:szCs w:val="22"/>
        </w:rPr>
      </w:pPr>
    </w:p>
    <w:sectPr w:rsidR="00910CCC">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90928" w14:textId="77777777" w:rsidR="00F376F7" w:rsidRDefault="00F376F7">
      <w:r>
        <w:separator/>
      </w:r>
    </w:p>
  </w:endnote>
  <w:endnote w:type="continuationSeparator" w:id="0">
    <w:p w14:paraId="613E848F" w14:textId="77777777" w:rsidR="00F376F7" w:rsidRDefault="00F37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676216-36EF-42C0-AB04-515DA17B85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2DA6951-9564-42BB-8831-EF9937E08DE0}"/>
    <w:embedBold r:id="rId3" w:fontKey="{0F77439D-1474-4208-9260-7EA6FD316C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31F5077-2FAC-4933-BDC1-C1AB6985704F}"/>
    <w:embedItalic r:id="rId5" w:fontKey="{1AEC6FCF-6BCB-43C5-84F4-1C377DE09F22}"/>
  </w:font>
  <w:font w:name="Cambria">
    <w:panose1 w:val="02040503050406030204"/>
    <w:charset w:val="00"/>
    <w:family w:val="roman"/>
    <w:pitch w:val="variable"/>
    <w:sig w:usb0="E00006FF" w:usb1="420024FF" w:usb2="02000000" w:usb3="00000000" w:csb0="0000019F" w:csb1="00000000"/>
    <w:embedRegular r:id="rId6" w:fontKey="{14CD864E-90DF-4BF9-8734-201ED293747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15485A3D-BD40-41F0-895A-57ED1019AE81}"/>
    <w:embedBold r:id="rId8" w:fontKey="{1589E6A9-9B76-429C-AED5-3E3551D154CC}"/>
    <w:embedBoldItalic r:id="rId9" w:fontKey="{1AEADD85-704C-4321-9DB0-B1302D09F637}"/>
  </w:font>
  <w:font w:name="Open Sans Light">
    <w:charset w:val="00"/>
    <w:family w:val="swiss"/>
    <w:pitch w:val="variable"/>
    <w:sig w:usb0="E00002EF" w:usb1="4000205B" w:usb2="00000028" w:usb3="00000000" w:csb0="0000019F" w:csb1="00000000"/>
    <w:embedRegular r:id="rId10" w:fontKey="{969556A4-426E-496F-AF31-B4FC498D3885}"/>
    <w:embedBold r:id="rId11" w:fontKey="{3F166CBA-4D24-414B-94EF-20CD9F32A5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B900F" w14:textId="77777777" w:rsidR="00910CC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19E81EC" wp14:editId="28EAFF25">
          <wp:simplePos x="0" y="0"/>
          <wp:positionH relativeFrom="column">
            <wp:posOffset>-1068052</wp:posOffset>
          </wp:positionH>
          <wp:positionV relativeFrom="paragraph">
            <wp:posOffset>174608</wp:posOffset>
          </wp:positionV>
          <wp:extent cx="7670550" cy="451315"/>
          <wp:effectExtent l="0" t="0" r="0" b="0"/>
          <wp:wrapNone/>
          <wp:docPr id="20668165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C5711" w14:textId="77777777" w:rsidR="00F376F7" w:rsidRDefault="00F376F7">
      <w:r>
        <w:separator/>
      </w:r>
    </w:p>
  </w:footnote>
  <w:footnote w:type="continuationSeparator" w:id="0">
    <w:p w14:paraId="2BD75721" w14:textId="77777777" w:rsidR="00F376F7" w:rsidRDefault="00F37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32CC"/>
    <w:multiLevelType w:val="multilevel"/>
    <w:tmpl w:val="E86E4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4333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CCC"/>
    <w:rsid w:val="004242DF"/>
    <w:rsid w:val="00583F5B"/>
    <w:rsid w:val="00866A48"/>
    <w:rsid w:val="00910CCC"/>
    <w:rsid w:val="00A80258"/>
    <w:rsid w:val="00D43398"/>
    <w:rsid w:val="00F37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EE91"/>
  <w15:docId w15:val="{4E50E0BA-FF4D-40FB-9E1A-75209F0CB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d"/>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a"/>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a"/>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3842613">
      <w:bodyDiv w:val="1"/>
      <w:marLeft w:val="0"/>
      <w:marRight w:val="0"/>
      <w:marTop w:val="0"/>
      <w:marBottom w:val="0"/>
      <w:divBdr>
        <w:top w:val="none" w:sz="0" w:space="0" w:color="auto"/>
        <w:left w:val="none" w:sz="0" w:space="0" w:color="auto"/>
        <w:bottom w:val="none" w:sz="0" w:space="0" w:color="auto"/>
        <w:right w:val="none" w:sz="0" w:space="0" w:color="auto"/>
      </w:divBdr>
    </w:div>
    <w:div w:id="190868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habitaclia.com/" TargetMode="External"/><Relationship Id="rId26" Type="http://schemas.openxmlformats.org/officeDocument/2006/relationships/hyperlink" Target="mailto:alicia.salvatella@llyc.global"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hyperlink" Target="https://www.fotocasa.es/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LzWGVP2Nm05ESrQCp0XpyQLRw==">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1110</Words>
  <Characters>6111</Characters>
  <Application>Microsoft Office Word</Application>
  <DocSecurity>0</DocSecurity>
  <Lines>50</Lines>
  <Paragraphs>14</Paragraphs>
  <ScaleCrop>false</ScaleCrop>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2024-07-22T11:58:00Z</dcterms:modified>
</cp:coreProperties>
</file>