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2F7B0" w14:textId="77777777" w:rsidR="00D96DC4" w:rsidRDefault="00000000">
      <w:r>
        <w:rPr>
          <w:noProof/>
        </w:rPr>
        <w:drawing>
          <wp:anchor distT="0" distB="0" distL="114300" distR="114300" simplePos="0" relativeHeight="251658240" behindDoc="0" locked="0" layoutInCell="1" hidden="0" allowOverlap="1" wp14:anchorId="1EA6D4F7" wp14:editId="0144C999">
            <wp:simplePos x="0" y="0"/>
            <wp:positionH relativeFrom="column">
              <wp:posOffset>-1080132</wp:posOffset>
            </wp:positionH>
            <wp:positionV relativeFrom="paragraph">
              <wp:posOffset>-654683</wp:posOffset>
            </wp:positionV>
            <wp:extent cx="7581265" cy="1019175"/>
            <wp:effectExtent l="0" t="0" r="0" b="0"/>
            <wp:wrapNone/>
            <wp:docPr id="20937902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E54D3F5" w14:textId="77777777" w:rsidR="00D96DC4" w:rsidRDefault="00D96DC4">
      <w:pPr>
        <w:jc w:val="right"/>
        <w:rPr>
          <w:rFonts w:ascii="National" w:eastAsia="National" w:hAnsi="National" w:cs="National"/>
          <w:color w:val="303AB2"/>
          <w:sz w:val="36"/>
          <w:szCs w:val="36"/>
        </w:rPr>
      </w:pPr>
    </w:p>
    <w:p w14:paraId="5754409C" w14:textId="77777777" w:rsidR="00D96DC4" w:rsidRDefault="00D96DC4">
      <w:pPr>
        <w:rPr>
          <w:rFonts w:ascii="National" w:eastAsia="National" w:hAnsi="National" w:cs="National"/>
          <w:color w:val="303AB2"/>
          <w:sz w:val="18"/>
          <w:szCs w:val="18"/>
        </w:rPr>
      </w:pPr>
    </w:p>
    <w:p w14:paraId="563F8A65" w14:textId="77777777" w:rsidR="00D96DC4"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ALQUILER EN 2024</w:t>
      </w:r>
    </w:p>
    <w:p w14:paraId="5EAD29D8" w14:textId="77777777" w:rsidR="00D96DC4"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La desconfianza sobre los posibles inquilinos, la principal dificultad para el 40% de los propietarios de vivienda</w:t>
      </w:r>
    </w:p>
    <w:p w14:paraId="342B258D" w14:textId="77777777" w:rsidR="00D96DC4" w:rsidRDefault="00D96DC4">
      <w:pPr>
        <w:spacing w:line="276" w:lineRule="auto"/>
        <w:ind w:right="4"/>
        <w:jc w:val="both"/>
        <w:rPr>
          <w:rFonts w:ascii="Open Sans" w:eastAsia="Open Sans" w:hAnsi="Open Sans" w:cs="Open Sans"/>
          <w:color w:val="303AB2"/>
        </w:rPr>
      </w:pPr>
    </w:p>
    <w:p w14:paraId="764C6324" w14:textId="77777777" w:rsidR="00D96D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L</w:t>
      </w:r>
      <w:r>
        <w:rPr>
          <w:rFonts w:ascii="Open Sans" w:eastAsia="Open Sans" w:hAnsi="Open Sans" w:cs="Open Sans"/>
          <w:color w:val="000000"/>
          <w:sz w:val="22"/>
          <w:szCs w:val="22"/>
        </w:rPr>
        <w:t>a falta de disponibilidad de tiempo para enseñar las viviendas</w:t>
      </w:r>
      <w:r>
        <w:rPr>
          <w:rFonts w:ascii="Open Sans" w:eastAsia="Open Sans" w:hAnsi="Open Sans" w:cs="Open Sans"/>
          <w:sz w:val="22"/>
          <w:szCs w:val="22"/>
        </w:rPr>
        <w:t xml:space="preserve"> </w:t>
      </w:r>
      <w:r>
        <w:rPr>
          <w:rFonts w:ascii="Open Sans" w:eastAsia="Open Sans" w:hAnsi="Open Sans" w:cs="Open Sans"/>
          <w:color w:val="000000"/>
          <w:sz w:val="22"/>
          <w:szCs w:val="22"/>
        </w:rPr>
        <w:t>o la cantidad elevada de ofertas que reciben, son dif</w:t>
      </w:r>
      <w:r>
        <w:rPr>
          <w:rFonts w:ascii="Open Sans" w:eastAsia="Open Sans" w:hAnsi="Open Sans" w:cs="Open Sans"/>
          <w:sz w:val="22"/>
          <w:szCs w:val="22"/>
        </w:rPr>
        <w:t>icultades señaladas por los propietarios</w:t>
      </w:r>
    </w:p>
    <w:p w14:paraId="6B8462DF" w14:textId="77777777" w:rsidR="00D96D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Tener una renta cada mes es el principal motivo para alquilar: un 64% dice que es una fuente de ingresos y un 42% la rentabilidad que ofrece</w:t>
      </w:r>
    </w:p>
    <w:p w14:paraId="50D1FC86" w14:textId="77777777" w:rsidR="00D96DC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propietarios no venden la vivienda porque </w:t>
      </w:r>
      <w:r>
        <w:rPr>
          <w:rFonts w:ascii="Open Sans" w:eastAsia="Open Sans" w:hAnsi="Open Sans" w:cs="Open Sans"/>
          <w:sz w:val="22"/>
          <w:szCs w:val="22"/>
        </w:rPr>
        <w:t xml:space="preserve">la rentabilidad que ofrece el alquiler </w:t>
      </w:r>
      <w:r>
        <w:rPr>
          <w:rFonts w:ascii="Open Sans" w:eastAsia="Open Sans" w:hAnsi="Open Sans" w:cs="Open Sans"/>
          <w:color w:val="000000"/>
          <w:sz w:val="22"/>
          <w:szCs w:val="22"/>
        </w:rPr>
        <w:t xml:space="preserve">(37%) y es una fuente de ingresos </w:t>
      </w:r>
      <w:r>
        <w:rPr>
          <w:rFonts w:ascii="Open Sans" w:eastAsia="Open Sans" w:hAnsi="Open Sans" w:cs="Open Sans"/>
          <w:sz w:val="22"/>
          <w:szCs w:val="22"/>
        </w:rPr>
        <w:t>que</w:t>
      </w:r>
      <w:r>
        <w:rPr>
          <w:rFonts w:ascii="Open Sans" w:eastAsia="Open Sans" w:hAnsi="Open Sans" w:cs="Open Sans"/>
          <w:color w:val="000000"/>
          <w:sz w:val="22"/>
          <w:szCs w:val="22"/>
        </w:rPr>
        <w:t xml:space="preserve"> ayuda a pagar la hipoteca (27%)</w:t>
      </w:r>
    </w:p>
    <w:p w14:paraId="22D16FBB" w14:textId="77777777" w:rsidR="00D96DC4" w:rsidRDefault="00D96DC4">
      <w:pPr>
        <w:pBdr>
          <w:top w:val="nil"/>
          <w:left w:val="nil"/>
          <w:bottom w:val="nil"/>
          <w:right w:val="nil"/>
          <w:between w:val="nil"/>
        </w:pBdr>
        <w:spacing w:line="276" w:lineRule="auto"/>
        <w:ind w:left="720"/>
        <w:jc w:val="both"/>
        <w:rPr>
          <w:rFonts w:ascii="Open Sans" w:eastAsia="Open Sans" w:hAnsi="Open Sans" w:cs="Open Sans"/>
          <w:color w:val="303AB2"/>
        </w:rPr>
      </w:pPr>
    </w:p>
    <w:p w14:paraId="57B8249C" w14:textId="6D097BA9" w:rsidR="00D96DC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sidRPr="00FE0BE7">
        <w:rPr>
          <w:rFonts w:ascii="Open Sans Light" w:eastAsia="Open Sans Light" w:hAnsi="Open Sans Light" w:cs="Open Sans Light"/>
          <w:b/>
          <w:color w:val="303AB2"/>
          <w:sz w:val="22"/>
          <w:szCs w:val="22"/>
        </w:rPr>
        <w:t xml:space="preserve">Madrid, </w:t>
      </w:r>
      <w:r w:rsidR="00AB6C6B">
        <w:rPr>
          <w:rFonts w:ascii="Open Sans Light" w:eastAsia="Open Sans Light" w:hAnsi="Open Sans Light" w:cs="Open Sans Light"/>
          <w:b/>
          <w:color w:val="303AB2"/>
          <w:sz w:val="22"/>
          <w:szCs w:val="22"/>
        </w:rPr>
        <w:t>25</w:t>
      </w:r>
      <w:r w:rsidR="00FE0BE7" w:rsidRPr="00FE0BE7">
        <w:rPr>
          <w:rFonts w:ascii="Open Sans Light" w:eastAsia="Open Sans Light" w:hAnsi="Open Sans Light" w:cs="Open Sans Light"/>
          <w:b/>
          <w:color w:val="303AB2"/>
          <w:sz w:val="22"/>
          <w:szCs w:val="22"/>
        </w:rPr>
        <w:t xml:space="preserve"> de septiembre</w:t>
      </w:r>
      <w:r w:rsidRPr="00FE0BE7">
        <w:rPr>
          <w:rFonts w:ascii="Open Sans Light" w:eastAsia="Open Sans Light" w:hAnsi="Open Sans Light" w:cs="Open Sans Light"/>
          <w:b/>
          <w:color w:val="303AB2"/>
          <w:sz w:val="22"/>
          <w:szCs w:val="22"/>
        </w:rPr>
        <w:t xml:space="preserve"> de 2024</w:t>
      </w:r>
    </w:p>
    <w:p w14:paraId="4E61600B" w14:textId="77777777" w:rsidR="00D96DC4" w:rsidRDefault="00D96DC4">
      <w:pPr>
        <w:pBdr>
          <w:top w:val="nil"/>
          <w:left w:val="nil"/>
          <w:bottom w:val="nil"/>
          <w:right w:val="nil"/>
          <w:between w:val="nil"/>
        </w:pBdr>
        <w:spacing w:line="276" w:lineRule="auto"/>
        <w:jc w:val="both"/>
        <w:rPr>
          <w:rFonts w:ascii="Open Sans" w:eastAsia="Open Sans" w:hAnsi="Open Sans" w:cs="Open Sans"/>
        </w:rPr>
      </w:pPr>
    </w:p>
    <w:p w14:paraId="08AE6B01" w14:textId="0E389F66" w:rsidR="00D96DC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Las dificultades durante el proceso de arrendamiento de una vivienda no son algo exclusivo de los inquilinos. De hecho, los propietarios que tienen alguna vivienda en alquiler también se encuentran con escollos durante su camino. En este sentido el principal problema que encuentran es la desconfianza sobre los posibles inquilinos, a la que hacen referencia el 40% de ellos. Así lo muestra el informe </w:t>
      </w:r>
      <w:r w:rsidR="00FE0BE7">
        <w:rPr>
          <w:rFonts w:ascii="Open Sans" w:eastAsia="Open Sans" w:hAnsi="Open Sans" w:cs="Open Sans"/>
          <w:sz w:val="22"/>
          <w:szCs w:val="22"/>
        </w:rPr>
        <w:t>“</w:t>
      </w:r>
      <w:hyperlink r:id="rId9" w:history="1">
        <w:r w:rsidR="00FE0BE7" w:rsidRPr="00703971">
          <w:rPr>
            <w:rStyle w:val="Hipervnculo"/>
            <w:rFonts w:ascii="Open Sans" w:eastAsia="Open Sans" w:hAnsi="Open Sans" w:cs="Open Sans"/>
            <w:b/>
            <w:i/>
            <w:sz w:val="22"/>
            <w:szCs w:val="22"/>
          </w:rPr>
          <w:t>Experiencia en alquiler en 2024</w:t>
        </w:r>
      </w:hyperlink>
      <w:r w:rsidR="00FE0BE7">
        <w:rPr>
          <w:rFonts w:ascii="Open Sans" w:eastAsia="Open Sans" w:hAnsi="Open Sans" w:cs="Open Sans"/>
          <w:sz w:val="22"/>
          <w:szCs w:val="22"/>
        </w:rPr>
        <w:t>”</w:t>
      </w:r>
      <w:r>
        <w:rPr>
          <w:rFonts w:ascii="Open Sans" w:eastAsia="Open Sans" w:hAnsi="Open Sans" w:cs="Open Sans"/>
          <w:sz w:val="22"/>
          <w:szCs w:val="22"/>
        </w:rPr>
        <w:t xml:space="preserve"> que pretende trazar una exhaustiva radiografía del mercado inmobiliario en alquiler.</w:t>
      </w:r>
    </w:p>
    <w:p w14:paraId="264BB325" w14:textId="77777777" w:rsidR="00D96DC4" w:rsidRDefault="00D96DC4">
      <w:pPr>
        <w:spacing w:line="276" w:lineRule="auto"/>
        <w:ind w:right="4"/>
        <w:jc w:val="both"/>
        <w:rPr>
          <w:rFonts w:ascii="Open Sans" w:eastAsia="Open Sans" w:hAnsi="Open Sans" w:cs="Open Sans"/>
          <w:sz w:val="22"/>
          <w:szCs w:val="22"/>
        </w:rPr>
      </w:pPr>
    </w:p>
    <w:p w14:paraId="41246B9B" w14:textId="77777777" w:rsidR="00D96DC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Tras el problema de la desconfianza, y con una incidencia menor, se encuentran otras barreras como la disponibilidad de tiempo para enseñar la vivienda (13%), la labor de las inmobiliarias o agencias (10%) o la cantidad elevada de ofertas que reciben por su piso (8%).</w:t>
      </w:r>
    </w:p>
    <w:p w14:paraId="2D40F8FE" w14:textId="77777777" w:rsidR="00D96DC4" w:rsidRDefault="00D96DC4">
      <w:pPr>
        <w:spacing w:line="276" w:lineRule="auto"/>
        <w:ind w:right="4"/>
        <w:jc w:val="both"/>
        <w:rPr>
          <w:rFonts w:ascii="Open Sans" w:eastAsia="Open Sans" w:hAnsi="Open Sans" w:cs="Open Sans"/>
          <w:sz w:val="22"/>
          <w:szCs w:val="22"/>
        </w:rPr>
      </w:pPr>
    </w:p>
    <w:p w14:paraId="6F7D74D1" w14:textId="1660B4AF" w:rsidR="00037B15" w:rsidRPr="00037B15" w:rsidRDefault="00037B15" w:rsidP="00037B15">
      <w:pPr>
        <w:spacing w:line="276" w:lineRule="auto"/>
        <w:ind w:right="4"/>
        <w:jc w:val="both"/>
        <w:rPr>
          <w:rFonts w:ascii="Open Sans Light" w:eastAsia="Open Sans Light" w:hAnsi="Open Sans Light" w:cs="Open Sans Light"/>
          <w:b/>
          <w:bCs/>
          <w:color w:val="303AB2"/>
        </w:rPr>
      </w:pPr>
      <w:r>
        <w:rPr>
          <w:rFonts w:ascii="Open Sans" w:eastAsia="Open Sans" w:hAnsi="Open Sans" w:cs="Open Sans"/>
          <w:sz w:val="22"/>
          <w:szCs w:val="22"/>
        </w:rPr>
        <w:t xml:space="preserve">“Las preocupaciones de los propietarios sobre posibles impagos, destrozos o incluso ocupaciones en su vivienda y el hecho de no tener garantías sobre la recuperación de </w:t>
      </w:r>
      <w:proofErr w:type="gramStart"/>
      <w:r>
        <w:rPr>
          <w:rFonts w:ascii="Open Sans" w:eastAsia="Open Sans" w:hAnsi="Open Sans" w:cs="Open Sans"/>
          <w:sz w:val="22"/>
          <w:szCs w:val="22"/>
        </w:rPr>
        <w:t>la misma</w:t>
      </w:r>
      <w:proofErr w:type="gramEnd"/>
      <w:r>
        <w:rPr>
          <w:rFonts w:ascii="Open Sans" w:eastAsia="Open Sans" w:hAnsi="Open Sans" w:cs="Open Sans"/>
          <w:sz w:val="22"/>
          <w:szCs w:val="22"/>
        </w:rPr>
        <w:t xml:space="preserve">, desincentivan la puesta en alquiler de los inmuebles. En estos momentos, la falta de seguridad jurídica y legislativa existente, sumada a la poca profesionalización del mercado del alquiler generan obstáculos para que la escasa oferta de vivienda en renta disponible aumente o se mantenga en el mercado “, </w:t>
      </w:r>
      <w:r w:rsidRPr="00037B15">
        <w:rPr>
          <w:rFonts w:ascii="Open Sans" w:eastAsia="Open Sans" w:hAnsi="Open Sans" w:cs="Open Sans"/>
          <w:b/>
          <w:bCs/>
          <w:sz w:val="22"/>
          <w:szCs w:val="22"/>
        </w:rPr>
        <w:t xml:space="preserve">comenta María Matos, directora de Estudios y portavoz de </w:t>
      </w:r>
      <w:hyperlink r:id="rId10">
        <w:r w:rsidRPr="00037B15">
          <w:rPr>
            <w:rFonts w:ascii="Open Sans" w:eastAsia="Open Sans" w:hAnsi="Open Sans" w:cs="Open Sans"/>
            <w:b/>
            <w:bCs/>
            <w:color w:val="1155CC"/>
            <w:sz w:val="22"/>
            <w:szCs w:val="22"/>
            <w:u w:val="single"/>
          </w:rPr>
          <w:t>Fotocasa</w:t>
        </w:r>
      </w:hyperlink>
      <w:r w:rsidRPr="00037B15">
        <w:rPr>
          <w:rFonts w:ascii="Open Sans" w:eastAsia="Open Sans" w:hAnsi="Open Sans" w:cs="Open Sans"/>
          <w:b/>
          <w:bCs/>
          <w:sz w:val="22"/>
          <w:szCs w:val="22"/>
        </w:rPr>
        <w:t>.</w:t>
      </w:r>
    </w:p>
    <w:p w14:paraId="6BBA8C4C" w14:textId="77777777" w:rsidR="00037B15" w:rsidRDefault="00037B15">
      <w:pPr>
        <w:spacing w:line="276" w:lineRule="auto"/>
        <w:ind w:right="4"/>
        <w:jc w:val="both"/>
        <w:rPr>
          <w:rFonts w:ascii="Open Sans" w:eastAsia="Open Sans" w:hAnsi="Open Sans" w:cs="Open Sans"/>
          <w:sz w:val="22"/>
          <w:szCs w:val="22"/>
        </w:rPr>
      </w:pPr>
    </w:p>
    <w:p w14:paraId="50FEA961" w14:textId="00A2060F" w:rsidR="00037B15" w:rsidRDefault="00037B15">
      <w:pPr>
        <w:spacing w:line="276" w:lineRule="auto"/>
        <w:ind w:right="4"/>
        <w:jc w:val="both"/>
        <w:rPr>
          <w:rFonts w:ascii="Open Sans" w:eastAsia="Open Sans" w:hAnsi="Open Sans" w:cs="Open Sans"/>
          <w:sz w:val="22"/>
          <w:szCs w:val="22"/>
        </w:rPr>
      </w:pPr>
      <w:r>
        <w:rPr>
          <w:noProof/>
        </w:rPr>
        <w:lastRenderedPageBreak/>
        <w:drawing>
          <wp:inline distT="0" distB="0" distL="0" distR="0" wp14:anchorId="62CF172F" wp14:editId="16032B4E">
            <wp:extent cx="5741192" cy="2987040"/>
            <wp:effectExtent l="0" t="0" r="0" b="3810"/>
            <wp:docPr id="1060899587" name="Imagen 1" descr="Gráfico, 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99587" name="Imagen 1" descr="Gráfico, Escala de tiempo, Gráfico de barras&#10;&#10;Descripción generada automáticamente"/>
                    <pic:cNvPicPr/>
                  </pic:nvPicPr>
                  <pic:blipFill>
                    <a:blip r:embed="rId11"/>
                    <a:stretch>
                      <a:fillRect/>
                    </a:stretch>
                  </pic:blipFill>
                  <pic:spPr>
                    <a:xfrm>
                      <a:off x="0" y="0"/>
                      <a:ext cx="5747495" cy="2990319"/>
                    </a:xfrm>
                    <a:prstGeom prst="rect">
                      <a:avLst/>
                    </a:prstGeom>
                  </pic:spPr>
                </pic:pic>
              </a:graphicData>
            </a:graphic>
          </wp:inline>
        </w:drawing>
      </w:r>
    </w:p>
    <w:p w14:paraId="38C25E0A" w14:textId="77777777" w:rsidR="00037B15" w:rsidRDefault="00037B15">
      <w:pPr>
        <w:spacing w:line="276" w:lineRule="auto"/>
        <w:ind w:right="4"/>
        <w:jc w:val="both"/>
        <w:rPr>
          <w:rFonts w:ascii="Open Sans" w:eastAsia="Open Sans" w:hAnsi="Open Sans" w:cs="Open Sans"/>
          <w:sz w:val="22"/>
          <w:szCs w:val="22"/>
        </w:rPr>
      </w:pPr>
    </w:p>
    <w:p w14:paraId="77973512" w14:textId="61F0F4C6" w:rsidR="00D96DC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renta mensual</w:t>
      </w:r>
      <w:r w:rsidR="007E4A32">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principal motivo para los arrendadores</w:t>
      </w:r>
    </w:p>
    <w:p w14:paraId="7EDBEFFE" w14:textId="77777777" w:rsidR="00D96DC4" w:rsidRDefault="00D96DC4">
      <w:pPr>
        <w:spacing w:line="276" w:lineRule="auto"/>
        <w:ind w:right="4"/>
        <w:jc w:val="both"/>
        <w:rPr>
          <w:rFonts w:ascii="Open Sans" w:eastAsia="Open Sans" w:hAnsi="Open Sans" w:cs="Open Sans"/>
          <w:sz w:val="22"/>
          <w:szCs w:val="22"/>
        </w:rPr>
      </w:pPr>
    </w:p>
    <w:p w14:paraId="5692D83C" w14:textId="77777777" w:rsidR="00D96DC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Persisten, un año más, los principales motivos para poner en alquiler una casa en propiedad. En primer lugar, los arrendadores valoran los motivos económicos: es una fuente de ingresos (64%) y la rentabilidad que ofrece (42%). Ambas razones, además, ganan peso respecto al año anterior, dos y un punto porcentual, respectivamente.</w:t>
      </w:r>
    </w:p>
    <w:p w14:paraId="199EEA7D" w14:textId="77777777" w:rsidR="007E4A32" w:rsidRDefault="007E4A32">
      <w:pPr>
        <w:spacing w:line="276" w:lineRule="auto"/>
        <w:ind w:right="4"/>
        <w:jc w:val="both"/>
        <w:rPr>
          <w:rFonts w:ascii="Open Sans" w:eastAsia="Open Sans" w:hAnsi="Open Sans" w:cs="Open Sans"/>
          <w:sz w:val="22"/>
          <w:szCs w:val="22"/>
        </w:rPr>
      </w:pPr>
    </w:p>
    <w:p w14:paraId="3804FD8B" w14:textId="327FA1D4" w:rsidR="007E4A32" w:rsidRDefault="007E4A32">
      <w:pPr>
        <w:spacing w:line="276" w:lineRule="auto"/>
        <w:ind w:right="4"/>
        <w:jc w:val="both"/>
        <w:rPr>
          <w:rFonts w:ascii="Open Sans" w:eastAsia="Open Sans" w:hAnsi="Open Sans" w:cs="Open Sans"/>
          <w:sz w:val="22"/>
          <w:szCs w:val="22"/>
        </w:rPr>
      </w:pPr>
      <w:r>
        <w:rPr>
          <w:noProof/>
        </w:rPr>
        <w:drawing>
          <wp:inline distT="0" distB="0" distL="0" distR="0" wp14:anchorId="656FFDCE" wp14:editId="4298EA02">
            <wp:extent cx="5553653" cy="3985260"/>
            <wp:effectExtent l="0" t="0" r="9525" b="0"/>
            <wp:docPr id="1717443436" name="Imagen 1" descr="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43436" name="Imagen 1" descr="Escala de tiempo, Gráfico de barras&#10;&#10;Descripción generada automáticamente"/>
                    <pic:cNvPicPr/>
                  </pic:nvPicPr>
                  <pic:blipFill>
                    <a:blip r:embed="rId12"/>
                    <a:stretch>
                      <a:fillRect/>
                    </a:stretch>
                  </pic:blipFill>
                  <pic:spPr>
                    <a:xfrm>
                      <a:off x="0" y="0"/>
                      <a:ext cx="5559808" cy="3989677"/>
                    </a:xfrm>
                    <a:prstGeom prst="rect">
                      <a:avLst/>
                    </a:prstGeom>
                  </pic:spPr>
                </pic:pic>
              </a:graphicData>
            </a:graphic>
          </wp:inline>
        </w:drawing>
      </w:r>
    </w:p>
    <w:p w14:paraId="4814FECB" w14:textId="77777777" w:rsidR="007E4A32" w:rsidRDefault="007E4A32" w:rsidP="007E4A32">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lastRenderedPageBreak/>
        <w:t xml:space="preserve">A continuación, encontramos el argumento de que </w:t>
      </w:r>
      <w:r>
        <w:rPr>
          <w:rFonts w:ascii="Open Sans" w:eastAsia="Open Sans" w:hAnsi="Open Sans" w:cs="Open Sans"/>
          <w:b/>
          <w:sz w:val="22"/>
          <w:szCs w:val="22"/>
        </w:rPr>
        <w:t xml:space="preserve">se prefiere que el inmueble esté habitado, secundado por el 38% de los consultados, si bien este factor sigue lejos del 43% de 2022.  </w:t>
      </w:r>
      <w:r>
        <w:rPr>
          <w:rFonts w:ascii="Open Sans" w:eastAsia="Open Sans" w:hAnsi="Open Sans" w:cs="Open Sans"/>
          <w:sz w:val="22"/>
          <w:szCs w:val="22"/>
        </w:rPr>
        <w:t>También destaca la rebaja que sufre la respuesta basada en la subida de los precios del alquiler, que pasa del 8% de 2023 al 6% de un año más tarde, la misma cifra que en el año 2022.</w:t>
      </w:r>
    </w:p>
    <w:p w14:paraId="72197206" w14:textId="77777777" w:rsidR="00D96DC4" w:rsidRDefault="00D96DC4">
      <w:pPr>
        <w:spacing w:line="276" w:lineRule="auto"/>
        <w:ind w:right="4"/>
        <w:jc w:val="both"/>
        <w:rPr>
          <w:rFonts w:ascii="Open Sans" w:eastAsia="Open Sans" w:hAnsi="Open Sans" w:cs="Open Sans"/>
          <w:sz w:val="22"/>
          <w:szCs w:val="22"/>
        </w:rPr>
      </w:pPr>
    </w:p>
    <w:p w14:paraId="6B2B3A93" w14:textId="4881AF37" w:rsidR="00D96DC4" w:rsidRPr="007E4A32" w:rsidRDefault="007E4A32" w:rsidP="007E4A32">
      <w:p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7E4A32">
        <w:rPr>
          <w:rFonts w:ascii="Open Sans Light" w:eastAsia="Open Sans Light" w:hAnsi="Open Sans Light" w:cs="Open Sans Light"/>
          <w:b/>
          <w:color w:val="303AB2"/>
        </w:rPr>
        <w:t>La rentabilidad: principal motivo personal para alquilar una vivienda</w:t>
      </w:r>
    </w:p>
    <w:p w14:paraId="4F453778" w14:textId="77777777" w:rsidR="007E4A32" w:rsidRDefault="007E4A32">
      <w:pPr>
        <w:spacing w:line="276" w:lineRule="auto"/>
        <w:ind w:right="4"/>
        <w:jc w:val="both"/>
        <w:rPr>
          <w:rFonts w:ascii="Open Sans" w:eastAsia="Open Sans" w:hAnsi="Open Sans" w:cs="Open Sans"/>
          <w:sz w:val="22"/>
          <w:szCs w:val="22"/>
        </w:rPr>
      </w:pPr>
    </w:p>
    <w:p w14:paraId="7472F82F" w14:textId="77777777" w:rsidR="00D96DC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Los propietarios de viviendas que se alquilan también cuentan con sus </w:t>
      </w:r>
      <w:r>
        <w:rPr>
          <w:rFonts w:ascii="Open Sans" w:eastAsia="Open Sans" w:hAnsi="Open Sans" w:cs="Open Sans"/>
          <w:b/>
          <w:sz w:val="22"/>
          <w:szCs w:val="22"/>
        </w:rPr>
        <w:t xml:space="preserve">razones personales para elegir esta opción en vez de la venta del inmueble. </w:t>
      </w:r>
      <w:r>
        <w:rPr>
          <w:rFonts w:ascii="Open Sans" w:eastAsia="Open Sans" w:hAnsi="Open Sans" w:cs="Open Sans"/>
          <w:sz w:val="22"/>
          <w:szCs w:val="22"/>
        </w:rPr>
        <w:t xml:space="preserve">De éstas, </w:t>
      </w:r>
      <w:r>
        <w:rPr>
          <w:rFonts w:ascii="Open Sans" w:eastAsia="Open Sans" w:hAnsi="Open Sans" w:cs="Open Sans"/>
          <w:b/>
          <w:sz w:val="22"/>
          <w:szCs w:val="22"/>
        </w:rPr>
        <w:t>la rentabilidad que ofrece la vivienda, y que no ofrece ningún otro producto de inversión es el motivo principal para los arrendadores (37%).</w:t>
      </w:r>
      <w:r>
        <w:rPr>
          <w:rFonts w:ascii="Open Sans" w:eastAsia="Open Sans" w:hAnsi="Open Sans" w:cs="Open Sans"/>
          <w:sz w:val="22"/>
          <w:szCs w:val="22"/>
        </w:rPr>
        <w:t xml:space="preserve"> Además, se considera una fuente de ingresos que ayuda a financiar el pago de la hipoteca, factor que cuenta con el apoyo del 27% de los consultados.</w:t>
      </w:r>
    </w:p>
    <w:p w14:paraId="79A81ABB" w14:textId="77777777" w:rsidR="00D96DC4" w:rsidRDefault="00D96DC4">
      <w:pPr>
        <w:spacing w:line="276" w:lineRule="auto"/>
        <w:ind w:right="4"/>
        <w:jc w:val="both"/>
        <w:rPr>
          <w:rFonts w:ascii="Open Sans" w:eastAsia="Open Sans" w:hAnsi="Open Sans" w:cs="Open Sans"/>
          <w:sz w:val="22"/>
          <w:szCs w:val="22"/>
        </w:rPr>
      </w:pPr>
    </w:p>
    <w:p w14:paraId="41167B48" w14:textId="77777777" w:rsidR="00D96DC4"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tercer lugar, encontramos </w:t>
      </w:r>
      <w:r>
        <w:rPr>
          <w:rFonts w:ascii="Open Sans" w:eastAsia="Open Sans" w:hAnsi="Open Sans" w:cs="Open Sans"/>
          <w:b/>
          <w:sz w:val="22"/>
          <w:szCs w:val="22"/>
        </w:rPr>
        <w:t>el propósito de mejorar su vivienda actual</w:t>
      </w:r>
      <w:r>
        <w:rPr>
          <w:rFonts w:ascii="Open Sans" w:eastAsia="Open Sans" w:hAnsi="Open Sans" w:cs="Open Sans"/>
          <w:sz w:val="22"/>
          <w:szCs w:val="22"/>
        </w:rPr>
        <w:t>, argumentado por el 17% de los arrendadores. También destacan los que explican que su decisión de poner la vivienda en alquiler se debe a haberla recibido en herencia (15%).</w:t>
      </w:r>
    </w:p>
    <w:p w14:paraId="16846308" w14:textId="77777777" w:rsidR="00D96DC4" w:rsidRDefault="00D96DC4">
      <w:pPr>
        <w:spacing w:line="276" w:lineRule="auto"/>
        <w:ind w:right="4"/>
        <w:jc w:val="both"/>
        <w:rPr>
          <w:rFonts w:ascii="Open Sans" w:eastAsia="Open Sans" w:hAnsi="Open Sans" w:cs="Open Sans"/>
          <w:sz w:val="22"/>
          <w:szCs w:val="22"/>
        </w:rPr>
      </w:pPr>
    </w:p>
    <w:p w14:paraId="6FD7F6A1" w14:textId="0A16A879" w:rsidR="00D96DC4" w:rsidRDefault="007E4A32">
      <w:pPr>
        <w:spacing w:line="276" w:lineRule="auto"/>
        <w:ind w:right="4"/>
        <w:jc w:val="both"/>
        <w:rPr>
          <w:rFonts w:ascii="Open Sans" w:eastAsia="Open Sans" w:hAnsi="Open Sans" w:cs="Open Sans"/>
          <w:sz w:val="22"/>
          <w:szCs w:val="22"/>
        </w:rPr>
      </w:pPr>
      <w:r>
        <w:rPr>
          <w:noProof/>
        </w:rPr>
        <w:drawing>
          <wp:inline distT="0" distB="0" distL="0" distR="0" wp14:anchorId="2249E980" wp14:editId="5546B40C">
            <wp:extent cx="5760720" cy="3372485"/>
            <wp:effectExtent l="0" t="0" r="0" b="0"/>
            <wp:docPr id="1874353267" name="Imagen 1" descr="Gráfico, 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53267" name="Imagen 1" descr="Gráfico, Escala de tiempo, Gráfico de barras&#10;&#10;Descripción generada automáticamente"/>
                    <pic:cNvPicPr/>
                  </pic:nvPicPr>
                  <pic:blipFill>
                    <a:blip r:embed="rId13"/>
                    <a:stretch>
                      <a:fillRect/>
                    </a:stretch>
                  </pic:blipFill>
                  <pic:spPr>
                    <a:xfrm>
                      <a:off x="0" y="0"/>
                      <a:ext cx="5760720" cy="3372485"/>
                    </a:xfrm>
                    <a:prstGeom prst="rect">
                      <a:avLst/>
                    </a:prstGeom>
                  </pic:spPr>
                </pic:pic>
              </a:graphicData>
            </a:graphic>
          </wp:inline>
        </w:drawing>
      </w:r>
    </w:p>
    <w:p w14:paraId="4B1D7EB1" w14:textId="77777777" w:rsidR="00D96DC4" w:rsidRDefault="00D96DC4">
      <w:pPr>
        <w:spacing w:line="276" w:lineRule="auto"/>
        <w:ind w:right="4"/>
        <w:jc w:val="both"/>
        <w:rPr>
          <w:rFonts w:ascii="Open Sans" w:eastAsia="Open Sans" w:hAnsi="Open Sans" w:cs="Open Sans"/>
          <w:sz w:val="22"/>
          <w:szCs w:val="22"/>
        </w:rPr>
      </w:pPr>
    </w:p>
    <w:p w14:paraId="45921E0C" w14:textId="77777777" w:rsidR="00D96DC4" w:rsidRDefault="00D96DC4">
      <w:pPr>
        <w:spacing w:line="276" w:lineRule="auto"/>
        <w:ind w:right="4"/>
        <w:jc w:val="both"/>
        <w:rPr>
          <w:rFonts w:ascii="Open Sans" w:eastAsia="Open Sans" w:hAnsi="Open Sans" w:cs="Open Sans"/>
          <w:sz w:val="22"/>
          <w:szCs w:val="22"/>
        </w:rPr>
      </w:pPr>
    </w:p>
    <w:p w14:paraId="119792B8" w14:textId="77777777" w:rsidR="00D96DC4" w:rsidRDefault="00D96DC4">
      <w:pPr>
        <w:spacing w:line="276" w:lineRule="auto"/>
        <w:ind w:right="4"/>
        <w:jc w:val="both"/>
        <w:rPr>
          <w:rFonts w:ascii="Open Sans" w:eastAsia="Open Sans" w:hAnsi="Open Sans" w:cs="Open Sans"/>
          <w:sz w:val="22"/>
          <w:szCs w:val="22"/>
        </w:rPr>
      </w:pPr>
    </w:p>
    <w:p w14:paraId="7EE466F2" w14:textId="77777777" w:rsidR="00D96DC4" w:rsidRDefault="00D96DC4">
      <w:pPr>
        <w:spacing w:line="276" w:lineRule="auto"/>
        <w:ind w:right="4"/>
        <w:jc w:val="both"/>
        <w:rPr>
          <w:rFonts w:ascii="Open Sans" w:eastAsia="Open Sans" w:hAnsi="Open Sans" w:cs="Open Sans"/>
          <w:sz w:val="22"/>
          <w:szCs w:val="22"/>
        </w:rPr>
      </w:pPr>
    </w:p>
    <w:p w14:paraId="1B4E4468" w14:textId="77777777" w:rsidR="00D96DC4" w:rsidRDefault="00D96DC4">
      <w:pPr>
        <w:spacing w:line="276" w:lineRule="auto"/>
        <w:ind w:right="4"/>
        <w:jc w:val="both"/>
        <w:rPr>
          <w:rFonts w:ascii="Open Sans" w:eastAsia="Open Sans" w:hAnsi="Open Sans" w:cs="Open Sans"/>
          <w:sz w:val="22"/>
          <w:szCs w:val="22"/>
        </w:rPr>
      </w:pPr>
    </w:p>
    <w:p w14:paraId="777F8EF0" w14:textId="77777777" w:rsidR="00D96DC4" w:rsidRDefault="00D96DC4">
      <w:pPr>
        <w:spacing w:line="276" w:lineRule="auto"/>
        <w:ind w:right="4"/>
        <w:jc w:val="both"/>
        <w:rPr>
          <w:rFonts w:ascii="Open Sans" w:eastAsia="Open Sans" w:hAnsi="Open Sans" w:cs="Open Sans"/>
          <w:sz w:val="22"/>
          <w:szCs w:val="22"/>
        </w:rPr>
      </w:pPr>
    </w:p>
    <w:p w14:paraId="15D0D318" w14:textId="77777777" w:rsidR="00D96DC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73F0A80" w14:textId="77777777" w:rsidR="00D96DC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8828E9E" w14:textId="77777777" w:rsidR="00D96DC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3A60D20" w14:textId="77777777" w:rsidR="00D96DC4" w:rsidRDefault="0000000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4527AA2" w14:textId="77777777" w:rsidR="00D96DC4" w:rsidRDefault="00D96DC4">
      <w:pPr>
        <w:spacing w:line="276" w:lineRule="auto"/>
        <w:jc w:val="right"/>
        <w:rPr>
          <w:rFonts w:ascii="Open Sans Light" w:eastAsia="Open Sans Light" w:hAnsi="Open Sans Light" w:cs="Open Sans Light"/>
          <w:b/>
          <w:color w:val="303AB2"/>
        </w:rPr>
      </w:pPr>
    </w:p>
    <w:p w14:paraId="1B379C47" w14:textId="77777777" w:rsidR="00D96DC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F731A59" w14:textId="77777777" w:rsidR="00D96DC4"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DC697E8" w14:textId="77777777" w:rsidR="00D96DC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6BE7561" w14:textId="77777777" w:rsidR="00D96DC4"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53A9B266" w14:textId="77777777" w:rsidR="00D96DC4"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302DDAAF" w14:textId="77777777" w:rsidR="00D96DC4" w:rsidRDefault="00D96DC4">
      <w:pPr>
        <w:spacing w:line="276" w:lineRule="auto"/>
        <w:jc w:val="right"/>
        <w:rPr>
          <w:rFonts w:ascii="Open Sans" w:eastAsia="Open Sans" w:hAnsi="Open Sans" w:cs="Open Sans"/>
        </w:rPr>
      </w:pPr>
    </w:p>
    <w:p w14:paraId="6A2B2711" w14:textId="77777777" w:rsidR="00D96DC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486998F" w14:textId="77777777" w:rsidR="00D96DC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ABDC963" w14:textId="77777777" w:rsidR="00D96DC4"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2DE3848D" w14:textId="77777777" w:rsidR="00D96DC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C60E7CC" w14:textId="77777777" w:rsidR="00D96DC4" w:rsidRDefault="00D96DC4">
      <w:pPr>
        <w:spacing w:line="276" w:lineRule="auto"/>
        <w:rPr>
          <w:rFonts w:ascii="Open Sans Light" w:eastAsia="Open Sans Light" w:hAnsi="Open Sans Light" w:cs="Open Sans Light"/>
          <w:b/>
          <w:color w:val="303AB2"/>
          <w:sz w:val="22"/>
          <w:szCs w:val="22"/>
        </w:rPr>
      </w:pPr>
    </w:p>
    <w:p w14:paraId="02B0F10C" w14:textId="77777777" w:rsidR="00D96DC4"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91C033E" w14:textId="77777777" w:rsidR="00D96DC4"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22B54FF9" w14:textId="77777777" w:rsidR="00D96DC4" w:rsidRDefault="00000000">
      <w:pPr>
        <w:shd w:val="clear" w:color="auto" w:fill="FFFFFF"/>
        <w:ind w:right="-433"/>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20C9C3E6" w14:textId="77777777" w:rsidR="00D96DC4" w:rsidRPr="00FE0BE7" w:rsidRDefault="00000000">
      <w:pPr>
        <w:shd w:val="clear" w:color="auto" w:fill="FFFFFF"/>
        <w:ind w:right="-433"/>
        <w:rPr>
          <w:rFonts w:ascii="Open Sans" w:eastAsia="Open Sans" w:hAnsi="Open Sans" w:cs="Open Sans"/>
          <w:sz w:val="22"/>
          <w:szCs w:val="22"/>
          <w:lang w:val="en-US"/>
        </w:rPr>
      </w:pPr>
      <w:r w:rsidRPr="00FE0BE7">
        <w:rPr>
          <w:rFonts w:ascii="Open Sans" w:eastAsia="Open Sans" w:hAnsi="Open Sans" w:cs="Open Sans"/>
          <w:sz w:val="22"/>
          <w:szCs w:val="22"/>
          <w:lang w:val="en-US"/>
        </w:rPr>
        <w:t>663 35 69 75 </w:t>
      </w:r>
      <w:r w:rsidRPr="00FE0BE7">
        <w:rPr>
          <w:rFonts w:ascii="Open Sans" w:eastAsia="Open Sans" w:hAnsi="Open Sans" w:cs="Open Sans"/>
          <w:sz w:val="22"/>
          <w:szCs w:val="22"/>
          <w:lang w:val="en-US"/>
        </w:rPr>
        <w:tab/>
      </w:r>
      <w:r w:rsidRPr="00FE0BE7">
        <w:rPr>
          <w:rFonts w:ascii="Open Sans" w:eastAsia="Open Sans" w:hAnsi="Open Sans" w:cs="Open Sans"/>
          <w:sz w:val="22"/>
          <w:szCs w:val="22"/>
          <w:lang w:val="en-US"/>
        </w:rPr>
        <w:tab/>
      </w:r>
      <w:r w:rsidRPr="00FE0BE7">
        <w:rPr>
          <w:rFonts w:ascii="Open Sans" w:eastAsia="Open Sans" w:hAnsi="Open Sans" w:cs="Open Sans"/>
          <w:sz w:val="22"/>
          <w:szCs w:val="22"/>
          <w:lang w:val="en-US"/>
        </w:rPr>
        <w:tab/>
      </w:r>
      <w:r w:rsidRPr="00FE0BE7">
        <w:rPr>
          <w:rFonts w:ascii="Open Sans" w:eastAsia="Open Sans" w:hAnsi="Open Sans" w:cs="Open Sans"/>
          <w:sz w:val="22"/>
          <w:szCs w:val="22"/>
          <w:lang w:val="en-US"/>
        </w:rPr>
        <w:tab/>
      </w:r>
      <w:r w:rsidRPr="00FE0BE7">
        <w:rPr>
          <w:rFonts w:ascii="Open Sans" w:eastAsia="Open Sans" w:hAnsi="Open Sans" w:cs="Open Sans"/>
          <w:sz w:val="22"/>
          <w:szCs w:val="22"/>
          <w:lang w:val="en-US"/>
        </w:rPr>
        <w:tab/>
      </w:r>
      <w:r w:rsidRPr="00FE0BE7">
        <w:rPr>
          <w:rFonts w:ascii="Open Sans" w:eastAsia="Open Sans" w:hAnsi="Open Sans" w:cs="Open Sans"/>
          <w:sz w:val="22"/>
          <w:szCs w:val="22"/>
          <w:lang w:val="en-US"/>
        </w:rPr>
        <w:tab/>
      </w:r>
    </w:p>
    <w:p w14:paraId="776D0A1F" w14:textId="77777777" w:rsidR="00D96DC4" w:rsidRPr="00FE0BE7" w:rsidRDefault="00000000">
      <w:pPr>
        <w:shd w:val="clear" w:color="auto" w:fill="FFFFFF"/>
        <w:ind w:right="-433"/>
        <w:rPr>
          <w:color w:val="222222"/>
          <w:sz w:val="22"/>
          <w:szCs w:val="22"/>
          <w:lang w:val="en-US"/>
        </w:rPr>
      </w:pPr>
      <w:r w:rsidRPr="00FE0BE7">
        <w:rPr>
          <w:color w:val="222222"/>
          <w:sz w:val="22"/>
          <w:szCs w:val="22"/>
          <w:lang w:val="en-US"/>
        </w:rPr>
        <w:tab/>
      </w:r>
      <w:r w:rsidRPr="00FE0BE7">
        <w:rPr>
          <w:color w:val="222222"/>
          <w:sz w:val="22"/>
          <w:szCs w:val="22"/>
          <w:lang w:val="en-US"/>
        </w:rPr>
        <w:tab/>
        <w:t xml:space="preserve">     </w:t>
      </w:r>
    </w:p>
    <w:p w14:paraId="2D2A309D" w14:textId="77777777" w:rsidR="00D96DC4" w:rsidRPr="00FE0BE7" w:rsidRDefault="00000000">
      <w:pPr>
        <w:shd w:val="clear" w:color="auto" w:fill="FFFFFF"/>
        <w:ind w:right="-433"/>
        <w:rPr>
          <w:rFonts w:ascii="Open Sans" w:eastAsia="Open Sans" w:hAnsi="Open Sans" w:cs="Open Sans"/>
          <w:b/>
          <w:sz w:val="22"/>
          <w:szCs w:val="22"/>
          <w:lang w:val="en-US"/>
        </w:rPr>
      </w:pPr>
      <w:r w:rsidRPr="00FE0BE7">
        <w:rPr>
          <w:rFonts w:ascii="Open Sans" w:eastAsia="Open Sans" w:hAnsi="Open Sans" w:cs="Open Sans"/>
          <w:b/>
          <w:sz w:val="22"/>
          <w:szCs w:val="22"/>
          <w:lang w:val="en-US"/>
        </w:rPr>
        <w:lastRenderedPageBreak/>
        <w:t xml:space="preserve">Judit </w:t>
      </w:r>
      <w:proofErr w:type="spellStart"/>
      <w:r w:rsidRPr="00FE0BE7">
        <w:rPr>
          <w:rFonts w:ascii="Open Sans" w:eastAsia="Open Sans" w:hAnsi="Open Sans" w:cs="Open Sans"/>
          <w:b/>
          <w:sz w:val="22"/>
          <w:szCs w:val="22"/>
          <w:lang w:val="en-US"/>
        </w:rPr>
        <w:t>Campillos</w:t>
      </w:r>
      <w:proofErr w:type="spellEnd"/>
    </w:p>
    <w:p w14:paraId="4697B97F" w14:textId="77777777" w:rsidR="00D96DC4" w:rsidRPr="00FE0BE7" w:rsidRDefault="00000000">
      <w:pPr>
        <w:shd w:val="clear" w:color="auto" w:fill="FFFFFF"/>
        <w:ind w:right="-433"/>
        <w:rPr>
          <w:rFonts w:ascii="Open Sans" w:eastAsia="Open Sans" w:hAnsi="Open Sans" w:cs="Open Sans"/>
          <w:b/>
          <w:sz w:val="22"/>
          <w:szCs w:val="22"/>
          <w:lang w:val="en-US"/>
        </w:rPr>
      </w:pPr>
      <w:proofErr w:type="spellStart"/>
      <w:r w:rsidRPr="00FE0BE7">
        <w:rPr>
          <w:rFonts w:ascii="Open Sans" w:eastAsia="Open Sans" w:hAnsi="Open Sans" w:cs="Open Sans"/>
          <w:color w:val="0000FF"/>
          <w:sz w:val="22"/>
          <w:szCs w:val="22"/>
          <w:u w:val="single"/>
          <w:lang w:val="en-US"/>
        </w:rPr>
        <w:t>jcampillos</w:t>
      </w:r>
      <w:hyperlink r:id="rId25">
        <w:r w:rsidRPr="00FE0BE7">
          <w:rPr>
            <w:rFonts w:ascii="Open Sans" w:eastAsia="Open Sans" w:hAnsi="Open Sans" w:cs="Open Sans"/>
            <w:color w:val="0000FF"/>
            <w:sz w:val="22"/>
            <w:szCs w:val="22"/>
            <w:u w:val="single"/>
            <w:lang w:val="en-US"/>
          </w:rPr>
          <w:t>@ll</w:t>
        </w:r>
      </w:hyperlink>
      <w:proofErr w:type="gramStart"/>
      <w:r w:rsidRPr="00FE0BE7">
        <w:rPr>
          <w:rFonts w:ascii="Open Sans" w:eastAsia="Open Sans" w:hAnsi="Open Sans" w:cs="Open Sans"/>
          <w:color w:val="0000FF"/>
          <w:sz w:val="22"/>
          <w:szCs w:val="22"/>
          <w:u w:val="single"/>
          <w:lang w:val="en-US"/>
        </w:rPr>
        <w:t>yc.global</w:t>
      </w:r>
      <w:proofErr w:type="spellEnd"/>
      <w:proofErr w:type="gramEnd"/>
      <w:r w:rsidRPr="00FE0BE7">
        <w:rPr>
          <w:rFonts w:ascii="Open Sans" w:eastAsia="Open Sans" w:hAnsi="Open Sans" w:cs="Open Sans"/>
          <w:color w:val="0000FF"/>
          <w:sz w:val="22"/>
          <w:szCs w:val="22"/>
          <w:lang w:val="en-US"/>
        </w:rPr>
        <w:tab/>
      </w:r>
      <w:r w:rsidRPr="00FE0BE7">
        <w:rPr>
          <w:rFonts w:ascii="Open Sans" w:eastAsia="Open Sans" w:hAnsi="Open Sans" w:cs="Open Sans"/>
          <w:color w:val="0000FF"/>
          <w:sz w:val="22"/>
          <w:szCs w:val="22"/>
          <w:lang w:val="en-US"/>
        </w:rPr>
        <w:tab/>
      </w:r>
    </w:p>
    <w:p w14:paraId="45B41B66" w14:textId="77777777" w:rsidR="00D96DC4"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298BDEDD" w14:textId="77777777" w:rsidR="00D96DC4" w:rsidRDefault="00D96DC4">
      <w:pPr>
        <w:rPr>
          <w:rFonts w:ascii="Open Sans" w:eastAsia="Open Sans" w:hAnsi="Open Sans" w:cs="Open Sans"/>
          <w:color w:val="30302E"/>
          <w:sz w:val="22"/>
          <w:szCs w:val="22"/>
          <w:highlight w:val="white"/>
        </w:rPr>
      </w:pPr>
    </w:p>
    <w:p w14:paraId="75F190B6" w14:textId="77777777" w:rsidR="00D96DC4"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4F497A72" w14:textId="77777777" w:rsidR="00D96DC4" w:rsidRDefault="00000000">
      <w:pPr>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alicia.salvatella@llyc.global</w:t>
        </w:r>
      </w:hyperlink>
    </w:p>
    <w:p w14:paraId="50EB49A5" w14:textId="77777777" w:rsidR="00D96DC4"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D751DCC" w14:textId="77777777" w:rsidR="00D96DC4" w:rsidRDefault="00D96DC4">
      <w:pPr>
        <w:shd w:val="clear" w:color="auto" w:fill="FFFFFF"/>
        <w:rPr>
          <w:rFonts w:ascii="Open Sans" w:eastAsia="Open Sans" w:hAnsi="Open Sans" w:cs="Open Sans"/>
          <w:color w:val="000000"/>
          <w:sz w:val="22"/>
          <w:szCs w:val="22"/>
        </w:rPr>
      </w:pPr>
    </w:p>
    <w:p w14:paraId="410519AA" w14:textId="77777777" w:rsidR="00D96DC4" w:rsidRDefault="00D96DC4">
      <w:pPr>
        <w:shd w:val="clear" w:color="auto" w:fill="FFFFFF"/>
        <w:rPr>
          <w:rFonts w:ascii="Open Sans" w:eastAsia="Open Sans" w:hAnsi="Open Sans" w:cs="Open Sans"/>
          <w:color w:val="000000"/>
          <w:sz w:val="22"/>
          <w:szCs w:val="22"/>
        </w:rPr>
      </w:pPr>
    </w:p>
    <w:p w14:paraId="7BB660A7" w14:textId="77777777" w:rsidR="00D96DC4" w:rsidRDefault="00D96DC4">
      <w:pPr>
        <w:spacing w:line="276" w:lineRule="auto"/>
        <w:jc w:val="center"/>
        <w:rPr>
          <w:rFonts w:ascii="Open Sans" w:eastAsia="Open Sans" w:hAnsi="Open Sans" w:cs="Open Sans"/>
          <w:color w:val="000000"/>
          <w:sz w:val="21"/>
          <w:szCs w:val="21"/>
        </w:rPr>
      </w:pPr>
    </w:p>
    <w:sectPr w:rsidR="00D96DC4">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2B531" w14:textId="77777777" w:rsidR="00481FAB" w:rsidRDefault="00481FAB">
      <w:r>
        <w:separator/>
      </w:r>
    </w:p>
  </w:endnote>
  <w:endnote w:type="continuationSeparator" w:id="0">
    <w:p w14:paraId="35FC6A27" w14:textId="77777777" w:rsidR="00481FAB" w:rsidRDefault="00481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952A69E-DD27-41E6-A85B-CC78C564BF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349DF8-E4AA-4B86-8D7C-942B547CF76C}"/>
    <w:embedBold r:id="rId3" w:fontKey="{F0D9D350-E17A-44A2-8CF2-E7EFFB5C29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F427E64-A366-4882-80C9-38BD1CA5CA9A}"/>
    <w:embedItalic r:id="rId5" w:fontKey="{646778BA-8D81-4619-A623-1624FFE5D88D}"/>
  </w:font>
  <w:font w:name="Cambria">
    <w:panose1 w:val="02040503050406030204"/>
    <w:charset w:val="00"/>
    <w:family w:val="roman"/>
    <w:pitch w:val="variable"/>
    <w:sig w:usb0="E00006FF" w:usb1="420024FF" w:usb2="02000000" w:usb3="00000000" w:csb0="0000019F" w:csb1="00000000"/>
    <w:embedRegular r:id="rId6" w:fontKey="{77C34346-BE49-4F11-918D-BBD7C041415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CE8180A-D6C4-4D2F-92F0-56D2ADC1F68E}"/>
    <w:embedBold r:id="rId8" w:fontKey="{672BD484-CDD3-4478-8BF0-DA55BDB3DC5A}"/>
    <w:embedBoldItalic r:id="rId9" w:fontKey="{5F13DE05-56B0-469C-916B-55E6FF110558}"/>
  </w:font>
  <w:font w:name="Open Sans Light">
    <w:charset w:val="00"/>
    <w:family w:val="swiss"/>
    <w:pitch w:val="variable"/>
    <w:sig w:usb0="E00002EF" w:usb1="4000205B" w:usb2="00000028" w:usb3="00000000" w:csb0="0000019F" w:csb1="00000000"/>
    <w:embedRegular r:id="rId10" w:fontKey="{DF46682D-2AD5-4011-9B81-65FD9B610E3C}"/>
    <w:embedBold r:id="rId11" w:fontKey="{DFF941FD-B2D3-4703-93DB-9D9C8D4A5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DF1D1" w14:textId="77777777" w:rsidR="00D96DC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3F04066" wp14:editId="12E362D2">
          <wp:simplePos x="0" y="0"/>
          <wp:positionH relativeFrom="column">
            <wp:posOffset>-1068057</wp:posOffset>
          </wp:positionH>
          <wp:positionV relativeFrom="paragraph">
            <wp:posOffset>174608</wp:posOffset>
          </wp:positionV>
          <wp:extent cx="7670550" cy="451315"/>
          <wp:effectExtent l="0" t="0" r="0" b="0"/>
          <wp:wrapNone/>
          <wp:docPr id="2093790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DD5F9" w14:textId="77777777" w:rsidR="00481FAB" w:rsidRDefault="00481FAB">
      <w:r>
        <w:separator/>
      </w:r>
    </w:p>
  </w:footnote>
  <w:footnote w:type="continuationSeparator" w:id="0">
    <w:p w14:paraId="116970CF" w14:textId="77777777" w:rsidR="00481FAB" w:rsidRDefault="00481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16D91"/>
    <w:multiLevelType w:val="multilevel"/>
    <w:tmpl w:val="46047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0057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DC4"/>
    <w:rsid w:val="00037B15"/>
    <w:rsid w:val="00481FAB"/>
    <w:rsid w:val="007B323A"/>
    <w:rsid w:val="007E4A32"/>
    <w:rsid w:val="008B1FEA"/>
    <w:rsid w:val="008F2E57"/>
    <w:rsid w:val="008F6C4C"/>
    <w:rsid w:val="00AB6C6B"/>
    <w:rsid w:val="00D96DC4"/>
    <w:rsid w:val="00FE0B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D9C8"/>
  <w15:docId w15:val="{F157301A-1415-491E-8902-F9635853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habitaclia.com/"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hyperlink" Target="https://www.fotocasa.es/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prensa.fotocasa.es/informe-experiencia-en-alquiler-en-2024/"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BVT+TRFnleyaeZ/EdhWTAocrA==">CgMxLjAyCWguMnM4ZXlvMTgAciExSG9uQVFtVE55RjNWV0tzbXdkRlZjRXRyMzFtSVpaTlE=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975</Words>
  <Characters>5365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2024-09-20T07:54:00Z</dcterms:modified>
</cp:coreProperties>
</file>