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8E88F" w14:textId="77777777" w:rsidR="009B7C2A" w:rsidRDefault="00000000">
      <w:r>
        <w:rPr>
          <w:noProof/>
        </w:rPr>
        <w:drawing>
          <wp:anchor distT="0" distB="0" distL="114300" distR="114300" simplePos="0" relativeHeight="251658240" behindDoc="0" locked="0" layoutInCell="1" hidden="0" allowOverlap="1" wp14:anchorId="7FE9D020" wp14:editId="47E2680A">
            <wp:simplePos x="0" y="0"/>
            <wp:positionH relativeFrom="column">
              <wp:posOffset>-1080131</wp:posOffset>
            </wp:positionH>
            <wp:positionV relativeFrom="paragraph">
              <wp:posOffset>-654682</wp:posOffset>
            </wp:positionV>
            <wp:extent cx="7581265" cy="1019175"/>
            <wp:effectExtent l="0" t="0" r="0" b="0"/>
            <wp:wrapNone/>
            <wp:docPr id="20937902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70CE7051" w14:textId="77777777" w:rsidR="009B7C2A" w:rsidRDefault="009B7C2A">
      <w:pPr>
        <w:jc w:val="right"/>
        <w:rPr>
          <w:rFonts w:ascii="National" w:eastAsia="National" w:hAnsi="National" w:cs="National"/>
          <w:color w:val="303AB2"/>
          <w:sz w:val="36"/>
          <w:szCs w:val="36"/>
        </w:rPr>
      </w:pPr>
    </w:p>
    <w:p w14:paraId="3AB7C060" w14:textId="77777777" w:rsidR="009B7C2A" w:rsidRDefault="009B7C2A">
      <w:pPr>
        <w:rPr>
          <w:rFonts w:ascii="National" w:eastAsia="National" w:hAnsi="National" w:cs="National"/>
          <w:color w:val="303AB2"/>
          <w:sz w:val="18"/>
          <w:szCs w:val="18"/>
        </w:rPr>
      </w:pPr>
    </w:p>
    <w:p w14:paraId="365BE82F" w14:textId="77777777" w:rsidR="009B7C2A" w:rsidRDefault="00000000">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 xml:space="preserve">PERFIL DEL HIPOTECADO ESPAÑOL </w:t>
      </w:r>
    </w:p>
    <w:p w14:paraId="7EE72D96" w14:textId="77777777" w:rsidR="009B7C2A" w:rsidRDefault="00000000">
      <w:pPr>
        <w:jc w:val="center"/>
        <w:rPr>
          <w:rFonts w:ascii="National" w:eastAsia="National" w:hAnsi="National" w:cs="National"/>
          <w:b/>
          <w:color w:val="303AB2"/>
          <w:sz w:val="48"/>
          <w:szCs w:val="48"/>
        </w:rPr>
      </w:pPr>
      <w:r>
        <w:rPr>
          <w:rFonts w:ascii="National" w:eastAsia="National" w:hAnsi="National" w:cs="National"/>
          <w:b/>
          <w:color w:val="303AB2"/>
          <w:sz w:val="48"/>
          <w:szCs w:val="48"/>
        </w:rPr>
        <w:t>Se incrementa el porcentaje de compradores que no necesitan hipoteca: el 35% de los españoles compra sin financiación</w:t>
      </w:r>
    </w:p>
    <w:p w14:paraId="05CCBD85" w14:textId="77777777" w:rsidR="009B7C2A" w:rsidRDefault="009B7C2A">
      <w:pPr>
        <w:spacing w:line="276" w:lineRule="auto"/>
        <w:ind w:right="4"/>
        <w:jc w:val="both"/>
        <w:rPr>
          <w:rFonts w:ascii="Open Sans" w:eastAsia="Open Sans" w:hAnsi="Open Sans" w:cs="Open Sans"/>
          <w:color w:val="303AB2"/>
        </w:rPr>
      </w:pPr>
    </w:p>
    <w:p w14:paraId="1A8F4BB2" w14:textId="77777777" w:rsidR="009B7C2A"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En solo dos años se incrementan 8 puntos porcentuales los compradores que no necesitan financiación: eran el 27% en 2022 hasta el 35% de 2024</w:t>
      </w:r>
    </w:p>
    <w:p w14:paraId="06579DDF" w14:textId="77777777" w:rsidR="009B7C2A"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Mujer de 49 años, el perfil de la compradora de vivienda sin hipoteca</w:t>
      </w:r>
    </w:p>
    <w:p w14:paraId="6A501BF2" w14:textId="77777777" w:rsidR="009B7C2A"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Los que compraron sin hipoteca: un 17% lo hizo con sus ahorros, un 10% gracias a ayuda familiar y un 7% lo hizo vendiendo una antigua vivienda</w:t>
      </w:r>
    </w:p>
    <w:p w14:paraId="1E4D0C00" w14:textId="77777777" w:rsidR="009B7C2A"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El 66% necesitó hipoteca para comprar: un 54% le valió solo con la financiación bancaria mientras que otro 12% necesitó también ayuda familiar</w:t>
      </w:r>
    </w:p>
    <w:p w14:paraId="0CD223DC" w14:textId="77777777" w:rsidR="009B7C2A" w:rsidRPr="00CF3E0B"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b/>
          <w:bCs/>
          <w:sz w:val="22"/>
          <w:szCs w:val="22"/>
        </w:rPr>
      </w:pPr>
      <w:hyperlink r:id="rId9">
        <w:r w:rsidRPr="00CF3E0B">
          <w:rPr>
            <w:rFonts w:ascii="Open Sans" w:eastAsia="Open Sans" w:hAnsi="Open Sans" w:cs="Open Sans"/>
            <w:b/>
            <w:bCs/>
            <w:color w:val="1155CC"/>
            <w:sz w:val="22"/>
            <w:szCs w:val="22"/>
            <w:u w:val="single"/>
          </w:rPr>
          <w:t xml:space="preserve">Aquí se puede ver un vídeo con la valoración de la directora de Estudios </w:t>
        </w:r>
      </w:hyperlink>
    </w:p>
    <w:p w14:paraId="74B669D0" w14:textId="77777777" w:rsidR="009B7C2A" w:rsidRDefault="009B7C2A">
      <w:pPr>
        <w:pBdr>
          <w:top w:val="nil"/>
          <w:left w:val="nil"/>
          <w:bottom w:val="nil"/>
          <w:right w:val="nil"/>
          <w:between w:val="nil"/>
        </w:pBdr>
        <w:spacing w:line="276" w:lineRule="auto"/>
        <w:ind w:left="720"/>
        <w:jc w:val="both"/>
        <w:rPr>
          <w:rFonts w:ascii="Open Sans" w:eastAsia="Open Sans" w:hAnsi="Open Sans" w:cs="Open Sans"/>
          <w:color w:val="303AB2"/>
        </w:rPr>
      </w:pPr>
    </w:p>
    <w:p w14:paraId="150647ED" w14:textId="77777777" w:rsidR="009B7C2A" w:rsidRDefault="00000000">
      <w:pPr>
        <w:pBdr>
          <w:top w:val="nil"/>
          <w:left w:val="nil"/>
          <w:bottom w:val="nil"/>
          <w:right w:val="nil"/>
          <w:between w:val="nil"/>
        </w:pBdr>
        <w:spacing w:line="276" w:lineRule="auto"/>
        <w:ind w:left="-284"/>
        <w:jc w:val="both"/>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Madrid, 25 de septiembre de 2024</w:t>
      </w:r>
    </w:p>
    <w:p w14:paraId="2D021036" w14:textId="77777777" w:rsidR="009B7C2A" w:rsidRDefault="009B7C2A">
      <w:pPr>
        <w:pBdr>
          <w:top w:val="nil"/>
          <w:left w:val="nil"/>
          <w:bottom w:val="nil"/>
          <w:right w:val="nil"/>
          <w:between w:val="nil"/>
        </w:pBdr>
        <w:spacing w:line="276" w:lineRule="auto"/>
        <w:ind w:left="-284"/>
        <w:jc w:val="both"/>
        <w:rPr>
          <w:rFonts w:ascii="Open Sans" w:eastAsia="Open Sans" w:hAnsi="Open Sans" w:cs="Open Sans"/>
        </w:rPr>
      </w:pPr>
    </w:p>
    <w:p w14:paraId="4334BB89" w14:textId="77777777" w:rsidR="009B7C2A" w:rsidRDefault="00000000">
      <w:pPr>
        <w:spacing w:line="276" w:lineRule="auto"/>
        <w:ind w:left="-284" w:right="4"/>
        <w:jc w:val="both"/>
        <w:rPr>
          <w:rFonts w:ascii="Open Sans" w:eastAsia="Open Sans" w:hAnsi="Open Sans" w:cs="Open Sans"/>
          <w:sz w:val="22"/>
          <w:szCs w:val="22"/>
        </w:rPr>
      </w:pPr>
      <w:bookmarkStart w:id="0" w:name="_heading=h.gjdgxs" w:colFirst="0" w:colLast="0"/>
      <w:bookmarkEnd w:id="0"/>
      <w:r>
        <w:rPr>
          <w:rFonts w:ascii="Open Sans" w:eastAsia="Open Sans" w:hAnsi="Open Sans" w:cs="Open Sans"/>
          <w:sz w:val="22"/>
          <w:szCs w:val="22"/>
        </w:rPr>
        <w:t xml:space="preserve">El comprador de vivienda de 2024 se caracteriza por tener mayor capacidad financiera que años atrás. Prueba de ello es que la cifra de los compradores de vivienda que </w:t>
      </w:r>
      <w:r>
        <w:rPr>
          <w:rFonts w:ascii="Open Sans" w:eastAsia="Open Sans" w:hAnsi="Open Sans" w:cs="Open Sans"/>
          <w:b/>
          <w:sz w:val="22"/>
          <w:szCs w:val="22"/>
        </w:rPr>
        <w:t>no tuvo necesidad de recurrir a una hipoteca ha subido en un año del 32% al 35%</w:t>
      </w:r>
      <w:r>
        <w:rPr>
          <w:rFonts w:ascii="Open Sans" w:eastAsia="Open Sans" w:hAnsi="Open Sans" w:cs="Open Sans"/>
          <w:sz w:val="22"/>
          <w:szCs w:val="22"/>
        </w:rPr>
        <w:t xml:space="preserve">, es decir, una diferencia de tres puntos porcentuales. Este porcentaje es, además, ocho </w:t>
      </w:r>
      <w:proofErr w:type="gramStart"/>
      <w:r>
        <w:rPr>
          <w:rFonts w:ascii="Open Sans" w:eastAsia="Open Sans" w:hAnsi="Open Sans" w:cs="Open Sans"/>
          <w:sz w:val="22"/>
          <w:szCs w:val="22"/>
        </w:rPr>
        <w:t>puntos más elevado</w:t>
      </w:r>
      <w:proofErr w:type="gramEnd"/>
      <w:r>
        <w:rPr>
          <w:rFonts w:ascii="Open Sans" w:eastAsia="Open Sans" w:hAnsi="Open Sans" w:cs="Open Sans"/>
          <w:sz w:val="22"/>
          <w:szCs w:val="22"/>
        </w:rPr>
        <w:t xml:space="preserve"> que el de 2022, cuando era del 27%. Esta es la principal conclusión del informe “</w:t>
      </w:r>
      <w:hyperlink r:id="rId10">
        <w:r>
          <w:rPr>
            <w:rFonts w:ascii="Open Sans" w:eastAsia="Open Sans" w:hAnsi="Open Sans" w:cs="Open Sans"/>
            <w:b/>
            <w:i/>
            <w:color w:val="0000FF"/>
            <w:sz w:val="22"/>
            <w:szCs w:val="22"/>
            <w:u w:val="single"/>
          </w:rPr>
          <w:t>Perfil del hipotecado español en 2024</w:t>
        </w:r>
      </w:hyperlink>
      <w:r>
        <w:rPr>
          <w:rFonts w:ascii="Open Sans" w:eastAsia="Open Sans" w:hAnsi="Open Sans" w:cs="Open Sans"/>
          <w:sz w:val="22"/>
          <w:szCs w:val="22"/>
        </w:rPr>
        <w:t xml:space="preserve">” que traza, un año más, una radiografía de cómo se hipotecan los españoles. </w:t>
      </w:r>
    </w:p>
    <w:p w14:paraId="590B6164" w14:textId="77777777" w:rsidR="009B7C2A" w:rsidRDefault="009B7C2A">
      <w:pPr>
        <w:spacing w:line="276" w:lineRule="auto"/>
        <w:ind w:left="-284" w:right="4"/>
        <w:jc w:val="both"/>
        <w:rPr>
          <w:rFonts w:ascii="Open Sans" w:eastAsia="Open Sans" w:hAnsi="Open Sans" w:cs="Open Sans"/>
          <w:sz w:val="22"/>
          <w:szCs w:val="22"/>
        </w:rPr>
      </w:pPr>
    </w:p>
    <w:p w14:paraId="24A42560" w14:textId="77777777" w:rsidR="009B7C2A" w:rsidRDefault="00000000">
      <w:pPr>
        <w:spacing w:line="276" w:lineRule="auto"/>
        <w:ind w:left="-284" w:right="4"/>
        <w:jc w:val="both"/>
        <w:rPr>
          <w:rFonts w:ascii="Open Sans" w:eastAsia="Open Sans" w:hAnsi="Open Sans" w:cs="Open Sans"/>
          <w:sz w:val="22"/>
          <w:szCs w:val="22"/>
        </w:rPr>
      </w:pPr>
      <w:r>
        <w:rPr>
          <w:rFonts w:ascii="Open Sans" w:eastAsia="Open Sans" w:hAnsi="Open Sans" w:cs="Open Sans"/>
          <w:sz w:val="22"/>
          <w:szCs w:val="22"/>
        </w:rPr>
        <w:t xml:space="preserve">De estos nuevos propietarios que no necesitaron hipoteca, </w:t>
      </w:r>
      <w:r>
        <w:rPr>
          <w:rFonts w:ascii="Open Sans" w:eastAsia="Open Sans" w:hAnsi="Open Sans" w:cs="Open Sans"/>
          <w:b/>
          <w:sz w:val="22"/>
          <w:szCs w:val="22"/>
        </w:rPr>
        <w:t>el 17% culminó la compra mediante sus propios ahorros; el 10% se valió del respaldo de familiares; y el 7% afrontó la operación gracias a la venta de la antigua vivienda</w:t>
      </w:r>
      <w:r>
        <w:rPr>
          <w:rFonts w:ascii="Open Sans" w:eastAsia="Open Sans" w:hAnsi="Open Sans" w:cs="Open Sans"/>
          <w:sz w:val="22"/>
          <w:szCs w:val="22"/>
        </w:rPr>
        <w:t xml:space="preserve"> (6% en 2023). </w:t>
      </w:r>
    </w:p>
    <w:p w14:paraId="483AAADE" w14:textId="77777777" w:rsidR="009B7C2A" w:rsidRDefault="009B7C2A">
      <w:pPr>
        <w:spacing w:line="276" w:lineRule="auto"/>
        <w:ind w:left="-284" w:right="4"/>
        <w:jc w:val="both"/>
        <w:rPr>
          <w:rFonts w:ascii="Open Sans" w:eastAsia="Open Sans" w:hAnsi="Open Sans" w:cs="Open Sans"/>
          <w:sz w:val="22"/>
          <w:szCs w:val="22"/>
        </w:rPr>
      </w:pPr>
    </w:p>
    <w:p w14:paraId="0DB9DC12" w14:textId="77777777" w:rsidR="009B7C2A" w:rsidRDefault="00000000">
      <w:pPr>
        <w:spacing w:line="276" w:lineRule="auto"/>
        <w:ind w:left="-284" w:right="4"/>
        <w:jc w:val="both"/>
        <w:rPr>
          <w:rFonts w:ascii="Open Sans" w:eastAsia="Open Sans" w:hAnsi="Open Sans" w:cs="Open Sans"/>
          <w:sz w:val="22"/>
          <w:szCs w:val="22"/>
        </w:rPr>
      </w:pPr>
      <w:r>
        <w:rPr>
          <w:rFonts w:ascii="Open Sans" w:eastAsia="Open Sans" w:hAnsi="Open Sans" w:cs="Open Sans"/>
          <w:sz w:val="22"/>
          <w:szCs w:val="22"/>
        </w:rPr>
        <w:t xml:space="preserve">El grueso, sin embargo, sigue estando en el 66% de compradores que tuvieron que firmar una hipoteca para convertirse en propietarios, un porcentaje algo inferior al 68% anotado un año antes. De manera desglosada, </w:t>
      </w:r>
      <w:r>
        <w:rPr>
          <w:rFonts w:ascii="Open Sans" w:eastAsia="Open Sans" w:hAnsi="Open Sans" w:cs="Open Sans"/>
          <w:b/>
          <w:sz w:val="22"/>
          <w:szCs w:val="22"/>
        </w:rPr>
        <w:t>ese 66% se integra de un 54% que únicamente recibió financiación bancaria mientras que otro 12% necesitó, además del préstamo hipotecario, la ayuda familiar para efectuar la compra</w:t>
      </w:r>
      <w:r>
        <w:rPr>
          <w:rFonts w:ascii="Open Sans" w:eastAsia="Open Sans" w:hAnsi="Open Sans" w:cs="Open Sans"/>
          <w:sz w:val="22"/>
          <w:szCs w:val="22"/>
        </w:rPr>
        <w:t>.</w:t>
      </w:r>
    </w:p>
    <w:p w14:paraId="2E3C54B7" w14:textId="77777777" w:rsidR="009B7C2A" w:rsidRDefault="009B7C2A">
      <w:pPr>
        <w:spacing w:line="276" w:lineRule="auto"/>
        <w:ind w:left="-284" w:right="4"/>
        <w:jc w:val="both"/>
        <w:rPr>
          <w:rFonts w:ascii="Open Sans" w:eastAsia="Open Sans" w:hAnsi="Open Sans" w:cs="Open Sans"/>
          <w:sz w:val="22"/>
          <w:szCs w:val="22"/>
        </w:rPr>
      </w:pPr>
    </w:p>
    <w:p w14:paraId="5B8AB078" w14:textId="77777777" w:rsidR="009B7C2A" w:rsidRDefault="009B7C2A">
      <w:pPr>
        <w:spacing w:line="276" w:lineRule="auto"/>
        <w:ind w:left="-284" w:right="4"/>
        <w:jc w:val="both"/>
        <w:rPr>
          <w:rFonts w:ascii="Open Sans" w:eastAsia="Open Sans" w:hAnsi="Open Sans" w:cs="Open Sans"/>
          <w:sz w:val="22"/>
          <w:szCs w:val="22"/>
        </w:rPr>
      </w:pPr>
    </w:p>
    <w:p w14:paraId="72A0CA13" w14:textId="77777777" w:rsidR="009B7C2A" w:rsidRDefault="00000000">
      <w:pPr>
        <w:spacing w:line="276" w:lineRule="auto"/>
        <w:ind w:left="-284" w:right="141"/>
        <w:jc w:val="both"/>
      </w:pPr>
      <w:r>
        <w:rPr>
          <w:noProof/>
        </w:rPr>
        <w:lastRenderedPageBreak/>
        <w:drawing>
          <wp:inline distT="0" distB="0" distL="0" distR="0" wp14:anchorId="53BE30C2" wp14:editId="68B5CE1D">
            <wp:extent cx="5940858" cy="3681603"/>
            <wp:effectExtent l="0" t="0" r="0" b="3810"/>
            <wp:docPr id="20937902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940858" cy="3681603"/>
                    </a:xfrm>
                    <a:prstGeom prst="rect">
                      <a:avLst/>
                    </a:prstGeom>
                    <a:ln/>
                  </pic:spPr>
                </pic:pic>
              </a:graphicData>
            </a:graphic>
          </wp:inline>
        </w:drawing>
      </w:r>
    </w:p>
    <w:p w14:paraId="1D753CFB" w14:textId="77777777" w:rsidR="009B7C2A" w:rsidRDefault="009B7C2A">
      <w:pPr>
        <w:spacing w:line="276" w:lineRule="auto"/>
        <w:ind w:left="-284" w:right="141"/>
        <w:jc w:val="both"/>
        <w:rPr>
          <w:rFonts w:ascii="Open Sans" w:eastAsia="Open Sans" w:hAnsi="Open Sans" w:cs="Open Sans"/>
          <w:sz w:val="22"/>
          <w:szCs w:val="22"/>
        </w:rPr>
      </w:pPr>
    </w:p>
    <w:p w14:paraId="35B12940" w14:textId="77777777" w:rsidR="009B7C2A" w:rsidRPr="00CF3E0B" w:rsidRDefault="00000000">
      <w:pPr>
        <w:spacing w:line="276" w:lineRule="auto"/>
        <w:ind w:left="-284" w:right="141"/>
        <w:jc w:val="both"/>
        <w:rPr>
          <w:b/>
          <w:bCs/>
        </w:rPr>
      </w:pPr>
      <w:r>
        <w:rPr>
          <w:rFonts w:ascii="Open Sans" w:eastAsia="Open Sans" w:hAnsi="Open Sans" w:cs="Open Sans"/>
          <w:sz w:val="22"/>
          <w:szCs w:val="22"/>
        </w:rPr>
        <w:t xml:space="preserve">“Desde la primera subida de tipos de interés por parte del Banco Central Europeo en 2022, se detecta un incremento de ocho puntos porcentuales en los compradores de vivienda que no solicitan préstamos hipotecarios. Este cambio de tendencia se debe al encarecimiento y endurecimiento de las hipotecas, que los ciudadanos intentan sortear obteniendo financiación alternativa como ayuda familiar, utilizando ahorros previos o incluso vendiendo su actual vivienda para comprar la siguiente. Son fórmulas alternativas para evitar contratar un préstamo en una entidad bancaria, mientras los tipos de interés se mantengan en niveles considerados por los compradores como poco atractivos”, </w:t>
      </w:r>
      <w:r w:rsidRPr="00CF3E0B">
        <w:rPr>
          <w:rFonts w:ascii="Open Sans" w:eastAsia="Open Sans" w:hAnsi="Open Sans" w:cs="Open Sans"/>
          <w:b/>
          <w:bCs/>
          <w:sz w:val="22"/>
          <w:szCs w:val="22"/>
        </w:rPr>
        <w:t xml:space="preserve">comenta María Matos, directora de Estudios y portavoz de </w:t>
      </w:r>
      <w:hyperlink r:id="rId12">
        <w:r w:rsidRPr="00CF3E0B">
          <w:rPr>
            <w:rFonts w:ascii="Open Sans" w:eastAsia="Open Sans" w:hAnsi="Open Sans" w:cs="Open Sans"/>
            <w:b/>
            <w:bCs/>
            <w:color w:val="1155CC"/>
            <w:sz w:val="22"/>
            <w:szCs w:val="22"/>
            <w:u w:val="single"/>
          </w:rPr>
          <w:t>Fotocasa</w:t>
        </w:r>
      </w:hyperlink>
      <w:r w:rsidRPr="00CF3E0B">
        <w:rPr>
          <w:rFonts w:ascii="Open Sans" w:eastAsia="Open Sans" w:hAnsi="Open Sans" w:cs="Open Sans"/>
          <w:b/>
          <w:bCs/>
          <w:sz w:val="22"/>
          <w:szCs w:val="22"/>
        </w:rPr>
        <w:t xml:space="preserve">. </w:t>
      </w:r>
    </w:p>
    <w:p w14:paraId="68883B56" w14:textId="77777777" w:rsidR="009B7C2A" w:rsidRDefault="009B7C2A">
      <w:pPr>
        <w:spacing w:line="276" w:lineRule="auto"/>
        <w:ind w:left="-284" w:right="4"/>
        <w:jc w:val="both"/>
        <w:rPr>
          <w:rFonts w:ascii="Open Sans" w:eastAsia="Open Sans" w:hAnsi="Open Sans" w:cs="Open Sans"/>
          <w:sz w:val="22"/>
          <w:szCs w:val="22"/>
        </w:rPr>
      </w:pPr>
    </w:p>
    <w:p w14:paraId="4D595032" w14:textId="77777777" w:rsidR="009B7C2A" w:rsidRDefault="00000000">
      <w:pPr>
        <w:pBdr>
          <w:top w:val="nil"/>
          <w:left w:val="nil"/>
          <w:bottom w:val="nil"/>
          <w:right w:val="nil"/>
          <w:between w:val="nil"/>
        </w:pBdr>
        <w:spacing w:line="276" w:lineRule="auto"/>
        <w:ind w:left="-284"/>
        <w:jc w:val="both"/>
        <w:rPr>
          <w:rFonts w:ascii="Open Sans Light" w:eastAsia="Open Sans Light" w:hAnsi="Open Sans Light" w:cs="Open Sans Light"/>
          <w:b/>
          <w:color w:val="303AB2"/>
        </w:rPr>
      </w:pPr>
      <w:r>
        <w:rPr>
          <w:rFonts w:ascii="Open Sans Light" w:eastAsia="Open Sans Light" w:hAnsi="Open Sans Light" w:cs="Open Sans Light"/>
          <w:b/>
          <w:color w:val="303AB2"/>
        </w:rPr>
        <w:t>Mujer de 49 años, el perfil de la compradora de vivienda sin hipoteca</w:t>
      </w:r>
    </w:p>
    <w:p w14:paraId="766674F6" w14:textId="77777777" w:rsidR="009B7C2A" w:rsidRDefault="009B7C2A">
      <w:pPr>
        <w:spacing w:line="276" w:lineRule="auto"/>
        <w:ind w:left="-284" w:right="4"/>
        <w:jc w:val="both"/>
        <w:rPr>
          <w:rFonts w:ascii="Open Sans" w:eastAsia="Open Sans" w:hAnsi="Open Sans" w:cs="Open Sans"/>
          <w:sz w:val="22"/>
          <w:szCs w:val="22"/>
        </w:rPr>
      </w:pPr>
    </w:p>
    <w:p w14:paraId="53A209A9" w14:textId="77777777" w:rsidR="009B7C2A" w:rsidRDefault="00000000">
      <w:pPr>
        <w:spacing w:line="276" w:lineRule="auto"/>
        <w:ind w:left="-284" w:right="4"/>
        <w:jc w:val="both"/>
        <w:rPr>
          <w:rFonts w:ascii="Open Sans" w:eastAsia="Open Sans" w:hAnsi="Open Sans" w:cs="Open Sans"/>
          <w:sz w:val="22"/>
          <w:szCs w:val="22"/>
        </w:rPr>
      </w:pPr>
      <w:r>
        <w:rPr>
          <w:rFonts w:ascii="Open Sans" w:eastAsia="Open Sans" w:hAnsi="Open Sans" w:cs="Open Sans"/>
          <w:sz w:val="22"/>
          <w:szCs w:val="22"/>
        </w:rPr>
        <w:t>Ese 35% de compradores que no necesitan hipoteca está dominado por mujeres (56%) con una edad media de 49 años y en un 39% de los casos vive únicamente con su pareja. Además, en un 29% son de clase media-alta. La diferencia del colectivo que compra sin hipoteca frente al que necesita hipotecarse es la media de edad que es algo más baja, de 42 años de media, y en un 36% de los casos vive solo con su pareja y en otro 36% de los casos con su pareja e hijos. Y en un 40% son de clase media-alta.</w:t>
      </w:r>
    </w:p>
    <w:p w14:paraId="1A9D961C" w14:textId="77777777" w:rsidR="00CF3E0B" w:rsidRDefault="00CF3E0B">
      <w:pPr>
        <w:spacing w:line="276" w:lineRule="auto"/>
        <w:ind w:left="-284" w:right="4"/>
        <w:jc w:val="both"/>
        <w:rPr>
          <w:rFonts w:ascii="Open Sans" w:eastAsia="Open Sans" w:hAnsi="Open Sans" w:cs="Open Sans"/>
          <w:sz w:val="22"/>
          <w:szCs w:val="22"/>
        </w:rPr>
      </w:pPr>
    </w:p>
    <w:p w14:paraId="26D61E92" w14:textId="77777777" w:rsidR="009B7C2A" w:rsidRDefault="00000000">
      <w:pPr>
        <w:spacing w:line="276" w:lineRule="auto"/>
        <w:ind w:left="-284" w:right="4"/>
        <w:jc w:val="both"/>
        <w:rPr>
          <w:rFonts w:ascii="Open Sans" w:eastAsia="Open Sans" w:hAnsi="Open Sans" w:cs="Open Sans"/>
          <w:b/>
          <w:sz w:val="22"/>
          <w:szCs w:val="22"/>
        </w:rPr>
      </w:pPr>
      <w:r>
        <w:rPr>
          <w:rFonts w:ascii="Open Sans" w:eastAsia="Open Sans" w:hAnsi="Open Sans" w:cs="Open Sans"/>
          <w:sz w:val="22"/>
          <w:szCs w:val="22"/>
        </w:rPr>
        <w:t xml:space="preserve">Otra característica que distingue ambos colectivos es la fórmula de residencia anterior, de modo que son más </w:t>
      </w:r>
      <w:r>
        <w:rPr>
          <w:rFonts w:ascii="Open Sans" w:eastAsia="Open Sans" w:hAnsi="Open Sans" w:cs="Open Sans"/>
          <w:b/>
          <w:sz w:val="22"/>
          <w:szCs w:val="22"/>
        </w:rPr>
        <w:t xml:space="preserve">los que no necesitan hipoteca y residían mayoritariamente en </w:t>
      </w:r>
      <w:r>
        <w:rPr>
          <w:rFonts w:ascii="Open Sans" w:eastAsia="Open Sans" w:hAnsi="Open Sans" w:cs="Open Sans"/>
          <w:b/>
          <w:sz w:val="22"/>
          <w:szCs w:val="22"/>
        </w:rPr>
        <w:lastRenderedPageBreak/>
        <w:t>viviendas de su propiedad (64%) frente a los que demandan un préstamo bancario, entre los que hay un 42% que vivían antes de alquiler.</w:t>
      </w:r>
    </w:p>
    <w:p w14:paraId="7F5F933D" w14:textId="77777777" w:rsidR="009B7C2A" w:rsidRDefault="009B7C2A">
      <w:pPr>
        <w:spacing w:line="276" w:lineRule="auto"/>
        <w:ind w:left="-284" w:right="4"/>
        <w:jc w:val="both"/>
        <w:rPr>
          <w:rFonts w:ascii="Open Sans" w:eastAsia="Open Sans" w:hAnsi="Open Sans" w:cs="Open Sans"/>
          <w:sz w:val="22"/>
          <w:szCs w:val="22"/>
        </w:rPr>
      </w:pPr>
    </w:p>
    <w:p w14:paraId="10A080F3" w14:textId="77777777" w:rsidR="009B7C2A" w:rsidRDefault="00000000">
      <w:pPr>
        <w:spacing w:line="276" w:lineRule="auto"/>
        <w:ind w:left="-284" w:right="4"/>
        <w:jc w:val="both"/>
        <w:rPr>
          <w:rFonts w:ascii="Open Sans" w:eastAsia="Open Sans" w:hAnsi="Open Sans" w:cs="Open Sans"/>
          <w:b/>
          <w:sz w:val="22"/>
          <w:szCs w:val="22"/>
        </w:rPr>
      </w:pPr>
      <w:r>
        <w:rPr>
          <w:rFonts w:ascii="Open Sans" w:eastAsia="Open Sans" w:hAnsi="Open Sans" w:cs="Open Sans"/>
          <w:sz w:val="22"/>
          <w:szCs w:val="22"/>
        </w:rPr>
        <w:t xml:space="preserve">En lo que se refiere el uso que le da a la vivienda que compran, </w:t>
      </w:r>
      <w:r>
        <w:rPr>
          <w:rFonts w:ascii="Open Sans" w:eastAsia="Open Sans" w:hAnsi="Open Sans" w:cs="Open Sans"/>
          <w:b/>
          <w:sz w:val="22"/>
          <w:szCs w:val="22"/>
        </w:rPr>
        <w:t>el 89% de quienes se hipotecan adquieren el inmueble para vivir en él, en el caso de los que cuentan con liquidez esta cifra desciende hasta el 64%.</w:t>
      </w:r>
    </w:p>
    <w:p w14:paraId="787FB26E" w14:textId="77777777" w:rsidR="009B7C2A" w:rsidRDefault="009B7C2A">
      <w:pPr>
        <w:spacing w:line="276" w:lineRule="auto"/>
        <w:ind w:left="-284" w:right="4"/>
        <w:jc w:val="both"/>
        <w:rPr>
          <w:rFonts w:ascii="Open Sans" w:eastAsia="Open Sans" w:hAnsi="Open Sans" w:cs="Open Sans"/>
          <w:sz w:val="22"/>
          <w:szCs w:val="22"/>
        </w:rPr>
      </w:pPr>
    </w:p>
    <w:p w14:paraId="55ED2317" w14:textId="77777777" w:rsidR="009B7C2A" w:rsidRDefault="00000000">
      <w:pPr>
        <w:spacing w:line="276" w:lineRule="auto"/>
        <w:ind w:left="-284" w:right="4"/>
        <w:jc w:val="both"/>
        <w:rPr>
          <w:rFonts w:ascii="Open Sans" w:eastAsia="Open Sans" w:hAnsi="Open Sans" w:cs="Open Sans"/>
          <w:sz w:val="22"/>
          <w:szCs w:val="22"/>
        </w:rPr>
      </w:pPr>
      <w:r>
        <w:rPr>
          <w:rFonts w:ascii="Open Sans" w:eastAsia="Open Sans" w:hAnsi="Open Sans" w:cs="Open Sans"/>
          <w:sz w:val="22"/>
          <w:szCs w:val="22"/>
        </w:rPr>
        <w:t xml:space="preserve">Por último, los que necesitan hipoteca, además, </w:t>
      </w:r>
      <w:r>
        <w:rPr>
          <w:rFonts w:ascii="Open Sans" w:eastAsia="Open Sans" w:hAnsi="Open Sans" w:cs="Open Sans"/>
          <w:b/>
          <w:sz w:val="22"/>
          <w:szCs w:val="22"/>
        </w:rPr>
        <w:t>solicitan más préstamos vinculados con los pagos iniciales</w:t>
      </w:r>
      <w:r>
        <w:rPr>
          <w:rFonts w:ascii="Open Sans" w:eastAsia="Open Sans" w:hAnsi="Open Sans" w:cs="Open Sans"/>
          <w:sz w:val="22"/>
          <w:szCs w:val="22"/>
        </w:rPr>
        <w:t>, es decir, notario, impuestos, entrada, etcétera. Son un 56%, un porcentaje algo mayor que el pasado año, cuando eran el 52%.  Frente a esto, la mitad de quienes no solicitan una hipoteca (49%) contaban con ahorro suficiente y solo un 10% pidió un préstamo para pagar los gastos iniciales.</w:t>
      </w:r>
    </w:p>
    <w:p w14:paraId="05681063" w14:textId="77777777" w:rsidR="009B7C2A" w:rsidRDefault="009B7C2A">
      <w:pPr>
        <w:spacing w:line="276" w:lineRule="auto"/>
        <w:ind w:left="-284" w:right="4"/>
        <w:jc w:val="both"/>
        <w:rPr>
          <w:rFonts w:ascii="Open Sans" w:eastAsia="Open Sans" w:hAnsi="Open Sans" w:cs="Open Sans"/>
          <w:sz w:val="22"/>
          <w:szCs w:val="22"/>
        </w:rPr>
      </w:pPr>
    </w:p>
    <w:p w14:paraId="04495014" w14:textId="77777777" w:rsidR="009B7C2A" w:rsidRDefault="00000000">
      <w:pPr>
        <w:spacing w:line="276" w:lineRule="auto"/>
        <w:ind w:right="-426"/>
        <w:jc w:val="center"/>
        <w:rPr>
          <w:rFonts w:ascii="Open Sans" w:eastAsia="Open Sans" w:hAnsi="Open Sans" w:cs="Open Sans"/>
          <w:b/>
          <w:color w:val="1155CC"/>
          <w:u w:val="single"/>
        </w:rPr>
      </w:pPr>
      <w:hyperlink r:id="rId13">
        <w:r>
          <w:rPr>
            <w:rFonts w:ascii="Open Sans" w:eastAsia="Open Sans" w:hAnsi="Open Sans" w:cs="Open Sans"/>
            <w:b/>
            <w:color w:val="1155CC"/>
            <w:u w:val="single"/>
          </w:rPr>
          <w:t>Declaraciones de María Matos, directora de Estudios de Fotocasa</w:t>
        </w:r>
      </w:hyperlink>
    </w:p>
    <w:p w14:paraId="1B99F3A4" w14:textId="77777777" w:rsidR="00CF3E0B" w:rsidRDefault="00CF3E0B">
      <w:pPr>
        <w:spacing w:line="276" w:lineRule="auto"/>
        <w:ind w:right="-426"/>
        <w:jc w:val="center"/>
        <w:rPr>
          <w:rFonts w:ascii="Open Sans" w:eastAsia="Open Sans" w:hAnsi="Open Sans" w:cs="Open Sans"/>
          <w:b/>
        </w:rPr>
      </w:pPr>
    </w:p>
    <w:p w14:paraId="0B91C5E4" w14:textId="77777777" w:rsidR="009B7C2A" w:rsidRDefault="00000000">
      <w:pPr>
        <w:spacing w:line="276" w:lineRule="auto"/>
        <w:ind w:right="-426"/>
        <w:jc w:val="center"/>
        <w:rPr>
          <w:rFonts w:ascii="Open Sans" w:eastAsia="Open Sans" w:hAnsi="Open Sans" w:cs="Open Sans"/>
          <w:b/>
        </w:rPr>
      </w:pPr>
      <w:r>
        <w:rPr>
          <w:rFonts w:ascii="Open Sans" w:eastAsia="Open Sans" w:hAnsi="Open Sans" w:cs="Open Sans"/>
          <w:b/>
          <w:noProof/>
        </w:rPr>
        <w:drawing>
          <wp:inline distT="114300" distB="114300" distL="114300" distR="114300" wp14:anchorId="2B368B93" wp14:editId="66955453">
            <wp:extent cx="5764220" cy="3263900"/>
            <wp:effectExtent l="0" t="0" r="0" b="0"/>
            <wp:docPr id="209379022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5764220" cy="3263900"/>
                    </a:xfrm>
                    <a:prstGeom prst="rect">
                      <a:avLst/>
                    </a:prstGeom>
                    <a:ln/>
                  </pic:spPr>
                </pic:pic>
              </a:graphicData>
            </a:graphic>
          </wp:inline>
        </w:drawing>
      </w:r>
    </w:p>
    <w:p w14:paraId="72617F43" w14:textId="77777777" w:rsidR="009B7C2A" w:rsidRDefault="009B7C2A">
      <w:pPr>
        <w:spacing w:line="276" w:lineRule="auto"/>
        <w:ind w:right="-426"/>
        <w:jc w:val="center"/>
        <w:rPr>
          <w:rFonts w:ascii="Open Sans" w:eastAsia="Open Sans" w:hAnsi="Open Sans" w:cs="Open Sans"/>
          <w:b/>
        </w:rPr>
      </w:pPr>
    </w:p>
    <w:p w14:paraId="215C1977" w14:textId="77777777" w:rsidR="009B7C2A" w:rsidRDefault="009B7C2A">
      <w:pPr>
        <w:spacing w:line="276" w:lineRule="auto"/>
        <w:ind w:left="-284"/>
        <w:jc w:val="right"/>
        <w:rPr>
          <w:rFonts w:ascii="Open Sans Light" w:eastAsia="Open Sans Light" w:hAnsi="Open Sans Light" w:cs="Open Sans Light"/>
          <w:b/>
          <w:color w:val="303AB2"/>
        </w:rPr>
      </w:pPr>
    </w:p>
    <w:p w14:paraId="6549A1E6" w14:textId="77777777" w:rsidR="009B7C2A" w:rsidRDefault="00000000">
      <w:pPr>
        <w:spacing w:line="276" w:lineRule="auto"/>
        <w:ind w:left="-284"/>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54D4F32F" w14:textId="77777777" w:rsidR="009B7C2A" w:rsidRDefault="00000000">
      <w:pPr>
        <w:shd w:val="clear" w:color="auto" w:fill="FFFFFF"/>
        <w:spacing w:before="280" w:after="280" w:line="276" w:lineRule="auto"/>
        <w:ind w:left="-284"/>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5">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6">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1" w:name="_heading=h.2s8eyo1" w:colFirst="0" w:colLast="0"/>
    <w:bookmarkEnd w:id="1"/>
    <w:p w14:paraId="08822ADE" w14:textId="77777777" w:rsidR="009B7C2A" w:rsidRDefault="00000000">
      <w:pPr>
        <w:shd w:val="clear" w:color="auto" w:fill="FFFFFF"/>
        <w:spacing w:before="280" w:after="280" w:line="276" w:lineRule="auto"/>
        <w:ind w:left="-284"/>
        <w:jc w:val="both"/>
        <w:rPr>
          <w:rFonts w:ascii="Open Sans" w:eastAsia="Open Sans" w:hAnsi="Open Sans" w:cs="Open Sans"/>
          <w:sz w:val="22"/>
          <w:szCs w:val="22"/>
        </w:rPr>
      </w:pPr>
      <w:r>
        <w:lastRenderedPageBreak/>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proofErr w:type="spellStart"/>
      <w:r>
        <w:fldChar w:fldCharType="begin"/>
      </w:r>
      <w:r>
        <w:instrText>HYPERLINK "https://www.adevinta.com/" \h</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una empresa 100% especializada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el único “pure </w:t>
      </w:r>
      <w:proofErr w:type="spellStart"/>
      <w:r>
        <w:rPr>
          <w:rFonts w:ascii="Open Sans" w:eastAsia="Open Sans" w:hAnsi="Open Sans" w:cs="Open Sans"/>
          <w:sz w:val="22"/>
          <w:szCs w:val="22"/>
        </w:rPr>
        <w:t>player</w:t>
      </w:r>
      <w:proofErr w:type="spellEnd"/>
      <w:r>
        <w:rPr>
          <w:rFonts w:ascii="Open Sans" w:eastAsia="Open Sans" w:hAnsi="Open Sans" w:cs="Open Sans"/>
          <w:sz w:val="22"/>
          <w:szCs w:val="22"/>
        </w:rPr>
        <w:t xml:space="preserve">” del sector a nivel mundial. </w:t>
      </w:r>
    </w:p>
    <w:p w14:paraId="04B3437F" w14:textId="77777777" w:rsidR="009B7C2A" w:rsidRDefault="00000000">
      <w:pPr>
        <w:shd w:val="clear" w:color="auto" w:fill="FFFFFF"/>
        <w:spacing w:before="280" w:after="280" w:line="276" w:lineRule="auto"/>
        <w:ind w:left="-284"/>
        <w:jc w:val="both"/>
        <w:rPr>
          <w:rFonts w:ascii="Open Sans" w:eastAsia="Open Sans" w:hAnsi="Open Sans" w:cs="Open Sans"/>
          <w:sz w:val="22"/>
          <w:szCs w:val="22"/>
        </w:rPr>
      </w:pPr>
      <w:hyperlink r:id="rId17">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6C30FF21" w14:textId="77777777" w:rsidR="009B7C2A" w:rsidRDefault="009B7C2A">
      <w:pPr>
        <w:spacing w:line="276" w:lineRule="auto"/>
        <w:ind w:left="-284"/>
        <w:jc w:val="right"/>
        <w:rPr>
          <w:rFonts w:ascii="Open Sans Light" w:eastAsia="Open Sans Light" w:hAnsi="Open Sans Light" w:cs="Open Sans Light"/>
          <w:b/>
          <w:color w:val="303AB2"/>
        </w:rPr>
      </w:pPr>
    </w:p>
    <w:p w14:paraId="2EB88455" w14:textId="77777777" w:rsidR="009B7C2A" w:rsidRDefault="00000000">
      <w:pPr>
        <w:spacing w:line="276" w:lineRule="auto"/>
        <w:ind w:left="-284"/>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r>
        <w:rPr>
          <w:rFonts w:ascii="Open Sans Light" w:eastAsia="Open Sans Light" w:hAnsi="Open Sans Light" w:cs="Open Sans Light"/>
          <w:b/>
          <w:color w:val="303AB2"/>
        </w:rPr>
        <w:t xml:space="preserve"> </w:t>
      </w:r>
      <w:proofErr w:type="spellStart"/>
      <w:r>
        <w:rPr>
          <w:rFonts w:ascii="Open Sans Light" w:eastAsia="Open Sans Light" w:hAnsi="Open Sans Light" w:cs="Open Sans Light"/>
          <w:b/>
          <w:color w:val="303AB2"/>
        </w:rPr>
        <w:t>Spain</w:t>
      </w:r>
      <w:proofErr w:type="spellEnd"/>
    </w:p>
    <w:p w14:paraId="77B987B8" w14:textId="77777777" w:rsidR="009B7C2A" w:rsidRDefault="00000000">
      <w:pPr>
        <w:spacing w:before="143" w:after="200"/>
        <w:ind w:left="-284"/>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Spain</w:t>
      </w:r>
      <w:proofErr w:type="spellEnd"/>
      <w:r>
        <w:rPr>
          <w:rFonts w:ascii="Open Sans" w:eastAsia="Open Sans" w:hAnsi="Open Sans" w:cs="Open Sans"/>
          <w:sz w:val="22"/>
          <w:szCs w:val="22"/>
        </w:rPr>
        <w:t xml:space="preserve"> es una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18">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0">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1">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2">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23988BB1" w14:textId="77777777" w:rsidR="009B7C2A" w:rsidRDefault="00000000">
      <w:pPr>
        <w:spacing w:before="143" w:after="200"/>
        <w:ind w:left="-284"/>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2E33C3DE" w14:textId="77777777" w:rsidR="009B7C2A" w:rsidRDefault="00000000">
      <w:pPr>
        <w:spacing w:before="143" w:after="200"/>
        <w:ind w:left="-284"/>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3.000 millones de visitas cada mes. </w:t>
      </w:r>
    </w:p>
    <w:p w14:paraId="12EDE8D4" w14:textId="77777777" w:rsidR="009B7C2A" w:rsidRDefault="00000000">
      <w:pPr>
        <w:spacing w:line="276" w:lineRule="auto"/>
        <w:ind w:left="-284"/>
        <w:jc w:val="right"/>
        <w:rPr>
          <w:rFonts w:ascii="Open Sans" w:eastAsia="Open Sans" w:hAnsi="Open Sans" w:cs="Open Sans"/>
        </w:rPr>
      </w:pPr>
      <w:r>
        <w:rPr>
          <w:rFonts w:ascii="Open Sans" w:eastAsia="Open Sans" w:hAnsi="Open Sans" w:cs="Open Sans"/>
          <w:sz w:val="22"/>
          <w:szCs w:val="22"/>
        </w:rPr>
        <w:t xml:space="preserve">Más información en </w:t>
      </w:r>
      <w:hyperlink r:id="rId23">
        <w:r>
          <w:rPr>
            <w:rFonts w:ascii="Open Sans" w:eastAsia="Open Sans" w:hAnsi="Open Sans" w:cs="Open Sans"/>
            <w:color w:val="1155CC"/>
            <w:sz w:val="22"/>
            <w:szCs w:val="22"/>
            <w:u w:val="single"/>
          </w:rPr>
          <w:t>adevinta.es</w:t>
        </w:r>
      </w:hyperlink>
    </w:p>
    <w:p w14:paraId="4C09C3F0" w14:textId="77777777" w:rsidR="009B7C2A" w:rsidRDefault="009B7C2A">
      <w:pPr>
        <w:spacing w:line="276" w:lineRule="auto"/>
        <w:ind w:left="-284"/>
        <w:jc w:val="right"/>
        <w:rPr>
          <w:rFonts w:ascii="Open Sans" w:eastAsia="Open Sans" w:hAnsi="Open Sans" w:cs="Open Sans"/>
        </w:rPr>
      </w:pPr>
    </w:p>
    <w:p w14:paraId="2DAEAD7F" w14:textId="77777777" w:rsidR="009B7C2A" w:rsidRDefault="009B7C2A">
      <w:pPr>
        <w:spacing w:line="276" w:lineRule="auto"/>
        <w:ind w:left="-284"/>
        <w:jc w:val="right"/>
        <w:rPr>
          <w:rFonts w:ascii="Open Sans" w:eastAsia="Open Sans" w:hAnsi="Open Sans" w:cs="Open Sans"/>
        </w:rPr>
      </w:pPr>
    </w:p>
    <w:p w14:paraId="2142BCC7" w14:textId="77777777" w:rsidR="009B7C2A" w:rsidRDefault="00000000">
      <w:pPr>
        <w:spacing w:line="276" w:lineRule="auto"/>
        <w:ind w:left="-284"/>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1850D764" w14:textId="77777777" w:rsidR="009B7C2A" w:rsidRDefault="00000000">
      <w:pPr>
        <w:shd w:val="clear" w:color="auto" w:fill="FFFFFF"/>
        <w:spacing w:line="276" w:lineRule="auto"/>
        <w:ind w:left="-284"/>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7063DA89" w14:textId="77777777" w:rsidR="009B7C2A" w:rsidRDefault="00000000">
      <w:pPr>
        <w:shd w:val="clear" w:color="auto" w:fill="FFFFFF"/>
        <w:spacing w:line="276" w:lineRule="auto"/>
        <w:ind w:left="-284"/>
        <w:rPr>
          <w:rFonts w:ascii="Open Sans" w:eastAsia="Open Sans" w:hAnsi="Open Sans" w:cs="Open Sans"/>
          <w:color w:val="0000FF"/>
          <w:sz w:val="22"/>
          <w:szCs w:val="22"/>
          <w:u w:val="single"/>
        </w:rPr>
      </w:pPr>
      <w:hyperlink r:id="rId24">
        <w:r>
          <w:rPr>
            <w:rFonts w:ascii="Open Sans" w:eastAsia="Open Sans" w:hAnsi="Open Sans" w:cs="Open Sans"/>
            <w:color w:val="0000FF"/>
            <w:sz w:val="22"/>
            <w:szCs w:val="22"/>
            <w:u w:val="single"/>
          </w:rPr>
          <w:t>comunicacion@fotocasa.es</w:t>
        </w:r>
      </w:hyperlink>
    </w:p>
    <w:p w14:paraId="41C3B759" w14:textId="77777777" w:rsidR="009B7C2A" w:rsidRDefault="00000000">
      <w:pPr>
        <w:shd w:val="clear" w:color="auto" w:fill="FFFFFF"/>
        <w:spacing w:line="276" w:lineRule="auto"/>
        <w:ind w:left="-284"/>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0C5DBBA9" w14:textId="77777777" w:rsidR="009B7C2A" w:rsidRDefault="009B7C2A">
      <w:pPr>
        <w:spacing w:line="276" w:lineRule="auto"/>
        <w:ind w:left="-284"/>
        <w:rPr>
          <w:rFonts w:ascii="Open Sans Light" w:eastAsia="Open Sans Light" w:hAnsi="Open Sans Light" w:cs="Open Sans Light"/>
          <w:b/>
          <w:color w:val="303AB2"/>
          <w:sz w:val="22"/>
          <w:szCs w:val="22"/>
        </w:rPr>
      </w:pPr>
    </w:p>
    <w:p w14:paraId="02F4EC35" w14:textId="77777777" w:rsidR="009B7C2A" w:rsidRDefault="009B7C2A">
      <w:pPr>
        <w:spacing w:line="276" w:lineRule="auto"/>
        <w:ind w:left="-284"/>
        <w:rPr>
          <w:rFonts w:ascii="Open Sans Light" w:eastAsia="Open Sans Light" w:hAnsi="Open Sans Light" w:cs="Open Sans Light"/>
          <w:b/>
          <w:color w:val="303AB2"/>
          <w:sz w:val="22"/>
          <w:szCs w:val="22"/>
        </w:rPr>
      </w:pPr>
    </w:p>
    <w:p w14:paraId="09166E5F" w14:textId="77777777" w:rsidR="009B7C2A" w:rsidRDefault="009B7C2A">
      <w:pPr>
        <w:spacing w:line="276" w:lineRule="auto"/>
        <w:ind w:left="-284"/>
        <w:rPr>
          <w:rFonts w:ascii="Open Sans Light" w:eastAsia="Open Sans Light" w:hAnsi="Open Sans Light" w:cs="Open Sans Light"/>
          <w:b/>
          <w:color w:val="303AB2"/>
          <w:sz w:val="22"/>
          <w:szCs w:val="22"/>
        </w:rPr>
      </w:pPr>
    </w:p>
    <w:p w14:paraId="3C94E012" w14:textId="77777777" w:rsidR="009B7C2A" w:rsidRDefault="00000000">
      <w:pPr>
        <w:ind w:left="-284" w:right="-433"/>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3664EDCB" w14:textId="77777777" w:rsidR="009B7C2A" w:rsidRDefault="00000000">
      <w:pPr>
        <w:shd w:val="clear" w:color="auto" w:fill="FFFFFF"/>
        <w:ind w:left="-284" w:right="-433"/>
        <w:rPr>
          <w:rFonts w:ascii="Open Sans" w:eastAsia="Open Sans" w:hAnsi="Open Sans" w:cs="Open Sans"/>
          <w:b/>
          <w:sz w:val="22"/>
          <w:szCs w:val="22"/>
        </w:rPr>
      </w:pPr>
      <w:r>
        <w:rPr>
          <w:rFonts w:ascii="Open Sans" w:eastAsia="Open Sans" w:hAnsi="Open Sans" w:cs="Open Sans"/>
          <w:b/>
          <w:sz w:val="22"/>
          <w:szCs w:val="22"/>
        </w:rPr>
        <w:t>Fanny Merino</w:t>
      </w:r>
    </w:p>
    <w:p w14:paraId="59035871" w14:textId="77777777" w:rsidR="009B7C2A" w:rsidRDefault="00000000">
      <w:pPr>
        <w:shd w:val="clear" w:color="auto" w:fill="FFFFFF"/>
        <w:ind w:left="-284" w:right="-433"/>
        <w:rPr>
          <w:rFonts w:ascii="Open Sans" w:eastAsia="Open Sans" w:hAnsi="Open Sans" w:cs="Open Sans"/>
          <w:b/>
          <w:sz w:val="22"/>
          <w:szCs w:val="22"/>
        </w:rPr>
      </w:pPr>
      <w:hyperlink r:id="rId25">
        <w:r>
          <w:rPr>
            <w:rFonts w:ascii="Open Sans" w:eastAsia="Open Sans" w:hAnsi="Open Sans" w:cs="Open Sans"/>
            <w:color w:val="0000FF"/>
            <w:sz w:val="22"/>
            <w:szCs w:val="22"/>
            <w:u w:val="single"/>
          </w:rPr>
          <w:t>emerino@</w:t>
        </w:r>
      </w:hyperlink>
      <w:r>
        <w:rPr>
          <w:rFonts w:ascii="Open Sans" w:eastAsia="Open Sans" w:hAnsi="Open Sans" w:cs="Open Sans"/>
          <w:color w:val="0000FF"/>
          <w:sz w:val="22"/>
          <w:szCs w:val="22"/>
          <w:u w:val="single"/>
        </w:rPr>
        <w:t>llyc.global</w:t>
      </w:r>
      <w:r>
        <w:rPr>
          <w:rFonts w:ascii="Open Sans" w:eastAsia="Open Sans" w:hAnsi="Open Sans" w:cs="Open Sans"/>
          <w:color w:val="0000FF"/>
          <w:sz w:val="22"/>
          <w:szCs w:val="22"/>
        </w:rPr>
        <w:tab/>
      </w:r>
      <w:r>
        <w:rPr>
          <w:rFonts w:ascii="Open Sans" w:eastAsia="Open Sans" w:hAnsi="Open Sans" w:cs="Open Sans"/>
          <w:color w:val="0000FF"/>
          <w:sz w:val="22"/>
          <w:szCs w:val="22"/>
        </w:rPr>
        <w:tab/>
      </w:r>
    </w:p>
    <w:p w14:paraId="7064BCC4" w14:textId="77777777" w:rsidR="009B7C2A" w:rsidRPr="00CF3E0B" w:rsidRDefault="00000000">
      <w:pPr>
        <w:shd w:val="clear" w:color="auto" w:fill="FFFFFF"/>
        <w:ind w:left="-284" w:right="-433"/>
        <w:rPr>
          <w:rFonts w:ascii="Open Sans" w:eastAsia="Open Sans" w:hAnsi="Open Sans" w:cs="Open Sans"/>
          <w:sz w:val="22"/>
          <w:szCs w:val="22"/>
          <w:lang w:val="en-US"/>
        </w:rPr>
      </w:pPr>
      <w:r w:rsidRPr="00CF3E0B">
        <w:rPr>
          <w:rFonts w:ascii="Open Sans" w:eastAsia="Open Sans" w:hAnsi="Open Sans" w:cs="Open Sans"/>
          <w:sz w:val="22"/>
          <w:szCs w:val="22"/>
          <w:lang w:val="en-US"/>
        </w:rPr>
        <w:t>663 35 69 75 </w:t>
      </w:r>
      <w:r w:rsidRPr="00CF3E0B">
        <w:rPr>
          <w:rFonts w:ascii="Open Sans" w:eastAsia="Open Sans" w:hAnsi="Open Sans" w:cs="Open Sans"/>
          <w:sz w:val="22"/>
          <w:szCs w:val="22"/>
          <w:lang w:val="en-US"/>
        </w:rPr>
        <w:tab/>
      </w:r>
      <w:r w:rsidRPr="00CF3E0B">
        <w:rPr>
          <w:rFonts w:ascii="Open Sans" w:eastAsia="Open Sans" w:hAnsi="Open Sans" w:cs="Open Sans"/>
          <w:sz w:val="22"/>
          <w:szCs w:val="22"/>
          <w:lang w:val="en-US"/>
        </w:rPr>
        <w:tab/>
      </w:r>
      <w:r w:rsidRPr="00CF3E0B">
        <w:rPr>
          <w:rFonts w:ascii="Open Sans" w:eastAsia="Open Sans" w:hAnsi="Open Sans" w:cs="Open Sans"/>
          <w:sz w:val="22"/>
          <w:szCs w:val="22"/>
          <w:lang w:val="en-US"/>
        </w:rPr>
        <w:tab/>
      </w:r>
      <w:r w:rsidRPr="00CF3E0B">
        <w:rPr>
          <w:rFonts w:ascii="Open Sans" w:eastAsia="Open Sans" w:hAnsi="Open Sans" w:cs="Open Sans"/>
          <w:sz w:val="22"/>
          <w:szCs w:val="22"/>
          <w:lang w:val="en-US"/>
        </w:rPr>
        <w:tab/>
      </w:r>
      <w:r w:rsidRPr="00CF3E0B">
        <w:rPr>
          <w:rFonts w:ascii="Open Sans" w:eastAsia="Open Sans" w:hAnsi="Open Sans" w:cs="Open Sans"/>
          <w:sz w:val="22"/>
          <w:szCs w:val="22"/>
          <w:lang w:val="en-US"/>
        </w:rPr>
        <w:tab/>
      </w:r>
      <w:r w:rsidRPr="00CF3E0B">
        <w:rPr>
          <w:rFonts w:ascii="Open Sans" w:eastAsia="Open Sans" w:hAnsi="Open Sans" w:cs="Open Sans"/>
          <w:sz w:val="22"/>
          <w:szCs w:val="22"/>
          <w:lang w:val="en-US"/>
        </w:rPr>
        <w:tab/>
      </w:r>
    </w:p>
    <w:p w14:paraId="63AAA39C" w14:textId="77777777" w:rsidR="009B7C2A" w:rsidRPr="00CF3E0B" w:rsidRDefault="00000000">
      <w:pPr>
        <w:shd w:val="clear" w:color="auto" w:fill="FFFFFF"/>
        <w:ind w:left="-284" w:right="-433"/>
        <w:rPr>
          <w:color w:val="222222"/>
          <w:sz w:val="22"/>
          <w:szCs w:val="22"/>
          <w:lang w:val="en-US"/>
        </w:rPr>
      </w:pPr>
      <w:r w:rsidRPr="00CF3E0B">
        <w:rPr>
          <w:color w:val="222222"/>
          <w:sz w:val="22"/>
          <w:szCs w:val="22"/>
          <w:lang w:val="en-US"/>
        </w:rPr>
        <w:tab/>
      </w:r>
      <w:r w:rsidRPr="00CF3E0B">
        <w:rPr>
          <w:color w:val="222222"/>
          <w:sz w:val="22"/>
          <w:szCs w:val="22"/>
          <w:lang w:val="en-US"/>
        </w:rPr>
        <w:tab/>
        <w:t xml:space="preserve">     </w:t>
      </w:r>
    </w:p>
    <w:p w14:paraId="245393FB" w14:textId="77777777" w:rsidR="009B7C2A" w:rsidRPr="00CF3E0B" w:rsidRDefault="00000000">
      <w:pPr>
        <w:shd w:val="clear" w:color="auto" w:fill="FFFFFF"/>
        <w:ind w:left="-284" w:right="-433"/>
        <w:rPr>
          <w:rFonts w:ascii="Open Sans" w:eastAsia="Open Sans" w:hAnsi="Open Sans" w:cs="Open Sans"/>
          <w:b/>
          <w:sz w:val="22"/>
          <w:szCs w:val="22"/>
          <w:lang w:val="en-US"/>
        </w:rPr>
      </w:pPr>
      <w:r w:rsidRPr="00CF3E0B">
        <w:rPr>
          <w:rFonts w:ascii="Open Sans" w:eastAsia="Open Sans" w:hAnsi="Open Sans" w:cs="Open Sans"/>
          <w:b/>
          <w:sz w:val="22"/>
          <w:szCs w:val="22"/>
          <w:lang w:val="en-US"/>
        </w:rPr>
        <w:t xml:space="preserve">Judit </w:t>
      </w:r>
      <w:proofErr w:type="spellStart"/>
      <w:r w:rsidRPr="00CF3E0B">
        <w:rPr>
          <w:rFonts w:ascii="Open Sans" w:eastAsia="Open Sans" w:hAnsi="Open Sans" w:cs="Open Sans"/>
          <w:b/>
          <w:sz w:val="22"/>
          <w:szCs w:val="22"/>
          <w:lang w:val="en-US"/>
        </w:rPr>
        <w:t>Campillos</w:t>
      </w:r>
      <w:proofErr w:type="spellEnd"/>
    </w:p>
    <w:p w14:paraId="3560C4C6" w14:textId="77777777" w:rsidR="009B7C2A" w:rsidRPr="00CF3E0B" w:rsidRDefault="00000000">
      <w:pPr>
        <w:shd w:val="clear" w:color="auto" w:fill="FFFFFF"/>
        <w:ind w:left="-284" w:right="-433"/>
        <w:rPr>
          <w:rFonts w:ascii="Open Sans" w:eastAsia="Open Sans" w:hAnsi="Open Sans" w:cs="Open Sans"/>
          <w:b/>
          <w:sz w:val="22"/>
          <w:szCs w:val="22"/>
          <w:lang w:val="en-US"/>
        </w:rPr>
      </w:pPr>
      <w:proofErr w:type="spellStart"/>
      <w:r w:rsidRPr="00CF3E0B">
        <w:rPr>
          <w:rFonts w:ascii="Open Sans" w:eastAsia="Open Sans" w:hAnsi="Open Sans" w:cs="Open Sans"/>
          <w:color w:val="0000FF"/>
          <w:sz w:val="22"/>
          <w:szCs w:val="22"/>
          <w:u w:val="single"/>
          <w:lang w:val="en-US"/>
        </w:rPr>
        <w:t>jcampillos</w:t>
      </w:r>
      <w:hyperlink r:id="rId26">
        <w:r w:rsidRPr="00CF3E0B">
          <w:rPr>
            <w:rFonts w:ascii="Open Sans" w:eastAsia="Open Sans" w:hAnsi="Open Sans" w:cs="Open Sans"/>
            <w:color w:val="0000FF"/>
            <w:sz w:val="22"/>
            <w:szCs w:val="22"/>
            <w:u w:val="single"/>
            <w:lang w:val="en-US"/>
          </w:rPr>
          <w:t>@ll</w:t>
        </w:r>
      </w:hyperlink>
      <w:proofErr w:type="gramStart"/>
      <w:r w:rsidRPr="00CF3E0B">
        <w:rPr>
          <w:rFonts w:ascii="Open Sans" w:eastAsia="Open Sans" w:hAnsi="Open Sans" w:cs="Open Sans"/>
          <w:color w:val="0000FF"/>
          <w:sz w:val="22"/>
          <w:szCs w:val="22"/>
          <w:u w:val="single"/>
          <w:lang w:val="en-US"/>
        </w:rPr>
        <w:t>yc.global</w:t>
      </w:r>
      <w:proofErr w:type="spellEnd"/>
      <w:proofErr w:type="gramEnd"/>
      <w:r w:rsidRPr="00CF3E0B">
        <w:rPr>
          <w:rFonts w:ascii="Open Sans" w:eastAsia="Open Sans" w:hAnsi="Open Sans" w:cs="Open Sans"/>
          <w:color w:val="0000FF"/>
          <w:sz w:val="22"/>
          <w:szCs w:val="22"/>
          <w:lang w:val="en-US"/>
        </w:rPr>
        <w:tab/>
      </w:r>
      <w:r w:rsidRPr="00CF3E0B">
        <w:rPr>
          <w:rFonts w:ascii="Open Sans" w:eastAsia="Open Sans" w:hAnsi="Open Sans" w:cs="Open Sans"/>
          <w:color w:val="0000FF"/>
          <w:sz w:val="22"/>
          <w:szCs w:val="22"/>
          <w:lang w:val="en-US"/>
        </w:rPr>
        <w:tab/>
      </w:r>
    </w:p>
    <w:p w14:paraId="5C69A96F" w14:textId="77777777" w:rsidR="009B7C2A" w:rsidRDefault="00000000">
      <w:pPr>
        <w:shd w:val="clear" w:color="auto" w:fill="FFFFFF"/>
        <w:ind w:left="-284" w:right="-433"/>
        <w:rPr>
          <w:rFonts w:ascii="Open Sans" w:eastAsia="Open Sans" w:hAnsi="Open Sans" w:cs="Open Sans"/>
          <w:sz w:val="22"/>
          <w:szCs w:val="22"/>
        </w:rPr>
      </w:pPr>
      <w:r>
        <w:rPr>
          <w:rFonts w:ascii="Open Sans" w:eastAsia="Open Sans" w:hAnsi="Open Sans" w:cs="Open Sans"/>
          <w:sz w:val="22"/>
          <w:szCs w:val="22"/>
        </w:rPr>
        <w:t>699 13 91 53</w:t>
      </w:r>
    </w:p>
    <w:p w14:paraId="5C95E86E" w14:textId="77777777" w:rsidR="009B7C2A" w:rsidRDefault="009B7C2A">
      <w:pPr>
        <w:ind w:left="-284"/>
        <w:rPr>
          <w:rFonts w:ascii="Open Sans" w:eastAsia="Open Sans" w:hAnsi="Open Sans" w:cs="Open Sans"/>
          <w:color w:val="30302E"/>
          <w:sz w:val="22"/>
          <w:szCs w:val="22"/>
          <w:highlight w:val="white"/>
        </w:rPr>
      </w:pPr>
    </w:p>
    <w:p w14:paraId="7E02AD62" w14:textId="77777777" w:rsidR="009B7C2A" w:rsidRDefault="00000000">
      <w:pPr>
        <w:ind w:left="-284"/>
        <w:rPr>
          <w:rFonts w:ascii="Open Sans" w:eastAsia="Open Sans" w:hAnsi="Open Sans" w:cs="Open Sans"/>
          <w:b/>
          <w:color w:val="30302E"/>
          <w:sz w:val="22"/>
          <w:szCs w:val="22"/>
          <w:highlight w:val="white"/>
        </w:rPr>
      </w:pPr>
      <w:r>
        <w:rPr>
          <w:rFonts w:ascii="Open Sans" w:eastAsia="Open Sans" w:hAnsi="Open Sans" w:cs="Open Sans"/>
          <w:b/>
          <w:color w:val="30302E"/>
          <w:sz w:val="22"/>
          <w:szCs w:val="22"/>
          <w:highlight w:val="white"/>
        </w:rPr>
        <w:t xml:space="preserve">Alicia </w:t>
      </w:r>
      <w:proofErr w:type="spellStart"/>
      <w:r>
        <w:rPr>
          <w:rFonts w:ascii="Open Sans" w:eastAsia="Open Sans" w:hAnsi="Open Sans" w:cs="Open Sans"/>
          <w:b/>
          <w:color w:val="30302E"/>
          <w:sz w:val="22"/>
          <w:szCs w:val="22"/>
          <w:highlight w:val="white"/>
        </w:rPr>
        <w:t>Salvatella</w:t>
      </w:r>
      <w:proofErr w:type="spellEnd"/>
    </w:p>
    <w:p w14:paraId="47C2783F" w14:textId="77777777" w:rsidR="009B7C2A" w:rsidRDefault="00000000">
      <w:pPr>
        <w:ind w:left="-284"/>
        <w:rPr>
          <w:rFonts w:ascii="Open Sans" w:eastAsia="Open Sans" w:hAnsi="Open Sans" w:cs="Open Sans"/>
          <w:color w:val="0000FF"/>
          <w:sz w:val="22"/>
          <w:szCs w:val="22"/>
          <w:u w:val="single"/>
        </w:rPr>
      </w:pPr>
      <w:hyperlink r:id="rId27">
        <w:r>
          <w:rPr>
            <w:rFonts w:ascii="Open Sans" w:eastAsia="Open Sans" w:hAnsi="Open Sans" w:cs="Open Sans"/>
            <w:color w:val="0000FF"/>
            <w:sz w:val="22"/>
            <w:szCs w:val="22"/>
            <w:u w:val="single"/>
          </w:rPr>
          <w:t>alicia.salvatella@llyc.global</w:t>
        </w:r>
      </w:hyperlink>
    </w:p>
    <w:p w14:paraId="0A8BD53E" w14:textId="77777777" w:rsidR="009B7C2A" w:rsidRDefault="00000000">
      <w:pPr>
        <w:ind w:left="-284"/>
        <w:rPr>
          <w:rFonts w:ascii="Open Sans" w:eastAsia="Open Sans" w:hAnsi="Open Sans" w:cs="Open Sans"/>
          <w:color w:val="30302E"/>
          <w:sz w:val="22"/>
          <w:szCs w:val="22"/>
          <w:highlight w:val="white"/>
        </w:rPr>
      </w:pPr>
      <w:r>
        <w:rPr>
          <w:rFonts w:ascii="Open Sans" w:eastAsia="Open Sans" w:hAnsi="Open Sans" w:cs="Open Sans"/>
          <w:color w:val="30302E"/>
          <w:sz w:val="22"/>
          <w:szCs w:val="22"/>
          <w:highlight w:val="white"/>
        </w:rPr>
        <w:t>697 65 54 68</w:t>
      </w:r>
    </w:p>
    <w:p w14:paraId="31806286" w14:textId="77777777" w:rsidR="009B7C2A" w:rsidRDefault="009B7C2A">
      <w:pPr>
        <w:shd w:val="clear" w:color="auto" w:fill="FFFFFF"/>
        <w:ind w:left="-284"/>
        <w:rPr>
          <w:rFonts w:ascii="Open Sans" w:eastAsia="Open Sans" w:hAnsi="Open Sans" w:cs="Open Sans"/>
          <w:color w:val="000000"/>
          <w:sz w:val="22"/>
          <w:szCs w:val="22"/>
        </w:rPr>
      </w:pPr>
    </w:p>
    <w:p w14:paraId="25506E98" w14:textId="77777777" w:rsidR="009B7C2A" w:rsidRDefault="009B7C2A">
      <w:pPr>
        <w:shd w:val="clear" w:color="auto" w:fill="FFFFFF"/>
        <w:ind w:left="-284"/>
        <w:rPr>
          <w:rFonts w:ascii="Open Sans" w:eastAsia="Open Sans" w:hAnsi="Open Sans" w:cs="Open Sans"/>
          <w:color w:val="000000"/>
          <w:sz w:val="22"/>
          <w:szCs w:val="22"/>
        </w:rPr>
      </w:pPr>
    </w:p>
    <w:p w14:paraId="19AF94BD" w14:textId="77777777" w:rsidR="009B7C2A" w:rsidRDefault="009B7C2A">
      <w:pPr>
        <w:spacing w:line="276" w:lineRule="auto"/>
        <w:jc w:val="center"/>
        <w:rPr>
          <w:rFonts w:ascii="Open Sans" w:eastAsia="Open Sans" w:hAnsi="Open Sans" w:cs="Open Sans"/>
          <w:color w:val="000000"/>
          <w:sz w:val="21"/>
          <w:szCs w:val="21"/>
        </w:rPr>
      </w:pPr>
    </w:p>
    <w:sectPr w:rsidR="009B7C2A">
      <w:footerReference w:type="default" r:id="rId28"/>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190EF6" w14:textId="77777777" w:rsidR="007C2BCD" w:rsidRDefault="007C2BCD">
      <w:r>
        <w:separator/>
      </w:r>
    </w:p>
  </w:endnote>
  <w:endnote w:type="continuationSeparator" w:id="0">
    <w:p w14:paraId="5BAD685B" w14:textId="77777777" w:rsidR="007C2BCD" w:rsidRDefault="007C2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4D87B2D-6DBE-4DE5-9E45-700EF5BAF7E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9566B9E-45B1-4AD2-BCD5-CE3EB626899C}"/>
    <w:embedBold r:id="rId3" w:fontKey="{5075F749-E43A-47C2-A4BA-23FC645790A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024F9D55-AD76-4180-A060-5B9AF9CA856A}"/>
    <w:embedItalic r:id="rId5" w:fontKey="{499C9283-C4BC-4584-B704-A424140E40AF}"/>
  </w:font>
  <w:font w:name="Cambria">
    <w:panose1 w:val="02040503050406030204"/>
    <w:charset w:val="00"/>
    <w:family w:val="roman"/>
    <w:pitch w:val="variable"/>
    <w:sig w:usb0="E00006FF" w:usb1="420024FF" w:usb2="02000000" w:usb3="00000000" w:csb0="0000019F" w:csb1="00000000"/>
    <w:embedRegular r:id="rId6" w:fontKey="{208FAF28-795E-43E0-A103-30E827392783}"/>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46CB4E78-DD6F-4079-9D74-FD42BFDF95E9}"/>
    <w:embedBold r:id="rId8" w:fontKey="{E42EA9B5-3BDB-476F-AB19-73C88854015A}"/>
    <w:embedBoldItalic r:id="rId9" w:fontKey="{54B04A7F-7567-4C23-896C-8D4FB566729A}"/>
  </w:font>
  <w:font w:name="Open Sans Light">
    <w:charset w:val="00"/>
    <w:family w:val="swiss"/>
    <w:pitch w:val="variable"/>
    <w:sig w:usb0="E00002EF" w:usb1="4000205B" w:usb2="00000028" w:usb3="00000000" w:csb0="0000019F" w:csb1="00000000"/>
    <w:embedRegular r:id="rId10" w:fontKey="{7590B6EC-367C-4923-A93F-CF682A80EE74}"/>
    <w:embedBold r:id="rId11" w:fontKey="{C84B00D4-C1D0-4CCF-80E0-2736A8B0EF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2E564A" w14:textId="77777777" w:rsidR="009B7C2A"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2005BC2A" wp14:editId="17105DD8">
          <wp:simplePos x="0" y="0"/>
          <wp:positionH relativeFrom="column">
            <wp:posOffset>-1068056</wp:posOffset>
          </wp:positionH>
          <wp:positionV relativeFrom="paragraph">
            <wp:posOffset>174608</wp:posOffset>
          </wp:positionV>
          <wp:extent cx="7670550" cy="451315"/>
          <wp:effectExtent l="0" t="0" r="0" b="0"/>
          <wp:wrapNone/>
          <wp:docPr id="20937902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795E72" w14:textId="77777777" w:rsidR="007C2BCD" w:rsidRDefault="007C2BCD">
      <w:r>
        <w:separator/>
      </w:r>
    </w:p>
  </w:footnote>
  <w:footnote w:type="continuationSeparator" w:id="0">
    <w:p w14:paraId="68FCD706" w14:textId="77777777" w:rsidR="007C2BCD" w:rsidRDefault="007C2B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437E7"/>
    <w:multiLevelType w:val="multilevel"/>
    <w:tmpl w:val="AB9ABB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396619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7C2A"/>
    <w:rsid w:val="005323AE"/>
    <w:rsid w:val="007C2BCD"/>
    <w:rsid w:val="009B7C2A"/>
    <w:rsid w:val="00CF3E0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3809A"/>
  <w15:docId w15:val="{F62DCEAB-3BF8-41F8-A829-1E844D7F9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9"/>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9"/>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semiHidden/>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6"/>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6"/>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GxR9eMHovjM" TargetMode="External"/><Relationship Id="rId18" Type="http://schemas.openxmlformats.org/officeDocument/2006/relationships/hyperlink" Target="https://www.fotocasa.es/es/" TargetMode="External"/><Relationship Id="rId26" Type="http://schemas.openxmlformats.org/officeDocument/2006/relationships/hyperlink" Target="mailto:emerino@llorenteycuenca.com" TargetMode="External"/><Relationship Id="rId3" Type="http://schemas.openxmlformats.org/officeDocument/2006/relationships/styles" Target="styles.xml"/><Relationship Id="rId21" Type="http://schemas.openxmlformats.org/officeDocument/2006/relationships/hyperlink" Target="https://www.coches.net/" TargetMode="External"/><Relationship Id="rId7" Type="http://schemas.openxmlformats.org/officeDocument/2006/relationships/endnotes" Target="endnotes.xml"/><Relationship Id="rId12" Type="http://schemas.openxmlformats.org/officeDocument/2006/relationships/hyperlink" Target="https://www.fotocasa.es/es/" TargetMode="External"/><Relationship Id="rId17" Type="http://schemas.openxmlformats.org/officeDocument/2006/relationships/hyperlink" Target="https://www.fotocasa.es/es/quienes-somos/" TargetMode="External"/><Relationship Id="rId25" Type="http://schemas.openxmlformats.org/officeDocument/2006/relationships/hyperlink" Target="mailto:emerino@llorenteycuenca.com" TargetMode="External"/><Relationship Id="rId2" Type="http://schemas.openxmlformats.org/officeDocument/2006/relationships/numbering" Target="numbering.xml"/><Relationship Id="rId16" Type="http://schemas.openxmlformats.org/officeDocument/2006/relationships/hyperlink" Target="http://prensa.fotocasa.es" TargetMode="External"/><Relationship Id="rId20" Type="http://schemas.openxmlformats.org/officeDocument/2006/relationships/hyperlink" Target="https://www.infojobs.ne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comunicacion@fotocasa.es" TargetMode="External"/><Relationship Id="rId5" Type="http://schemas.openxmlformats.org/officeDocument/2006/relationships/webSettings" Target="webSettings.xml"/><Relationship Id="rId15" Type="http://schemas.openxmlformats.org/officeDocument/2006/relationships/hyperlink" Target="https://www.fotocasa.es/indice/" TargetMode="External"/><Relationship Id="rId23" Type="http://schemas.openxmlformats.org/officeDocument/2006/relationships/hyperlink" Target="http://adevinta.es" TargetMode="External"/><Relationship Id="rId28" Type="http://schemas.openxmlformats.org/officeDocument/2006/relationships/footer" Target="footer1.xml"/><Relationship Id="rId10" Type="http://schemas.openxmlformats.org/officeDocument/2006/relationships/hyperlink" Target="https://s36360.pcdn.co/wp-content/uploads/2024/08/Informe-Perfil-del-hipotecado-espaniol-en-2024.pdf" TargetMode="External"/><Relationship Id="rId19" Type="http://schemas.openxmlformats.org/officeDocument/2006/relationships/hyperlink" Target="https://www.habitaclia.com/" TargetMode="External"/><Relationship Id="rId4" Type="http://schemas.openxmlformats.org/officeDocument/2006/relationships/settings" Target="settings.xml"/><Relationship Id="rId9" Type="http://schemas.openxmlformats.org/officeDocument/2006/relationships/hyperlink" Target="https://youtu.be/GxR9eMHovjM" TargetMode="External"/><Relationship Id="rId14" Type="http://schemas.openxmlformats.org/officeDocument/2006/relationships/image" Target="media/image3.jpg"/><Relationship Id="rId22" Type="http://schemas.openxmlformats.org/officeDocument/2006/relationships/hyperlink" Target="https://motos.coches.net/" TargetMode="External"/><Relationship Id="rId27" Type="http://schemas.openxmlformats.org/officeDocument/2006/relationships/hyperlink" Target="mailto:alicia.salvatella@llyc.global"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mwrM4vFJlSytbKvU84pXUO1Mmg==">CgMxLjAyCGguZ2pkZ3hzMgloLjJzOGV5bzE4AHIhMUlManFkbmo3LUs4N0k0V0ZqemRsRTJpT3IzX0o5bk1G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1109</Words>
  <Characters>6105</Characters>
  <Application>Microsoft Office Word</Application>
  <DocSecurity>0</DocSecurity>
  <Lines>50</Lines>
  <Paragraphs>14</Paragraphs>
  <ScaleCrop>false</ScaleCrop>
  <Company/>
  <LinksUpToDate>false</LinksUpToDate>
  <CharactersWithSpaces>7200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2</cp:revision>
  <dcterms:created xsi:type="dcterms:W3CDTF">2024-02-06T13:46:00Z</dcterms:created>
  <dcterms:modified xsi:type="dcterms:W3CDTF">2024-09-02T12:22:00Z</dcterms:modified>
</cp:coreProperties>
</file>