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DFC5C" w14:textId="77777777" w:rsidR="002E18C4" w:rsidRDefault="00000000">
      <w:r>
        <w:rPr>
          <w:noProof/>
        </w:rPr>
        <w:drawing>
          <wp:anchor distT="0" distB="0" distL="114300" distR="114300" simplePos="0" relativeHeight="251658240" behindDoc="0" locked="0" layoutInCell="1" hidden="0" allowOverlap="1" wp14:anchorId="026C5458" wp14:editId="10EC5790">
            <wp:simplePos x="0" y="0"/>
            <wp:positionH relativeFrom="column">
              <wp:posOffset>-1080131</wp:posOffset>
            </wp:positionH>
            <wp:positionV relativeFrom="paragraph">
              <wp:posOffset>-654682</wp:posOffset>
            </wp:positionV>
            <wp:extent cx="7581265" cy="1019175"/>
            <wp:effectExtent l="0" t="0" r="0" b="0"/>
            <wp:wrapNone/>
            <wp:docPr id="2093790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7D73508" w14:textId="77777777" w:rsidR="002E18C4" w:rsidRDefault="002E18C4">
      <w:pPr>
        <w:jc w:val="right"/>
        <w:rPr>
          <w:rFonts w:ascii="National" w:eastAsia="National" w:hAnsi="National" w:cs="National"/>
          <w:color w:val="303AB2"/>
          <w:sz w:val="36"/>
          <w:szCs w:val="36"/>
        </w:rPr>
      </w:pPr>
    </w:p>
    <w:p w14:paraId="561A450D" w14:textId="77777777" w:rsidR="002E18C4" w:rsidRDefault="002E18C4">
      <w:pPr>
        <w:rPr>
          <w:rFonts w:ascii="National" w:eastAsia="National" w:hAnsi="National" w:cs="National"/>
          <w:color w:val="303AB2"/>
          <w:sz w:val="18"/>
          <w:szCs w:val="18"/>
        </w:rPr>
      </w:pPr>
    </w:p>
    <w:p w14:paraId="48D7F90F" w14:textId="77777777" w:rsidR="002E18C4"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207A9F86" w14:textId="77777777" w:rsidR="002E18C4"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Crece el porcentaje de hipotecados que venden otra vivienda para financiar los gastos de la operación  </w:t>
      </w:r>
    </w:p>
    <w:p w14:paraId="1B46A0D0" w14:textId="77777777" w:rsidR="002E18C4" w:rsidRDefault="002E18C4">
      <w:pPr>
        <w:spacing w:line="276" w:lineRule="auto"/>
        <w:ind w:right="4"/>
        <w:jc w:val="both"/>
        <w:rPr>
          <w:rFonts w:ascii="Open Sans" w:eastAsia="Open Sans" w:hAnsi="Open Sans" w:cs="Open Sans"/>
          <w:color w:val="303AB2"/>
        </w:rPr>
      </w:pPr>
    </w:p>
    <w:p w14:paraId="7F9409D3" w14:textId="77777777" w:rsidR="002E18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25% de los hipotecados han vendido otra vivienda para poder financiar la compra de la nueva casa, cuatro puntos más que en 2023 y seis más que en 2022</w:t>
      </w:r>
    </w:p>
    <w:p w14:paraId="6D49E1AE" w14:textId="47E27CF1" w:rsidR="002E18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Para los gastos iniciales (notario, entrada, impuestos…) el 55% de los hipotecados necesitó financiación a mayores</w:t>
      </w:r>
      <w:r>
        <w:rPr>
          <w:rFonts w:ascii="Open Sans" w:eastAsia="Open Sans" w:hAnsi="Open Sans" w:cs="Open Sans"/>
          <w:sz w:val="22"/>
          <w:szCs w:val="22"/>
        </w:rPr>
        <w:t>, tres puntos más que el año anterior</w:t>
      </w:r>
    </w:p>
    <w:p w14:paraId="4663BE21" w14:textId="77777777" w:rsidR="002E18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49% de los hipotecados no necesitó financiación para los pagos iniciales, por lo que se mantiene la capacidad de ahorro de los españoles</w:t>
      </w:r>
    </w:p>
    <w:p w14:paraId="7B81E3CF" w14:textId="77777777" w:rsidR="002E18C4" w:rsidRDefault="002E18C4">
      <w:pPr>
        <w:pBdr>
          <w:top w:val="nil"/>
          <w:left w:val="nil"/>
          <w:bottom w:val="nil"/>
          <w:right w:val="nil"/>
          <w:between w:val="nil"/>
        </w:pBdr>
        <w:spacing w:line="276" w:lineRule="auto"/>
        <w:ind w:left="720"/>
        <w:jc w:val="both"/>
        <w:rPr>
          <w:rFonts w:ascii="Open Sans" w:eastAsia="Open Sans" w:hAnsi="Open Sans" w:cs="Open Sans"/>
          <w:color w:val="303AB2"/>
        </w:rPr>
      </w:pPr>
    </w:p>
    <w:p w14:paraId="410D64A6" w14:textId="77777777" w:rsidR="002E18C4"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30 de septiembre de 2024</w:t>
      </w:r>
    </w:p>
    <w:p w14:paraId="39DB163D" w14:textId="77777777" w:rsidR="002E18C4" w:rsidRDefault="002E18C4">
      <w:pPr>
        <w:pBdr>
          <w:top w:val="nil"/>
          <w:left w:val="nil"/>
          <w:bottom w:val="nil"/>
          <w:right w:val="nil"/>
          <w:between w:val="nil"/>
        </w:pBdr>
        <w:spacing w:line="276" w:lineRule="auto"/>
        <w:ind w:left="-426"/>
        <w:jc w:val="both"/>
        <w:rPr>
          <w:rFonts w:ascii="Open Sans" w:eastAsia="Open Sans" w:hAnsi="Open Sans" w:cs="Open Sans"/>
        </w:rPr>
      </w:pPr>
    </w:p>
    <w:p w14:paraId="24F0E526" w14:textId="77777777" w:rsidR="002E18C4"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Para afrontar la compra de un inmueble, muchos españoles deben complementar la contratación de una hipoteca (en el caso de que no se disponga de los ahorros necesarios) con la venta de una vivienda anterior. De este modo, </w:t>
      </w:r>
      <w:r>
        <w:rPr>
          <w:rFonts w:ascii="Open Sans" w:eastAsia="Open Sans" w:hAnsi="Open Sans" w:cs="Open Sans"/>
          <w:b/>
          <w:sz w:val="22"/>
          <w:szCs w:val="22"/>
        </w:rPr>
        <w:t>el 25% de quienes solicitaron un crédito bancario también debieron vender una vivienda para financiar la compra</w:t>
      </w:r>
      <w:r>
        <w:rPr>
          <w:rFonts w:ascii="Open Sans" w:eastAsia="Open Sans" w:hAnsi="Open Sans" w:cs="Open Sans"/>
          <w:sz w:val="22"/>
          <w:szCs w:val="22"/>
        </w:rPr>
        <w:t>. Este porcentaje supone cuatro puntos porcentuales más que en 2023, y seis sobre 2022. Así lo muestra el informe “</w:t>
      </w:r>
      <w:hyperlink r:id="rId9">
        <w:r>
          <w:rPr>
            <w:rFonts w:ascii="Open Sans" w:eastAsia="Open Sans" w:hAnsi="Open Sans" w:cs="Open Sans"/>
            <w:b/>
            <w:i/>
            <w:color w:val="0000FF"/>
            <w:sz w:val="22"/>
            <w:szCs w:val="22"/>
            <w:u w:val="single"/>
          </w:rPr>
          <w:t>Perfil del hipotecado español en 2024</w:t>
        </w:r>
      </w:hyperlink>
      <w:r>
        <w:rPr>
          <w:rFonts w:ascii="Open Sans" w:eastAsia="Open Sans" w:hAnsi="Open Sans" w:cs="Open Sans"/>
          <w:sz w:val="22"/>
          <w:szCs w:val="22"/>
        </w:rPr>
        <w:t xml:space="preserve">”, que traza, un año más, una radiografía de cómo se hipotecan los españoles. </w:t>
      </w:r>
    </w:p>
    <w:p w14:paraId="4893A51E" w14:textId="77777777" w:rsidR="002E18C4" w:rsidRDefault="002E18C4">
      <w:pPr>
        <w:spacing w:line="276" w:lineRule="auto"/>
        <w:ind w:left="-426" w:right="4"/>
        <w:jc w:val="both"/>
        <w:rPr>
          <w:rFonts w:ascii="Open Sans" w:eastAsia="Open Sans" w:hAnsi="Open Sans" w:cs="Open Sans"/>
          <w:sz w:val="22"/>
          <w:szCs w:val="22"/>
        </w:rPr>
      </w:pPr>
    </w:p>
    <w:p w14:paraId="63324038" w14:textId="77777777" w:rsidR="002E18C4"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Y es que, la adquisición de un inmueble constituye una situación que conlleva unos cálculos minuciosos para hacer frente a este compromiso. En este sentido, </w:t>
      </w:r>
      <w:r>
        <w:rPr>
          <w:rFonts w:ascii="Open Sans" w:eastAsia="Open Sans" w:hAnsi="Open Sans" w:cs="Open Sans"/>
          <w:b/>
          <w:sz w:val="22"/>
          <w:szCs w:val="22"/>
        </w:rPr>
        <w:t>el 54% de los compradores que necesitan hipoteca acudieron al banco antes de iniciar la búsqueda de una vivienda para establecer el presupuesto inicial del que disponían</w:t>
      </w:r>
      <w:r>
        <w:rPr>
          <w:rFonts w:ascii="Open Sans" w:eastAsia="Open Sans" w:hAnsi="Open Sans" w:cs="Open Sans"/>
          <w:sz w:val="22"/>
          <w:szCs w:val="22"/>
        </w:rPr>
        <w:t>. Esta acción preventiva presenta, además, un incremento de tres puntos porcentuales respecto al año anterior.</w:t>
      </w:r>
    </w:p>
    <w:p w14:paraId="19D699C2" w14:textId="77777777" w:rsidR="002E18C4" w:rsidRDefault="002E18C4">
      <w:pPr>
        <w:spacing w:line="276" w:lineRule="auto"/>
        <w:ind w:left="-426" w:right="4"/>
        <w:jc w:val="both"/>
        <w:rPr>
          <w:rFonts w:ascii="Open Sans" w:eastAsia="Open Sans" w:hAnsi="Open Sans" w:cs="Open Sans"/>
          <w:sz w:val="22"/>
          <w:szCs w:val="22"/>
        </w:rPr>
      </w:pPr>
    </w:p>
    <w:p w14:paraId="58D57327" w14:textId="24C66FFB" w:rsidR="002E18C4"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“El aumento en la venta de vivienda de reposición para financiar la compra de una nueva residencia refleja varios factores clave. En primer lugar, </w:t>
      </w:r>
      <w:r w:rsidR="00090B7E">
        <w:rPr>
          <w:rFonts w:ascii="Open Sans" w:eastAsia="Open Sans" w:hAnsi="Open Sans" w:cs="Open Sans"/>
          <w:sz w:val="22"/>
          <w:szCs w:val="22"/>
        </w:rPr>
        <w:t>el endurecimiento de las condiciones hipotecarias debido al alza de los tipos de interés ha</w:t>
      </w:r>
      <w:r>
        <w:rPr>
          <w:rFonts w:ascii="Open Sans" w:eastAsia="Open Sans" w:hAnsi="Open Sans" w:cs="Open Sans"/>
          <w:sz w:val="22"/>
          <w:szCs w:val="22"/>
        </w:rPr>
        <w:t xml:space="preserve"> hecho que muchos compradores busquen alternativas para minimizar la necesidad de financiamiento bancario. Vender una </w:t>
      </w:r>
      <w:r>
        <w:rPr>
          <w:rFonts w:ascii="Open Sans" w:eastAsia="Open Sans" w:hAnsi="Open Sans" w:cs="Open Sans"/>
          <w:sz w:val="22"/>
          <w:szCs w:val="22"/>
        </w:rPr>
        <w:lastRenderedPageBreak/>
        <w:t xml:space="preserve">vivienda existente permite a los propietarios liberar capital que pueden reinvertir directamente en la compra de su nueva propiedad, reduciendo así su dependencia de créditos más costosos. Este movimiento también puede estar motivado por la búsqueda de mejorar la calidad de vida, optando por viviendas que se adapten mejor a sus necesidades actuales o que se encuentren en ubicaciones más atractivas, lo que justifica la disposición a cambiar de hogar”, </w:t>
      </w:r>
      <w:r w:rsidRPr="00090B7E">
        <w:rPr>
          <w:rFonts w:ascii="Open Sans" w:eastAsia="Open Sans" w:hAnsi="Open Sans" w:cs="Open Sans"/>
          <w:b/>
          <w:bCs/>
          <w:sz w:val="22"/>
          <w:szCs w:val="22"/>
        </w:rPr>
        <w:t xml:space="preserve">comenta María Matos, directora de Estudios y portavoz de </w:t>
      </w:r>
      <w:hyperlink r:id="rId10">
        <w:r w:rsidRPr="00090B7E">
          <w:rPr>
            <w:rFonts w:ascii="Open Sans" w:eastAsia="Open Sans" w:hAnsi="Open Sans" w:cs="Open Sans"/>
            <w:b/>
            <w:bCs/>
            <w:color w:val="1155CC"/>
            <w:sz w:val="22"/>
            <w:szCs w:val="22"/>
            <w:u w:val="single"/>
          </w:rPr>
          <w:t>Fotocasa</w:t>
        </w:r>
      </w:hyperlink>
      <w:r>
        <w:rPr>
          <w:rFonts w:ascii="Open Sans" w:eastAsia="Open Sans" w:hAnsi="Open Sans" w:cs="Open Sans"/>
          <w:sz w:val="22"/>
          <w:szCs w:val="22"/>
        </w:rPr>
        <w:t>.</w:t>
      </w:r>
    </w:p>
    <w:p w14:paraId="0FAF8A8B" w14:textId="77777777" w:rsidR="002E18C4" w:rsidRDefault="002E18C4">
      <w:pPr>
        <w:spacing w:line="276" w:lineRule="auto"/>
        <w:ind w:left="-426" w:right="4"/>
        <w:jc w:val="both"/>
        <w:rPr>
          <w:rFonts w:ascii="Open Sans" w:eastAsia="Open Sans" w:hAnsi="Open Sans" w:cs="Open Sans"/>
          <w:sz w:val="22"/>
          <w:szCs w:val="22"/>
        </w:rPr>
      </w:pPr>
    </w:p>
    <w:p w14:paraId="5C62B522" w14:textId="77777777" w:rsidR="002E18C4"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Por otro lado, la adquisición de un inmueble implica una serie de gastos iniciales como la entrada, el registro notarial y los impuestos. Para pagar estos gastos, </w:t>
      </w:r>
      <w:r>
        <w:rPr>
          <w:rFonts w:ascii="Open Sans" w:eastAsia="Open Sans" w:hAnsi="Open Sans" w:cs="Open Sans"/>
          <w:b/>
          <w:sz w:val="22"/>
          <w:szCs w:val="22"/>
        </w:rPr>
        <w:t>el 55% de quienes han comprado mediante hipoteca requirió financiación o ayuda</w:t>
      </w:r>
      <w:r>
        <w:rPr>
          <w:rFonts w:ascii="Open Sans" w:eastAsia="Open Sans" w:hAnsi="Open Sans" w:cs="Open Sans"/>
          <w:sz w:val="22"/>
          <w:szCs w:val="22"/>
        </w:rPr>
        <w:t xml:space="preserve"> (tres puntos más que el año anterior): </w:t>
      </w:r>
      <w:r>
        <w:rPr>
          <w:rFonts w:ascii="Open Sans" w:eastAsia="Open Sans" w:hAnsi="Open Sans" w:cs="Open Sans"/>
          <w:b/>
          <w:sz w:val="22"/>
          <w:szCs w:val="22"/>
        </w:rPr>
        <w:t>el 42% tuvo suficiente con un crédito bancario, mientras que otro 13% tuvo que complementarlo con ayuda familiar</w:t>
      </w:r>
      <w:r>
        <w:rPr>
          <w:rFonts w:ascii="Open Sans" w:eastAsia="Open Sans" w:hAnsi="Open Sans" w:cs="Open Sans"/>
          <w:sz w:val="22"/>
          <w:szCs w:val="22"/>
        </w:rPr>
        <w:t>.</w:t>
      </w:r>
    </w:p>
    <w:p w14:paraId="51CBD3DC" w14:textId="77777777" w:rsidR="002E18C4" w:rsidRDefault="002E18C4">
      <w:pPr>
        <w:spacing w:line="276" w:lineRule="auto"/>
        <w:ind w:left="-426" w:right="4"/>
        <w:jc w:val="both"/>
        <w:rPr>
          <w:rFonts w:ascii="Open Sans" w:eastAsia="Open Sans" w:hAnsi="Open Sans" w:cs="Open Sans"/>
          <w:sz w:val="22"/>
          <w:szCs w:val="22"/>
        </w:rPr>
      </w:pPr>
    </w:p>
    <w:p w14:paraId="138B7817" w14:textId="77777777" w:rsidR="002E18C4" w:rsidRDefault="00000000">
      <w:pPr>
        <w:spacing w:line="276" w:lineRule="auto"/>
        <w:ind w:left="-426" w:right="4"/>
        <w:jc w:val="both"/>
        <w:rPr>
          <w:rFonts w:ascii="Open Sans" w:eastAsia="Open Sans" w:hAnsi="Open Sans" w:cs="Open Sans"/>
          <w:sz w:val="22"/>
          <w:szCs w:val="22"/>
        </w:rPr>
      </w:pPr>
      <w:r>
        <w:rPr>
          <w:noProof/>
        </w:rPr>
        <w:drawing>
          <wp:inline distT="0" distB="0" distL="0" distR="0" wp14:anchorId="55E7ED81" wp14:editId="3D8F5591">
            <wp:extent cx="6092718" cy="3991966"/>
            <wp:effectExtent l="0" t="0" r="0" b="0"/>
            <wp:docPr id="2093790221"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11"/>
                    <a:srcRect/>
                    <a:stretch>
                      <a:fillRect/>
                    </a:stretch>
                  </pic:blipFill>
                  <pic:spPr>
                    <a:xfrm>
                      <a:off x="0" y="0"/>
                      <a:ext cx="6092718" cy="3991966"/>
                    </a:xfrm>
                    <a:prstGeom prst="rect">
                      <a:avLst/>
                    </a:prstGeom>
                    <a:ln/>
                  </pic:spPr>
                </pic:pic>
              </a:graphicData>
            </a:graphic>
          </wp:inline>
        </w:drawing>
      </w:r>
    </w:p>
    <w:p w14:paraId="688AC3AC" w14:textId="77777777" w:rsidR="002E18C4" w:rsidRDefault="002E18C4">
      <w:pPr>
        <w:spacing w:line="276" w:lineRule="auto"/>
        <w:ind w:left="-426" w:right="4"/>
        <w:jc w:val="both"/>
        <w:rPr>
          <w:rFonts w:ascii="Open Sans" w:eastAsia="Open Sans" w:hAnsi="Open Sans" w:cs="Open Sans"/>
          <w:sz w:val="22"/>
          <w:szCs w:val="22"/>
        </w:rPr>
      </w:pPr>
    </w:p>
    <w:p w14:paraId="2E819BF7" w14:textId="77777777" w:rsidR="002E18C4" w:rsidRDefault="002E18C4">
      <w:pPr>
        <w:spacing w:line="276" w:lineRule="auto"/>
        <w:ind w:left="-426" w:right="4"/>
        <w:jc w:val="both"/>
        <w:rPr>
          <w:rFonts w:ascii="Open Sans" w:eastAsia="Open Sans" w:hAnsi="Open Sans" w:cs="Open Sans"/>
          <w:sz w:val="22"/>
          <w:szCs w:val="22"/>
        </w:rPr>
      </w:pPr>
    </w:p>
    <w:p w14:paraId="3D491D96" w14:textId="77777777" w:rsidR="002E18C4"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En líneas generales, y pese a que se aprecia un cierto retroceso, vemos que </w:t>
      </w:r>
      <w:r>
        <w:rPr>
          <w:rFonts w:ascii="Open Sans" w:eastAsia="Open Sans" w:hAnsi="Open Sans" w:cs="Open Sans"/>
          <w:b/>
          <w:sz w:val="22"/>
          <w:szCs w:val="22"/>
        </w:rPr>
        <w:t xml:space="preserve">se mantiene la capacidad de ahorro de los hipotecados para asumir los pagos iniciales. </w:t>
      </w:r>
      <w:r>
        <w:rPr>
          <w:rFonts w:ascii="Open Sans" w:eastAsia="Open Sans" w:hAnsi="Open Sans" w:cs="Open Sans"/>
          <w:sz w:val="22"/>
          <w:szCs w:val="22"/>
        </w:rPr>
        <w:t xml:space="preserve">Así, si en 2023 subieron hasta el 49% el porcentaje de los que no necesitaron buscar financiación para pagar estos gastos iniciales, en 2024 esta cifra disminuye hasta el 45%, pero, con ello, sigue estando muy por encima del 38% de 2022. </w:t>
      </w:r>
    </w:p>
    <w:p w14:paraId="3900C894" w14:textId="77777777" w:rsidR="002E18C4" w:rsidRDefault="002E18C4">
      <w:pPr>
        <w:spacing w:line="276" w:lineRule="auto"/>
        <w:ind w:left="-426" w:right="4"/>
        <w:jc w:val="both"/>
        <w:rPr>
          <w:rFonts w:ascii="Open Sans" w:eastAsia="Open Sans" w:hAnsi="Open Sans" w:cs="Open Sans"/>
          <w:sz w:val="22"/>
          <w:szCs w:val="22"/>
        </w:rPr>
      </w:pPr>
    </w:p>
    <w:p w14:paraId="6E1B9B5F" w14:textId="77777777" w:rsidR="002E18C4" w:rsidRDefault="00000000">
      <w:pPr>
        <w:spacing w:line="276" w:lineRule="auto"/>
        <w:ind w:left="-426" w:right="4"/>
        <w:jc w:val="both"/>
        <w:rPr>
          <w:rFonts w:ascii="Open Sans" w:eastAsia="Open Sans" w:hAnsi="Open Sans" w:cs="Open Sans"/>
          <w:b/>
          <w:sz w:val="22"/>
          <w:szCs w:val="22"/>
        </w:rPr>
      </w:pPr>
      <w:r>
        <w:rPr>
          <w:rFonts w:ascii="Open Sans" w:eastAsia="Open Sans" w:hAnsi="Open Sans" w:cs="Open Sans"/>
          <w:sz w:val="22"/>
          <w:szCs w:val="22"/>
        </w:rPr>
        <w:lastRenderedPageBreak/>
        <w:t xml:space="preserve">La explicación más frecuente de ese 45% de compradores que eludieron el banco para afrontar esos gastos iniciales es que </w:t>
      </w:r>
      <w:r>
        <w:rPr>
          <w:rFonts w:ascii="Open Sans" w:eastAsia="Open Sans" w:hAnsi="Open Sans" w:cs="Open Sans"/>
          <w:b/>
          <w:sz w:val="22"/>
          <w:szCs w:val="22"/>
        </w:rPr>
        <w:t>tenían suficientes ahorros (30%, frente al 33% de 2023). El resto se divide entre quienes pidieron ayuda a sus familias (9%) o lo pudieron solventar con la venta de una antigua vivienda (6%).</w:t>
      </w:r>
    </w:p>
    <w:p w14:paraId="342481E6" w14:textId="77777777" w:rsidR="002E18C4" w:rsidRDefault="002E18C4">
      <w:pPr>
        <w:spacing w:line="276" w:lineRule="auto"/>
        <w:ind w:left="-426" w:right="4"/>
        <w:jc w:val="both"/>
        <w:rPr>
          <w:rFonts w:ascii="Open Sans" w:eastAsia="Open Sans" w:hAnsi="Open Sans" w:cs="Open Sans"/>
          <w:b/>
          <w:sz w:val="22"/>
          <w:szCs w:val="22"/>
        </w:rPr>
      </w:pPr>
    </w:p>
    <w:p w14:paraId="77982E17" w14:textId="77777777" w:rsidR="002E18C4" w:rsidRDefault="00000000">
      <w:pPr>
        <w:spacing w:line="276" w:lineRule="auto"/>
        <w:ind w:lef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42D2AE2" w14:textId="77777777" w:rsidR="002E18C4" w:rsidRDefault="00000000">
      <w:pPr>
        <w:shd w:val="clear" w:color="auto" w:fill="FFFFFF"/>
        <w:spacing w:before="280" w:after="280" w:line="276" w:lineRule="auto"/>
        <w:ind w:left="-42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3D2E3C2" w14:textId="77777777" w:rsidR="002E18C4" w:rsidRDefault="00000000">
      <w:pPr>
        <w:shd w:val="clear" w:color="auto" w:fill="FFFFFF"/>
        <w:spacing w:before="280" w:after="280" w:line="276" w:lineRule="auto"/>
        <w:ind w:left="-42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7C788A80" w14:textId="77777777" w:rsidR="002E18C4" w:rsidRDefault="00000000">
      <w:pPr>
        <w:shd w:val="clear" w:color="auto" w:fill="FFFFFF"/>
        <w:spacing w:before="280" w:after="280" w:line="276" w:lineRule="auto"/>
        <w:ind w:left="-426"/>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766489C" w14:textId="77777777" w:rsidR="002E18C4" w:rsidRDefault="002E18C4">
      <w:pPr>
        <w:spacing w:line="276" w:lineRule="auto"/>
        <w:ind w:left="-426"/>
        <w:jc w:val="right"/>
        <w:rPr>
          <w:rFonts w:ascii="Open Sans Light" w:eastAsia="Open Sans Light" w:hAnsi="Open Sans Light" w:cs="Open Sans Light"/>
          <w:b/>
          <w:color w:val="303AB2"/>
        </w:rPr>
      </w:pPr>
    </w:p>
    <w:p w14:paraId="69FC691A" w14:textId="77777777" w:rsidR="002E18C4" w:rsidRDefault="00000000">
      <w:pPr>
        <w:spacing w:line="276" w:lineRule="auto"/>
        <w:ind w:lef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135901E2" w14:textId="77777777" w:rsidR="002E18C4" w:rsidRDefault="00000000">
      <w:pPr>
        <w:spacing w:before="143" w:after="200"/>
        <w:ind w:left="-42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8AA031B" w14:textId="77777777" w:rsidR="002E18C4"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D461201" w14:textId="77777777" w:rsidR="002E18C4" w:rsidRDefault="00000000">
      <w:pPr>
        <w:spacing w:before="143" w:after="200"/>
        <w:ind w:left="-42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542D791E" w14:textId="77777777" w:rsidR="002E18C4" w:rsidRDefault="00000000">
      <w:pPr>
        <w:spacing w:line="276" w:lineRule="auto"/>
        <w:ind w:left="-426"/>
        <w:jc w:val="right"/>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6F8C5C0C" w14:textId="77777777" w:rsidR="002E18C4" w:rsidRDefault="002E18C4">
      <w:pPr>
        <w:spacing w:line="276" w:lineRule="auto"/>
        <w:ind w:left="-426"/>
        <w:jc w:val="right"/>
        <w:rPr>
          <w:rFonts w:ascii="Open Sans" w:eastAsia="Open Sans" w:hAnsi="Open Sans" w:cs="Open Sans"/>
        </w:rPr>
      </w:pPr>
    </w:p>
    <w:p w14:paraId="76B424A1" w14:textId="77777777" w:rsidR="002E18C4" w:rsidRDefault="00000000">
      <w:pPr>
        <w:spacing w:line="276" w:lineRule="auto"/>
        <w:ind w:lef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7EE2075" w14:textId="77777777" w:rsidR="002E18C4" w:rsidRDefault="00000000">
      <w:pPr>
        <w:shd w:val="clear" w:color="auto" w:fill="FFFFFF"/>
        <w:spacing w:line="276" w:lineRule="auto"/>
        <w:ind w:left="-42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5601EF8" w14:textId="77777777" w:rsidR="002E18C4" w:rsidRDefault="00000000">
      <w:pPr>
        <w:shd w:val="clear" w:color="auto" w:fill="FFFFFF"/>
        <w:spacing w:line="276" w:lineRule="auto"/>
        <w:ind w:left="-426"/>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390CA50" w14:textId="77777777" w:rsidR="002E18C4" w:rsidRDefault="00000000">
      <w:pPr>
        <w:shd w:val="clear" w:color="auto" w:fill="FFFFFF"/>
        <w:spacing w:line="276" w:lineRule="auto"/>
        <w:ind w:left="-42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4AE3E12" w14:textId="77777777" w:rsidR="002E18C4" w:rsidRDefault="002E18C4">
      <w:pPr>
        <w:spacing w:line="276" w:lineRule="auto"/>
        <w:ind w:left="-426"/>
        <w:rPr>
          <w:rFonts w:ascii="Open Sans Light" w:eastAsia="Open Sans Light" w:hAnsi="Open Sans Light" w:cs="Open Sans Light"/>
          <w:b/>
          <w:color w:val="303AB2"/>
          <w:sz w:val="22"/>
          <w:szCs w:val="22"/>
        </w:rPr>
      </w:pPr>
    </w:p>
    <w:p w14:paraId="5B901EAA" w14:textId="77777777" w:rsidR="002E18C4" w:rsidRDefault="002E18C4">
      <w:pPr>
        <w:spacing w:line="276" w:lineRule="auto"/>
        <w:ind w:left="-426"/>
        <w:rPr>
          <w:rFonts w:ascii="Open Sans Light" w:eastAsia="Open Sans Light" w:hAnsi="Open Sans Light" w:cs="Open Sans Light"/>
          <w:b/>
          <w:color w:val="303AB2"/>
          <w:sz w:val="22"/>
          <w:szCs w:val="22"/>
        </w:rPr>
      </w:pPr>
    </w:p>
    <w:p w14:paraId="42F54FC7" w14:textId="77777777" w:rsidR="002E18C4" w:rsidRDefault="00000000">
      <w:pPr>
        <w:ind w:left="-426"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8024DF9" w14:textId="77777777" w:rsidR="002E18C4" w:rsidRDefault="00000000">
      <w:pPr>
        <w:shd w:val="clear" w:color="auto" w:fill="FFFFFF"/>
        <w:ind w:left="-426" w:right="-433"/>
        <w:rPr>
          <w:rFonts w:ascii="Open Sans" w:eastAsia="Open Sans" w:hAnsi="Open Sans" w:cs="Open Sans"/>
          <w:b/>
          <w:sz w:val="22"/>
          <w:szCs w:val="22"/>
        </w:rPr>
      </w:pPr>
      <w:r>
        <w:rPr>
          <w:rFonts w:ascii="Open Sans" w:eastAsia="Open Sans" w:hAnsi="Open Sans" w:cs="Open Sans"/>
          <w:b/>
          <w:sz w:val="22"/>
          <w:szCs w:val="22"/>
        </w:rPr>
        <w:lastRenderedPageBreak/>
        <w:t>Fanny Merino</w:t>
      </w:r>
    </w:p>
    <w:p w14:paraId="6B762AA3" w14:textId="77777777" w:rsidR="002E18C4" w:rsidRDefault="00000000">
      <w:pPr>
        <w:shd w:val="clear" w:color="auto" w:fill="FFFFFF"/>
        <w:ind w:left="-426" w:right="-433"/>
        <w:rPr>
          <w:rFonts w:ascii="Open Sans" w:eastAsia="Open Sans" w:hAnsi="Open Sans" w:cs="Open Sans"/>
          <w:b/>
          <w:sz w:val="22"/>
          <w:szCs w:val="22"/>
        </w:rPr>
      </w:pPr>
      <w:hyperlink r:id="rId22">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F4E9F9C" w14:textId="77777777" w:rsidR="002E18C4" w:rsidRPr="00090B7E" w:rsidRDefault="00000000">
      <w:pPr>
        <w:shd w:val="clear" w:color="auto" w:fill="FFFFFF"/>
        <w:ind w:left="-426" w:right="-433"/>
        <w:rPr>
          <w:rFonts w:ascii="Open Sans" w:eastAsia="Open Sans" w:hAnsi="Open Sans" w:cs="Open Sans"/>
          <w:sz w:val="22"/>
          <w:szCs w:val="22"/>
          <w:lang w:val="en-US"/>
        </w:rPr>
      </w:pPr>
      <w:r w:rsidRPr="00090B7E">
        <w:rPr>
          <w:rFonts w:ascii="Open Sans" w:eastAsia="Open Sans" w:hAnsi="Open Sans" w:cs="Open Sans"/>
          <w:sz w:val="22"/>
          <w:szCs w:val="22"/>
          <w:lang w:val="en-US"/>
        </w:rPr>
        <w:t>663 35 69 75 </w:t>
      </w:r>
      <w:r w:rsidRPr="00090B7E">
        <w:rPr>
          <w:rFonts w:ascii="Open Sans" w:eastAsia="Open Sans" w:hAnsi="Open Sans" w:cs="Open Sans"/>
          <w:sz w:val="22"/>
          <w:szCs w:val="22"/>
          <w:lang w:val="en-US"/>
        </w:rPr>
        <w:tab/>
      </w:r>
      <w:r w:rsidRPr="00090B7E">
        <w:rPr>
          <w:rFonts w:ascii="Open Sans" w:eastAsia="Open Sans" w:hAnsi="Open Sans" w:cs="Open Sans"/>
          <w:sz w:val="22"/>
          <w:szCs w:val="22"/>
          <w:lang w:val="en-US"/>
        </w:rPr>
        <w:tab/>
      </w:r>
      <w:r w:rsidRPr="00090B7E">
        <w:rPr>
          <w:rFonts w:ascii="Open Sans" w:eastAsia="Open Sans" w:hAnsi="Open Sans" w:cs="Open Sans"/>
          <w:sz w:val="22"/>
          <w:szCs w:val="22"/>
          <w:lang w:val="en-US"/>
        </w:rPr>
        <w:tab/>
      </w:r>
      <w:r w:rsidRPr="00090B7E">
        <w:rPr>
          <w:rFonts w:ascii="Open Sans" w:eastAsia="Open Sans" w:hAnsi="Open Sans" w:cs="Open Sans"/>
          <w:sz w:val="22"/>
          <w:szCs w:val="22"/>
          <w:lang w:val="en-US"/>
        </w:rPr>
        <w:tab/>
      </w:r>
      <w:r w:rsidRPr="00090B7E">
        <w:rPr>
          <w:rFonts w:ascii="Open Sans" w:eastAsia="Open Sans" w:hAnsi="Open Sans" w:cs="Open Sans"/>
          <w:sz w:val="22"/>
          <w:szCs w:val="22"/>
          <w:lang w:val="en-US"/>
        </w:rPr>
        <w:tab/>
      </w:r>
      <w:r w:rsidRPr="00090B7E">
        <w:rPr>
          <w:rFonts w:ascii="Open Sans" w:eastAsia="Open Sans" w:hAnsi="Open Sans" w:cs="Open Sans"/>
          <w:sz w:val="22"/>
          <w:szCs w:val="22"/>
          <w:lang w:val="en-US"/>
        </w:rPr>
        <w:tab/>
      </w:r>
    </w:p>
    <w:p w14:paraId="764DE8D4" w14:textId="77777777" w:rsidR="002E18C4" w:rsidRPr="00090B7E" w:rsidRDefault="00000000">
      <w:pPr>
        <w:shd w:val="clear" w:color="auto" w:fill="FFFFFF"/>
        <w:ind w:left="-426" w:right="-433"/>
        <w:rPr>
          <w:color w:val="222222"/>
          <w:sz w:val="22"/>
          <w:szCs w:val="22"/>
          <w:lang w:val="en-US"/>
        </w:rPr>
      </w:pPr>
      <w:r w:rsidRPr="00090B7E">
        <w:rPr>
          <w:color w:val="222222"/>
          <w:sz w:val="22"/>
          <w:szCs w:val="22"/>
          <w:lang w:val="en-US"/>
        </w:rPr>
        <w:tab/>
      </w:r>
      <w:r w:rsidRPr="00090B7E">
        <w:rPr>
          <w:color w:val="222222"/>
          <w:sz w:val="22"/>
          <w:szCs w:val="22"/>
          <w:lang w:val="en-US"/>
        </w:rPr>
        <w:tab/>
        <w:t xml:space="preserve">     </w:t>
      </w:r>
    </w:p>
    <w:p w14:paraId="25E9FFF5" w14:textId="77777777" w:rsidR="002E18C4" w:rsidRPr="00090B7E" w:rsidRDefault="00000000">
      <w:pPr>
        <w:shd w:val="clear" w:color="auto" w:fill="FFFFFF"/>
        <w:ind w:left="-426" w:right="-433"/>
        <w:rPr>
          <w:rFonts w:ascii="Open Sans" w:eastAsia="Open Sans" w:hAnsi="Open Sans" w:cs="Open Sans"/>
          <w:b/>
          <w:sz w:val="22"/>
          <w:szCs w:val="22"/>
          <w:lang w:val="en-US"/>
        </w:rPr>
      </w:pPr>
      <w:r w:rsidRPr="00090B7E">
        <w:rPr>
          <w:rFonts w:ascii="Open Sans" w:eastAsia="Open Sans" w:hAnsi="Open Sans" w:cs="Open Sans"/>
          <w:b/>
          <w:sz w:val="22"/>
          <w:szCs w:val="22"/>
          <w:lang w:val="en-US"/>
        </w:rPr>
        <w:t xml:space="preserve">Judit </w:t>
      </w:r>
      <w:proofErr w:type="spellStart"/>
      <w:r w:rsidRPr="00090B7E">
        <w:rPr>
          <w:rFonts w:ascii="Open Sans" w:eastAsia="Open Sans" w:hAnsi="Open Sans" w:cs="Open Sans"/>
          <w:b/>
          <w:sz w:val="22"/>
          <w:szCs w:val="22"/>
          <w:lang w:val="en-US"/>
        </w:rPr>
        <w:t>Campillos</w:t>
      </w:r>
      <w:proofErr w:type="spellEnd"/>
    </w:p>
    <w:p w14:paraId="1D0D260F" w14:textId="77777777" w:rsidR="002E18C4" w:rsidRPr="00090B7E" w:rsidRDefault="00000000">
      <w:pPr>
        <w:shd w:val="clear" w:color="auto" w:fill="FFFFFF"/>
        <w:ind w:left="-426" w:right="-433"/>
        <w:rPr>
          <w:rFonts w:ascii="Open Sans" w:eastAsia="Open Sans" w:hAnsi="Open Sans" w:cs="Open Sans"/>
          <w:b/>
          <w:sz w:val="22"/>
          <w:szCs w:val="22"/>
          <w:lang w:val="en-US"/>
        </w:rPr>
      </w:pPr>
      <w:proofErr w:type="spellStart"/>
      <w:r w:rsidRPr="00090B7E">
        <w:rPr>
          <w:rFonts w:ascii="Open Sans" w:eastAsia="Open Sans" w:hAnsi="Open Sans" w:cs="Open Sans"/>
          <w:color w:val="0000FF"/>
          <w:sz w:val="22"/>
          <w:szCs w:val="22"/>
          <w:u w:val="single"/>
          <w:lang w:val="en-US"/>
        </w:rPr>
        <w:t>jcampillos</w:t>
      </w:r>
      <w:hyperlink r:id="rId23">
        <w:r w:rsidRPr="00090B7E">
          <w:rPr>
            <w:rFonts w:ascii="Open Sans" w:eastAsia="Open Sans" w:hAnsi="Open Sans" w:cs="Open Sans"/>
            <w:color w:val="0000FF"/>
            <w:sz w:val="22"/>
            <w:szCs w:val="22"/>
            <w:u w:val="single"/>
            <w:lang w:val="en-US"/>
          </w:rPr>
          <w:t>@ll</w:t>
        </w:r>
      </w:hyperlink>
      <w:proofErr w:type="gramStart"/>
      <w:r w:rsidRPr="00090B7E">
        <w:rPr>
          <w:rFonts w:ascii="Open Sans" w:eastAsia="Open Sans" w:hAnsi="Open Sans" w:cs="Open Sans"/>
          <w:color w:val="0000FF"/>
          <w:sz w:val="22"/>
          <w:szCs w:val="22"/>
          <w:u w:val="single"/>
          <w:lang w:val="en-US"/>
        </w:rPr>
        <w:t>yc.global</w:t>
      </w:r>
      <w:proofErr w:type="spellEnd"/>
      <w:proofErr w:type="gramEnd"/>
      <w:r w:rsidRPr="00090B7E">
        <w:rPr>
          <w:rFonts w:ascii="Open Sans" w:eastAsia="Open Sans" w:hAnsi="Open Sans" w:cs="Open Sans"/>
          <w:color w:val="0000FF"/>
          <w:sz w:val="22"/>
          <w:szCs w:val="22"/>
          <w:lang w:val="en-US"/>
        </w:rPr>
        <w:tab/>
      </w:r>
      <w:r w:rsidRPr="00090B7E">
        <w:rPr>
          <w:rFonts w:ascii="Open Sans" w:eastAsia="Open Sans" w:hAnsi="Open Sans" w:cs="Open Sans"/>
          <w:color w:val="0000FF"/>
          <w:sz w:val="22"/>
          <w:szCs w:val="22"/>
          <w:lang w:val="en-US"/>
        </w:rPr>
        <w:tab/>
      </w:r>
    </w:p>
    <w:p w14:paraId="1C79CEF0" w14:textId="77777777" w:rsidR="002E18C4" w:rsidRDefault="00000000">
      <w:pPr>
        <w:shd w:val="clear" w:color="auto" w:fill="FFFFFF"/>
        <w:ind w:left="-426" w:right="-433"/>
        <w:rPr>
          <w:rFonts w:ascii="Open Sans" w:eastAsia="Open Sans" w:hAnsi="Open Sans" w:cs="Open Sans"/>
          <w:sz w:val="22"/>
          <w:szCs w:val="22"/>
        </w:rPr>
      </w:pPr>
      <w:r>
        <w:rPr>
          <w:rFonts w:ascii="Open Sans" w:eastAsia="Open Sans" w:hAnsi="Open Sans" w:cs="Open Sans"/>
          <w:sz w:val="22"/>
          <w:szCs w:val="22"/>
        </w:rPr>
        <w:t>699 13 91 53</w:t>
      </w:r>
    </w:p>
    <w:p w14:paraId="08049D97" w14:textId="77777777" w:rsidR="002E18C4" w:rsidRDefault="002E18C4">
      <w:pPr>
        <w:ind w:left="-426"/>
        <w:rPr>
          <w:rFonts w:ascii="Open Sans" w:eastAsia="Open Sans" w:hAnsi="Open Sans" w:cs="Open Sans"/>
          <w:color w:val="30302E"/>
          <w:sz w:val="22"/>
          <w:szCs w:val="22"/>
          <w:highlight w:val="white"/>
        </w:rPr>
      </w:pPr>
    </w:p>
    <w:p w14:paraId="341E5983" w14:textId="77777777" w:rsidR="002E18C4" w:rsidRDefault="00000000">
      <w:pPr>
        <w:ind w:left="-426"/>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B5CBE26" w14:textId="77777777" w:rsidR="002E18C4" w:rsidRDefault="00000000">
      <w:pPr>
        <w:ind w:left="-426"/>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alicia.salvatella@llyc.global</w:t>
        </w:r>
      </w:hyperlink>
    </w:p>
    <w:p w14:paraId="7FF77D2F" w14:textId="77777777" w:rsidR="002E18C4" w:rsidRDefault="00000000">
      <w:pPr>
        <w:ind w:left="-426"/>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548A7BEB" w14:textId="77777777" w:rsidR="002E18C4" w:rsidRDefault="002E18C4">
      <w:pPr>
        <w:shd w:val="clear" w:color="auto" w:fill="FFFFFF"/>
        <w:rPr>
          <w:rFonts w:ascii="Open Sans" w:eastAsia="Open Sans" w:hAnsi="Open Sans" w:cs="Open Sans"/>
          <w:color w:val="000000"/>
          <w:sz w:val="22"/>
          <w:szCs w:val="22"/>
        </w:rPr>
      </w:pPr>
    </w:p>
    <w:p w14:paraId="5FC0CC59" w14:textId="77777777" w:rsidR="002E18C4" w:rsidRDefault="002E18C4">
      <w:pPr>
        <w:spacing w:line="276" w:lineRule="auto"/>
        <w:jc w:val="center"/>
        <w:rPr>
          <w:rFonts w:ascii="Open Sans" w:eastAsia="Open Sans" w:hAnsi="Open Sans" w:cs="Open Sans"/>
          <w:color w:val="000000"/>
          <w:sz w:val="21"/>
          <w:szCs w:val="21"/>
        </w:rPr>
      </w:pPr>
    </w:p>
    <w:sectPr w:rsidR="002E18C4">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CAC3C" w14:textId="77777777" w:rsidR="00685989" w:rsidRDefault="00685989">
      <w:r>
        <w:separator/>
      </w:r>
    </w:p>
  </w:endnote>
  <w:endnote w:type="continuationSeparator" w:id="0">
    <w:p w14:paraId="5E122CDE" w14:textId="77777777" w:rsidR="00685989" w:rsidRDefault="0068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780A74-52F3-4C13-B9DA-14C1E9C47F0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B0E6AA-046B-453A-9D55-18A1C65B67A4}"/>
    <w:embedBold r:id="rId3" w:fontKey="{89BA3956-5490-4E36-8E35-6CC972B466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752C215-B5E8-4A5B-A3EE-E970D6521C49}"/>
    <w:embedItalic r:id="rId5" w:fontKey="{BC627E03-18B2-4777-B78B-463E5BC71526}"/>
  </w:font>
  <w:font w:name="Cambria">
    <w:panose1 w:val="02040503050406030204"/>
    <w:charset w:val="00"/>
    <w:family w:val="roman"/>
    <w:pitch w:val="variable"/>
    <w:sig w:usb0="E00006FF" w:usb1="420024FF" w:usb2="02000000" w:usb3="00000000" w:csb0="0000019F" w:csb1="00000000"/>
    <w:embedRegular r:id="rId6" w:fontKey="{FD925F1E-109B-4772-A9CC-A494E0520CA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E53E3D7-CE8C-4258-B934-57B4EFB2C313}"/>
    <w:embedBold r:id="rId8" w:fontKey="{40E5E793-C583-4574-8616-B65BC81CC2F8}"/>
    <w:embedBoldItalic r:id="rId9" w:fontKey="{808FACD4-8D11-44A3-ABAB-A7B5F5B1DFE2}"/>
  </w:font>
  <w:font w:name="Open Sans Light">
    <w:charset w:val="00"/>
    <w:family w:val="swiss"/>
    <w:pitch w:val="variable"/>
    <w:sig w:usb0="E00002EF" w:usb1="4000205B" w:usb2="00000028" w:usb3="00000000" w:csb0="0000019F" w:csb1="00000000"/>
    <w:embedRegular r:id="rId10" w:fontKey="{6726B671-DCB1-4C33-B019-B96837D50995}"/>
    <w:embedBold r:id="rId11" w:fontKey="{E72BC2ED-9B10-4789-8B24-BB3D37E25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7100D" w14:textId="77777777" w:rsidR="002E18C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D687504" wp14:editId="4B5DC9BC">
          <wp:simplePos x="0" y="0"/>
          <wp:positionH relativeFrom="column">
            <wp:posOffset>-1068056</wp:posOffset>
          </wp:positionH>
          <wp:positionV relativeFrom="paragraph">
            <wp:posOffset>174608</wp:posOffset>
          </wp:positionV>
          <wp:extent cx="7670550" cy="451315"/>
          <wp:effectExtent l="0" t="0" r="0" b="0"/>
          <wp:wrapNone/>
          <wp:docPr id="20937902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F997F" w14:textId="77777777" w:rsidR="00685989" w:rsidRDefault="00685989">
      <w:r>
        <w:separator/>
      </w:r>
    </w:p>
  </w:footnote>
  <w:footnote w:type="continuationSeparator" w:id="0">
    <w:p w14:paraId="4DCE7222" w14:textId="77777777" w:rsidR="00685989" w:rsidRDefault="00685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566DBC"/>
    <w:multiLevelType w:val="multilevel"/>
    <w:tmpl w:val="102A9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7617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8C4"/>
    <w:rsid w:val="00090B7E"/>
    <w:rsid w:val="002E18C4"/>
    <w:rsid w:val="00685989"/>
    <w:rsid w:val="00B644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EC8DD"/>
  <w15:docId w15:val="{CF787D2F-8D54-4941-9506-5508DEC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emerino@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08/Informe-Perfil-del-hipotecado-espaniol-en-2024.pdf" TargetMode="External"/><Relationship Id="rId14" Type="http://schemas.openxmlformats.org/officeDocument/2006/relationships/hyperlink" Target="https://www.fotocasa.es/es/quienes-somos/" TargetMode="External"/><Relationship Id="rId22" Type="http://schemas.openxmlformats.org/officeDocument/2006/relationships/hyperlink" Target="mailto:emerino@llorenteycuenca.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9B1DaNC1lF8+Y4UDV6K1nqDvg==">CgMxLjAyCWguMnM4ZXlvMTgAciExSU1kS05SaGJkdDYyS2hXbHdWcmhXNmRKUXpiYlplb2w=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996</Words>
  <Characters>5478</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2024-09-12T08:23:00Z</dcterms:modified>
</cp:coreProperties>
</file>