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97037" w14:textId="77777777" w:rsidR="0083308B" w:rsidRDefault="00000000">
      <w:pPr>
        <w:ind w:right="-574"/>
      </w:pPr>
      <w:r>
        <w:rPr>
          <w:noProof/>
        </w:rPr>
        <w:drawing>
          <wp:anchor distT="0" distB="0" distL="114300" distR="114300" simplePos="0" relativeHeight="251658240" behindDoc="0" locked="0" layoutInCell="1" hidden="0" allowOverlap="1" wp14:anchorId="37F5199F" wp14:editId="50E4B88F">
            <wp:simplePos x="0" y="0"/>
            <wp:positionH relativeFrom="column">
              <wp:posOffset>-1080132</wp:posOffset>
            </wp:positionH>
            <wp:positionV relativeFrom="paragraph">
              <wp:posOffset>-447672</wp:posOffset>
            </wp:positionV>
            <wp:extent cx="7581265" cy="1019175"/>
            <wp:effectExtent l="0" t="0" r="0" b="0"/>
            <wp:wrapNone/>
            <wp:docPr id="21124011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71829AC9" w14:textId="77777777" w:rsidR="0083308B" w:rsidRDefault="0083308B">
      <w:pPr>
        <w:ind w:right="-574"/>
        <w:jc w:val="right"/>
        <w:rPr>
          <w:rFonts w:ascii="National" w:eastAsia="National" w:hAnsi="National" w:cs="National"/>
          <w:color w:val="303AB2"/>
          <w:sz w:val="36"/>
          <w:szCs w:val="36"/>
        </w:rPr>
      </w:pPr>
    </w:p>
    <w:p w14:paraId="3A7902B0" w14:textId="77777777" w:rsidR="0083308B" w:rsidRDefault="0083308B">
      <w:pPr>
        <w:ind w:right="-574"/>
        <w:jc w:val="right"/>
        <w:rPr>
          <w:rFonts w:ascii="National" w:eastAsia="National" w:hAnsi="National" w:cs="National"/>
          <w:color w:val="303AB2"/>
          <w:sz w:val="36"/>
          <w:szCs w:val="36"/>
        </w:rPr>
      </w:pPr>
    </w:p>
    <w:p w14:paraId="4F68E28B" w14:textId="77777777" w:rsidR="0083308B" w:rsidRDefault="0083308B">
      <w:pPr>
        <w:ind w:right="-574"/>
        <w:rPr>
          <w:rFonts w:ascii="National" w:eastAsia="National" w:hAnsi="National" w:cs="National"/>
          <w:color w:val="303AB2"/>
          <w:sz w:val="16"/>
          <w:szCs w:val="16"/>
        </w:rPr>
      </w:pPr>
    </w:p>
    <w:p w14:paraId="05C7C8B7" w14:textId="77777777" w:rsidR="0083308B"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TERCER TRIMESTRE 2024: PRECIO VIVIENDA EN VENTA</w:t>
      </w:r>
    </w:p>
    <w:p w14:paraId="5C6BBC44" w14:textId="77777777" w:rsidR="0083308B" w:rsidRDefault="00000000">
      <w:pPr>
        <w:spacing w:line="276" w:lineRule="auto"/>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precio de la vivienda de segunda mano sube un 1,2% en el tercer trimestre y un 9,5% interanual en España   </w:t>
      </w:r>
    </w:p>
    <w:p w14:paraId="2C2267DA" w14:textId="77777777" w:rsidR="0083308B" w:rsidRDefault="0083308B">
      <w:pPr>
        <w:ind w:right="-574"/>
        <w:rPr>
          <w:rFonts w:ascii="National" w:eastAsia="National" w:hAnsi="National" w:cs="National"/>
          <w:b/>
          <w:color w:val="303AB2"/>
          <w:sz w:val="16"/>
          <w:szCs w:val="16"/>
        </w:rPr>
      </w:pPr>
    </w:p>
    <w:p w14:paraId="3EF6E64B" w14:textId="77777777" w:rsidR="0083308B" w:rsidRDefault="00000000">
      <w:pPr>
        <w:numPr>
          <w:ilvl w:val="0"/>
          <w:numId w:val="1"/>
        </w:numP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Es la subida trimestral más baja de los últimos cuatro trimestres naturales </w:t>
      </w:r>
    </w:p>
    <w:p w14:paraId="20EDABC2" w14:textId="77777777" w:rsidR="0083308B"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de la vivienda interanual en España alcanza el 9,5% y sitúa su precio mensual en 2.355 euros/m</w:t>
      </w:r>
      <w:r>
        <w:rPr>
          <w:rFonts w:ascii="Open Sans" w:eastAsia="Open Sans" w:hAnsi="Open Sans" w:cs="Open Sans"/>
          <w:color w:val="303AB2"/>
          <w:vertAlign w:val="superscript"/>
        </w:rPr>
        <w:t>2</w:t>
      </w:r>
    </w:p>
    <w:p w14:paraId="58E2E327" w14:textId="77777777" w:rsidR="0083308B"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El 15% de las ciudades del país este trimestre supera los precios máximos de los registros del Índice Fotocasa </w:t>
      </w:r>
    </w:p>
    <w:p w14:paraId="1331396B" w14:textId="77777777" w:rsidR="0083308B" w:rsidRDefault="0083308B">
      <w:pPr>
        <w:spacing w:line="276" w:lineRule="auto"/>
        <w:ind w:left="360" w:right="-574"/>
        <w:jc w:val="both"/>
        <w:rPr>
          <w:rFonts w:ascii="Open Sans" w:eastAsia="Open Sans" w:hAnsi="Open Sans" w:cs="Open Sans"/>
          <w:color w:val="303AB2"/>
        </w:rPr>
      </w:pPr>
    </w:p>
    <w:p w14:paraId="62748713" w14:textId="77777777" w:rsidR="0083308B" w:rsidRDefault="00000000">
      <w:pPr>
        <w:spacing w:line="276" w:lineRule="auto"/>
        <w:ind w:right="-574"/>
        <w:jc w:val="both"/>
        <w:rPr>
          <w:rFonts w:ascii="Open Sans Light" w:eastAsia="Open Sans Light" w:hAnsi="Open Sans Light" w:cs="Open Sans Light"/>
          <w:color w:val="303AB2"/>
        </w:rPr>
      </w:pPr>
      <w:r>
        <w:rPr>
          <w:rFonts w:ascii="Open Sans" w:eastAsia="Open Sans" w:hAnsi="Open Sans" w:cs="Open Sans"/>
          <w:color w:val="303AB2"/>
        </w:rPr>
        <w:t>Madrid, 1 de octubre de 2024</w:t>
      </w:r>
    </w:p>
    <w:p w14:paraId="2B6ECF80" w14:textId="77777777" w:rsidR="0083308B" w:rsidRDefault="0083308B">
      <w:pPr>
        <w:spacing w:line="276" w:lineRule="auto"/>
        <w:ind w:right="-574"/>
        <w:rPr>
          <w:rFonts w:ascii="Open Sans Light" w:eastAsia="Open Sans Light" w:hAnsi="Open Sans Light" w:cs="Open Sans Light"/>
          <w:color w:val="303AB2"/>
        </w:rPr>
      </w:pPr>
    </w:p>
    <w:p w14:paraId="551B350B" w14:textId="77777777" w:rsidR="0083308B" w:rsidRDefault="00000000">
      <w:pPr>
        <w:spacing w:line="276" w:lineRule="auto"/>
        <w:ind w:right="-574"/>
        <w:jc w:val="both"/>
        <w:rPr>
          <w:color w:val="000000"/>
        </w:rPr>
      </w:pPr>
      <w:r>
        <w:rPr>
          <w:rFonts w:ascii="Open Sans" w:eastAsia="Open Sans" w:hAnsi="Open Sans" w:cs="Open Sans"/>
          <w:color w:val="000000"/>
        </w:rPr>
        <w:t xml:space="preserve">España ha experimentado todas sus variaciones trimestrales e interanuales positivas en el precio de la vivienda de segunda mano desde el tercer trimestre de 2021 y en concreto, </w:t>
      </w:r>
      <w:r>
        <w:rPr>
          <w:rFonts w:ascii="Open Sans" w:eastAsia="Open Sans" w:hAnsi="Open Sans" w:cs="Open Sans"/>
          <w:b/>
          <w:color w:val="000000"/>
        </w:rPr>
        <w:t xml:space="preserve">cierra el tercer trimestre </w:t>
      </w:r>
      <w:r>
        <w:rPr>
          <w:rFonts w:ascii="Open Sans" w:eastAsia="Open Sans" w:hAnsi="Open Sans" w:cs="Open Sans"/>
          <w:b/>
        </w:rPr>
        <w:t>de 2024</w:t>
      </w:r>
      <w:r>
        <w:rPr>
          <w:rFonts w:ascii="Open Sans" w:eastAsia="Open Sans" w:hAnsi="Open Sans" w:cs="Open Sans"/>
          <w:b/>
          <w:color w:val="000000"/>
        </w:rPr>
        <w:t xml:space="preserve"> con un incremento del 1,2% y </w:t>
      </w:r>
      <w:r>
        <w:rPr>
          <w:rFonts w:ascii="Open Sans" w:eastAsia="Open Sans" w:hAnsi="Open Sans" w:cs="Open Sans"/>
          <w:b/>
        </w:rPr>
        <w:t>una subida</w:t>
      </w:r>
      <w:r>
        <w:rPr>
          <w:rFonts w:ascii="Open Sans" w:eastAsia="Open Sans" w:hAnsi="Open Sans" w:cs="Open Sans"/>
          <w:b/>
          <w:color w:val="000000"/>
        </w:rPr>
        <w:t xml:space="preserve"> interanual del 9,5%, según los datos del Índice Inmobiliario </w:t>
      </w:r>
      <w:hyperlink r:id="rId7">
        <w:r>
          <w:rPr>
            <w:rFonts w:ascii="Open Sans" w:eastAsia="Open Sans" w:hAnsi="Open Sans" w:cs="Open Sans"/>
            <w:b/>
            <w:color w:val="0000FF"/>
            <w:u w:val="single"/>
          </w:rPr>
          <w:t>Fotocasa</w:t>
        </w:r>
      </w:hyperlink>
      <w:r>
        <w:rPr>
          <w:rFonts w:ascii="Open Sans" w:eastAsia="Open Sans" w:hAnsi="Open Sans" w:cs="Open Sans"/>
          <w:color w:val="0000FF"/>
          <w:u w:val="single"/>
        </w:rPr>
        <w:t>.</w:t>
      </w:r>
      <w:r>
        <w:rPr>
          <w:rFonts w:ascii="Open Sans" w:eastAsia="Open Sans" w:hAnsi="Open Sans" w:cs="Open Sans"/>
          <w:color w:val="0000FF"/>
        </w:rPr>
        <w:t xml:space="preserve"> </w:t>
      </w:r>
      <w:r>
        <w:rPr>
          <w:rFonts w:ascii="Open Sans" w:eastAsia="Open Sans" w:hAnsi="Open Sans" w:cs="Open Sans"/>
          <w:color w:val="000000"/>
        </w:rPr>
        <w:t xml:space="preserve">Estos </w:t>
      </w:r>
      <w:r>
        <w:rPr>
          <w:rFonts w:ascii="Open Sans" w:eastAsia="Open Sans" w:hAnsi="Open Sans" w:cs="Open Sans"/>
        </w:rPr>
        <w:t xml:space="preserve">aumentos </w:t>
      </w:r>
      <w:r>
        <w:rPr>
          <w:rFonts w:ascii="Open Sans" w:eastAsia="Open Sans" w:hAnsi="Open Sans" w:cs="Open Sans"/>
          <w:color w:val="000000"/>
        </w:rPr>
        <w:t>detectados en septiembre sitúan el precio de la vivienda en venta en 2.355 euros por metro cuadrado.</w:t>
      </w:r>
      <w:r>
        <w:rPr>
          <w:color w:val="000000"/>
        </w:rPr>
        <w:t xml:space="preserve"> </w:t>
      </w:r>
    </w:p>
    <w:p w14:paraId="0FCED525" w14:textId="77777777" w:rsidR="0083308B" w:rsidRDefault="0083308B">
      <w:pPr>
        <w:spacing w:line="276" w:lineRule="auto"/>
        <w:ind w:right="-574"/>
        <w:jc w:val="both"/>
        <w:rPr>
          <w:color w:val="000000"/>
        </w:rPr>
      </w:pPr>
    </w:p>
    <w:p w14:paraId="0CD3A05F" w14:textId="77777777" w:rsidR="0083308B" w:rsidRDefault="00000000">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t xml:space="preserve">Variación trimestral e interanual por tercer trimestre </w:t>
      </w:r>
      <w:r>
        <w:rPr>
          <w:noProof/>
          <w:sz w:val="16"/>
          <w:szCs w:val="16"/>
        </w:rPr>
        <w:drawing>
          <wp:inline distT="0" distB="0" distL="0" distR="0" wp14:anchorId="718930F2" wp14:editId="37279C71">
            <wp:extent cx="5112688" cy="2460625"/>
            <wp:effectExtent l="0" t="0" r="0" b="0"/>
            <wp:docPr id="2112401125" name="Gráfico 2112401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BC0B45" w14:textId="77777777" w:rsidR="0083308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 xml:space="preserve">Si vemos los datos de hace apenas un año, España </w:t>
      </w:r>
      <w:r>
        <w:rPr>
          <w:rFonts w:ascii="Open Sans" w:eastAsia="Open Sans" w:hAnsi="Open Sans" w:cs="Open Sans"/>
          <w:b/>
          <w:color w:val="000000"/>
        </w:rPr>
        <w:t>ha pasado de una variación interanual del 7% de septiembre de 2023 al 9,5% detectado en el mismo periodo de 2024.</w:t>
      </w:r>
      <w:r>
        <w:rPr>
          <w:rFonts w:ascii="Open Sans" w:eastAsia="Open Sans" w:hAnsi="Open Sans" w:cs="Open Sans"/>
          <w:color w:val="000000"/>
        </w:rPr>
        <w:t xml:space="preserve"> En los últimos 12 meses analizados el precio de la vivienda ha pasado de los 2.151 euros/m</w:t>
      </w:r>
      <w:r>
        <w:rPr>
          <w:rFonts w:ascii="Open Sans" w:eastAsia="Open Sans" w:hAnsi="Open Sans" w:cs="Open Sans"/>
          <w:color w:val="000000"/>
          <w:vertAlign w:val="superscript"/>
        </w:rPr>
        <w:t>2</w:t>
      </w:r>
      <w:r>
        <w:rPr>
          <w:rFonts w:ascii="Open Sans" w:eastAsia="Open Sans" w:hAnsi="Open Sans" w:cs="Open Sans"/>
          <w:color w:val="000000"/>
        </w:rPr>
        <w:t xml:space="preserve"> de septiembre de 2023 a los 2.355 euros/m</w:t>
      </w:r>
      <w:r>
        <w:rPr>
          <w:rFonts w:ascii="Open Sans" w:eastAsia="Open Sans" w:hAnsi="Open Sans" w:cs="Open Sans"/>
          <w:color w:val="000000"/>
          <w:vertAlign w:val="superscript"/>
        </w:rPr>
        <w:t>2</w:t>
      </w:r>
      <w:r>
        <w:rPr>
          <w:rFonts w:ascii="Open Sans" w:eastAsia="Open Sans" w:hAnsi="Open Sans" w:cs="Open Sans"/>
          <w:color w:val="000000"/>
        </w:rPr>
        <w:t xml:space="preserve"> de septiembre de 2024. </w:t>
      </w:r>
    </w:p>
    <w:p w14:paraId="220916BB" w14:textId="77777777" w:rsidR="0083308B" w:rsidRDefault="0083308B">
      <w:pPr>
        <w:spacing w:line="276" w:lineRule="auto"/>
        <w:ind w:right="-574"/>
        <w:jc w:val="both"/>
        <w:rPr>
          <w:rFonts w:ascii="Open Sans" w:eastAsia="Open Sans" w:hAnsi="Open Sans" w:cs="Open Sans"/>
        </w:rPr>
      </w:pPr>
    </w:p>
    <w:p w14:paraId="51B9D468" w14:textId="77777777" w:rsidR="0083308B" w:rsidRDefault="00000000">
      <w:pPr>
        <w:spacing w:line="276" w:lineRule="auto"/>
        <w:ind w:right="-574"/>
        <w:jc w:val="center"/>
        <w:rPr>
          <w:rFonts w:ascii="Open Sans" w:eastAsia="Open Sans" w:hAnsi="Open Sans" w:cs="Open Sans"/>
        </w:rPr>
      </w:pPr>
      <w:r>
        <w:rPr>
          <w:rFonts w:ascii="Open Sans Light" w:eastAsia="Open Sans Light" w:hAnsi="Open Sans Light" w:cs="Open Sans Light"/>
          <w:b/>
          <w:color w:val="303AB2"/>
          <w:sz w:val="28"/>
          <w:szCs w:val="28"/>
        </w:rPr>
        <w:t>Variaciones trimestrales por trimestres naturales</w:t>
      </w:r>
    </w:p>
    <w:p w14:paraId="611676C4" w14:textId="77777777" w:rsidR="0083308B" w:rsidRDefault="00000000">
      <w:pPr>
        <w:spacing w:line="276" w:lineRule="auto"/>
        <w:ind w:right="-574"/>
        <w:jc w:val="both"/>
        <w:rPr>
          <w:rFonts w:ascii="Open Sans" w:eastAsia="Open Sans" w:hAnsi="Open Sans" w:cs="Open Sans"/>
          <w:b/>
          <w:color w:val="000000"/>
        </w:rPr>
      </w:pPr>
      <w:r>
        <w:rPr>
          <w:noProof/>
        </w:rPr>
        <w:drawing>
          <wp:inline distT="0" distB="0" distL="0" distR="0" wp14:anchorId="05A95D84" wp14:editId="4D7548D9">
            <wp:extent cx="5686425" cy="2381250"/>
            <wp:effectExtent l="0" t="0" r="0" b="0"/>
            <wp:docPr id="2112401124" name="Gráfico 2112401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Open Sans" w:eastAsia="Open Sans" w:hAnsi="Open Sans" w:cs="Open Sans"/>
          <w:b/>
          <w:color w:val="000000"/>
        </w:rPr>
        <w:t xml:space="preserve"> </w:t>
      </w:r>
    </w:p>
    <w:p w14:paraId="35D72701" w14:textId="54EB73FE" w:rsidR="0083308B" w:rsidRDefault="00000000">
      <w:pPr>
        <w:spacing w:line="276" w:lineRule="auto"/>
        <w:ind w:right="-574"/>
        <w:jc w:val="both"/>
        <w:rPr>
          <w:rFonts w:ascii="Open Sans" w:eastAsia="Open Sans" w:hAnsi="Open Sans" w:cs="Open Sans"/>
        </w:rPr>
      </w:pPr>
      <w:r>
        <w:rPr>
          <w:rFonts w:ascii="Open Sans" w:eastAsia="Open Sans" w:hAnsi="Open Sans" w:cs="Open Sans"/>
        </w:rPr>
        <w:t xml:space="preserve">“El precio de la vivienda sigue incrementándose de manera muy notable debido a un creciente desequilibrio entre la oferta y la demanda, especialmente en las áreas más demandadas. La capacidad del mercado inmobiliario en estas zonas se está viendo cada vez más limitada, ya que la oferta disponible es insuficiente para absorber la elevada demanda de compra, lo que genera una considerable presión al alza en los precios. Este escenario de encarecimiento sostenido ha persistido durante los últimos dos años, coincidiendo con el aumento de los tipos de interés impulsado por el Banco Central Europeo. No obstante, con la reciente moderación de los tipos, la bajada del Euríbor y la mejora de las condiciones hipotecarias, la demanda de compra que se mantenía paralizada volverá al mercado con fuerza, lo que podría intensificar la presión sobre la oferta de viviendas disponibles y seguir incrementando el precio”, </w:t>
      </w:r>
      <w:r w:rsidRPr="006422D4">
        <w:rPr>
          <w:rFonts w:ascii="Open Sans" w:eastAsia="Open Sans" w:hAnsi="Open Sans" w:cs="Open Sans"/>
          <w:b/>
          <w:bCs/>
        </w:rPr>
        <w:t xml:space="preserve">explica María Matos, directora de Estudios y portavoz de </w:t>
      </w:r>
      <w:hyperlink r:id="rId10" w:history="1">
        <w:r w:rsidRPr="006422D4">
          <w:rPr>
            <w:rStyle w:val="Hipervnculo"/>
            <w:rFonts w:ascii="Open Sans" w:eastAsia="Open Sans" w:hAnsi="Open Sans" w:cs="Open Sans"/>
            <w:b/>
            <w:bCs/>
          </w:rPr>
          <w:t>Fotocasa</w:t>
        </w:r>
      </w:hyperlink>
      <w:r w:rsidRPr="006422D4">
        <w:rPr>
          <w:rFonts w:ascii="Open Sans" w:eastAsia="Open Sans" w:hAnsi="Open Sans" w:cs="Open Sans"/>
          <w:b/>
          <w:bCs/>
        </w:rPr>
        <w:t>.</w:t>
      </w:r>
      <w:r>
        <w:rPr>
          <w:rFonts w:ascii="Open Sans" w:eastAsia="Open Sans" w:hAnsi="Open Sans" w:cs="Open Sans"/>
        </w:rPr>
        <w:t xml:space="preserve"> </w:t>
      </w:r>
    </w:p>
    <w:p w14:paraId="1A001720" w14:textId="77777777" w:rsidR="0083308B" w:rsidRDefault="0083308B">
      <w:pPr>
        <w:spacing w:line="276" w:lineRule="auto"/>
        <w:ind w:right="-574"/>
        <w:jc w:val="both"/>
        <w:rPr>
          <w:rFonts w:ascii="Open Sans" w:eastAsia="Open Sans" w:hAnsi="Open Sans" w:cs="Open Sans"/>
          <w:b/>
        </w:rPr>
      </w:pPr>
    </w:p>
    <w:p w14:paraId="1083DE3A"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las CCAA, este tercer trimestre de 2024 se presenta con 14 subidas trimestrales y 17 interanuales</w:t>
      </w:r>
      <w:r>
        <w:rPr>
          <w:rFonts w:ascii="Open Sans" w:eastAsia="Open Sans" w:hAnsi="Open Sans" w:cs="Open Sans"/>
          <w:color w:val="000000"/>
        </w:rPr>
        <w:t xml:space="preserve">. La Comunidad con el mayor incremento trimestral es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(5,5%), seguida de Baleares (4,1%), Galicia (3,8%), Andalucía (3,4%), Región de Murcia (3,1%), Asturias (3,1%), Canarias (3,0%), Cantabria (2,7%), Madrid (1,3%), País Vasco (0,8%), Castilla y León (0,8%), Extremadura (0,6%), Aragón (0,6%) y Castilla-La Mancha (0,2%). Por otro lado, las </w:t>
      </w:r>
      <w:r>
        <w:rPr>
          <w:rFonts w:ascii="Open Sans" w:eastAsia="Open Sans" w:hAnsi="Open Sans" w:cs="Open Sans"/>
          <w:color w:val="000000"/>
        </w:rPr>
        <w:lastRenderedPageBreak/>
        <w:t>regiones en donde se producen descensos en el precio de la vivienda de segunda mano son: Navarra (-1,7%), Cataluña (-0,6%) y La Rioja (-0,5%).</w:t>
      </w:r>
    </w:p>
    <w:p w14:paraId="2DF10201" w14:textId="77777777" w:rsidR="0083308B" w:rsidRDefault="0083308B">
      <w:pPr>
        <w:spacing w:line="276" w:lineRule="auto"/>
        <w:ind w:right="-574"/>
        <w:jc w:val="center"/>
        <w:rPr>
          <w:rFonts w:ascii="Open Sans Light" w:eastAsia="Open Sans Light" w:hAnsi="Open Sans Light" w:cs="Open Sans Light"/>
          <w:b/>
          <w:color w:val="303AB2"/>
          <w:sz w:val="28"/>
          <w:szCs w:val="28"/>
        </w:rPr>
      </w:pPr>
    </w:p>
    <w:p w14:paraId="11E6BD47" w14:textId="77777777" w:rsidR="0083308B"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tercer trimestre por CCAA</w:t>
      </w:r>
    </w:p>
    <w:p w14:paraId="5BF80942" w14:textId="77777777" w:rsidR="0083308B"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27789A01" wp14:editId="58B8E4CA">
            <wp:extent cx="5396230" cy="3722370"/>
            <wp:effectExtent l="0" t="0" r="0" b="0"/>
            <wp:docPr id="2112401128" name="image6.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burbujas&#10;&#10;Descripción generada automáticamente"/>
                    <pic:cNvPicPr preferRelativeResize="0"/>
                  </pic:nvPicPr>
                  <pic:blipFill>
                    <a:blip r:embed="rId11"/>
                    <a:srcRect/>
                    <a:stretch>
                      <a:fillRect/>
                    </a:stretch>
                  </pic:blipFill>
                  <pic:spPr>
                    <a:xfrm>
                      <a:off x="0" y="0"/>
                      <a:ext cx="5396230" cy="3722370"/>
                    </a:xfrm>
                    <a:prstGeom prst="rect">
                      <a:avLst/>
                    </a:prstGeom>
                    <a:ln/>
                  </pic:spPr>
                </pic:pic>
              </a:graphicData>
            </a:graphic>
          </wp:inline>
        </w:drawing>
      </w:r>
    </w:p>
    <w:p w14:paraId="55881938" w14:textId="77777777" w:rsidR="0083308B" w:rsidRDefault="0083308B">
      <w:pPr>
        <w:spacing w:line="276" w:lineRule="auto"/>
        <w:ind w:right="-574"/>
        <w:jc w:val="both"/>
        <w:rPr>
          <w:rFonts w:ascii="Open Sans" w:eastAsia="Open Sans" w:hAnsi="Open Sans" w:cs="Open Sans"/>
          <w:color w:val="000000"/>
        </w:rPr>
      </w:pPr>
    </w:p>
    <w:p w14:paraId="1A4EFC84" w14:textId="77777777" w:rsidR="00C7624F" w:rsidRDefault="00C7624F">
      <w:pPr>
        <w:spacing w:line="276" w:lineRule="auto"/>
        <w:ind w:right="-574"/>
        <w:jc w:val="both"/>
        <w:rPr>
          <w:rFonts w:ascii="Open Sans" w:eastAsia="Open Sans" w:hAnsi="Open Sans" w:cs="Open Sans"/>
          <w:color w:val="000000"/>
        </w:rPr>
      </w:pPr>
    </w:p>
    <w:p w14:paraId="613C56ED" w14:textId="6F3689BD"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al ranking de precios por comunidades, </w:t>
      </w:r>
      <w:r>
        <w:rPr>
          <w:rFonts w:ascii="Open Sans" w:eastAsia="Open Sans" w:hAnsi="Open Sans" w:cs="Open Sans"/>
          <w:b/>
          <w:color w:val="000000"/>
        </w:rPr>
        <w:t>Baleares y Madrid, ocupan los primeros puestos</w:t>
      </w:r>
      <w:r>
        <w:rPr>
          <w:rFonts w:ascii="Open Sans" w:eastAsia="Open Sans" w:hAnsi="Open Sans" w:cs="Open Sans"/>
          <w:color w:val="000000"/>
        </w:rPr>
        <w:t>, y superan la barrera de los 4.000 euros, en concreto se paga por Baleares con 4.428 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r>
        <w:rPr>
          <w:rFonts w:ascii="Open Sans" w:eastAsia="Open Sans" w:hAnsi="Open Sans" w:cs="Open Sans"/>
        </w:rPr>
        <w:t>Madrid</w:t>
      </w:r>
      <w:r>
        <w:rPr>
          <w:rFonts w:ascii="Open Sans" w:eastAsia="Open Sans" w:hAnsi="Open Sans" w:cs="Open Sans"/>
          <w:color w:val="000000"/>
        </w:rPr>
        <w:t xml:space="preserve"> con 4.267 euros/m</w:t>
      </w:r>
      <w:r>
        <w:rPr>
          <w:rFonts w:ascii="Open Sans" w:eastAsia="Open Sans" w:hAnsi="Open Sans" w:cs="Open Sans"/>
          <w:color w:val="000000"/>
          <w:vertAlign w:val="superscript"/>
        </w:rPr>
        <w:t>2</w:t>
      </w:r>
      <w:r>
        <w:rPr>
          <w:rFonts w:ascii="Open Sans" w:eastAsia="Open Sans" w:hAnsi="Open Sans" w:cs="Open Sans"/>
          <w:color w:val="000000"/>
        </w:rPr>
        <w:t>.</w:t>
      </w:r>
      <w:r>
        <w:rPr>
          <w:rFonts w:ascii="Open Sans" w:eastAsia="Open Sans" w:hAnsi="Open Sans" w:cs="Open Sans"/>
        </w:rPr>
        <w:t xml:space="preserve"> </w:t>
      </w:r>
      <w:r>
        <w:rPr>
          <w:rFonts w:ascii="Open Sans" w:eastAsia="Open Sans" w:hAnsi="Open Sans" w:cs="Open Sans"/>
          <w:b/>
          <w:color w:val="000000"/>
        </w:rPr>
        <w:t xml:space="preserve">Ambas comunidades </w:t>
      </w:r>
      <w:r>
        <w:rPr>
          <w:rFonts w:ascii="Open Sans" w:eastAsia="Open Sans" w:hAnsi="Open Sans" w:cs="Open Sans"/>
          <w:b/>
        </w:rPr>
        <w:t>alcanzan máximos</w:t>
      </w:r>
      <w:r>
        <w:rPr>
          <w:rFonts w:ascii="Open Sans" w:eastAsia="Open Sans" w:hAnsi="Open Sans" w:cs="Open Sans"/>
        </w:rPr>
        <w:t>, superando los precios de los registros del Índice Fotocasa.</w:t>
      </w:r>
      <w:r>
        <w:rPr>
          <w:rFonts w:ascii="Open Sans" w:eastAsia="Open Sans" w:hAnsi="Open Sans" w:cs="Open Sans"/>
          <w:color w:val="000000"/>
        </w:rPr>
        <w:t xml:space="preserve"> Le siguen las comunidades de País Vasco con 3.212 euros/m</w:t>
      </w:r>
      <w:r>
        <w:rPr>
          <w:rFonts w:ascii="Open Sans" w:eastAsia="Open Sans" w:hAnsi="Open Sans" w:cs="Open Sans"/>
          <w:color w:val="000000"/>
          <w:vertAlign w:val="superscript"/>
        </w:rPr>
        <w:t>2</w:t>
      </w:r>
      <w:r>
        <w:rPr>
          <w:rFonts w:ascii="Open Sans" w:eastAsia="Open Sans" w:hAnsi="Open Sans" w:cs="Open Sans"/>
          <w:color w:val="000000"/>
        </w:rPr>
        <w:t>, Cataluña con 2.830 euros/m</w:t>
      </w:r>
      <w:r>
        <w:rPr>
          <w:rFonts w:ascii="Open Sans" w:eastAsia="Open Sans" w:hAnsi="Open Sans" w:cs="Open Sans"/>
          <w:color w:val="000000"/>
          <w:vertAlign w:val="superscript"/>
        </w:rPr>
        <w:t>2</w:t>
      </w:r>
      <w:r>
        <w:rPr>
          <w:rFonts w:ascii="Open Sans" w:eastAsia="Open Sans" w:hAnsi="Open Sans" w:cs="Open Sans"/>
          <w:color w:val="000000"/>
        </w:rPr>
        <w:t>, Canarias con 2.659 euros/m</w:t>
      </w:r>
      <w:r>
        <w:rPr>
          <w:rFonts w:ascii="Open Sans" w:eastAsia="Open Sans" w:hAnsi="Open Sans" w:cs="Open Sans"/>
          <w:color w:val="000000"/>
          <w:vertAlign w:val="superscript"/>
        </w:rPr>
        <w:t>2</w:t>
      </w:r>
      <w:r>
        <w:rPr>
          <w:rFonts w:ascii="Open Sans" w:eastAsia="Open Sans" w:hAnsi="Open Sans" w:cs="Open Sans"/>
          <w:color w:val="000000"/>
        </w:rPr>
        <w:t>, Andalucía con 2.214 euros/m</w:t>
      </w:r>
      <w:r>
        <w:rPr>
          <w:rFonts w:ascii="Open Sans" w:eastAsia="Open Sans" w:hAnsi="Open Sans" w:cs="Open Sans"/>
          <w:color w:val="000000"/>
          <w:vertAlign w:val="superscript"/>
        </w:rPr>
        <w:t>2</w:t>
      </w:r>
      <w:r>
        <w:rPr>
          <w:rFonts w:ascii="Open Sans" w:eastAsia="Open Sans" w:hAnsi="Open Sans" w:cs="Open Sans"/>
          <w:color w:val="000000"/>
        </w:rPr>
        <w:t>, Cantabria con 2.067 euros/m</w:t>
      </w:r>
      <w:r>
        <w:rPr>
          <w:rFonts w:ascii="Open Sans" w:eastAsia="Open Sans" w:hAnsi="Open Sans" w:cs="Open Sans"/>
          <w:color w:val="000000"/>
          <w:vertAlign w:val="superscript"/>
        </w:rPr>
        <w:t>2</w:t>
      </w:r>
      <w:r>
        <w:rPr>
          <w:rFonts w:ascii="Open Sans" w:eastAsia="Open Sans" w:hAnsi="Open Sans" w:cs="Open Sans"/>
          <w:color w:val="000000"/>
        </w:rPr>
        <w:t>, Navarra con 2.063 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2.014 euros/m</w:t>
      </w:r>
      <w:r>
        <w:rPr>
          <w:rFonts w:ascii="Open Sans" w:eastAsia="Open Sans" w:hAnsi="Open Sans" w:cs="Open Sans"/>
          <w:color w:val="000000"/>
          <w:vertAlign w:val="superscript"/>
        </w:rPr>
        <w:t>2</w:t>
      </w:r>
      <w:r>
        <w:rPr>
          <w:rFonts w:ascii="Open Sans" w:eastAsia="Open Sans" w:hAnsi="Open Sans" w:cs="Open Sans"/>
          <w:color w:val="000000"/>
        </w:rPr>
        <w:t>. Por otro lado, las comunidades de Extremadura y Castilla-La Mancha son las más económicas con 1.231 y 1.224 euros por metro cuadrado, respectivamente.</w:t>
      </w:r>
    </w:p>
    <w:p w14:paraId="62DFBD47" w14:textId="77777777" w:rsidR="0083308B" w:rsidRDefault="0083308B">
      <w:pPr>
        <w:spacing w:line="276" w:lineRule="auto"/>
        <w:ind w:right="-574"/>
        <w:jc w:val="center"/>
        <w:rPr>
          <w:rFonts w:ascii="Open Sans Light" w:eastAsia="Open Sans Light" w:hAnsi="Open Sans Light" w:cs="Open Sans Light"/>
          <w:b/>
          <w:color w:val="303AB2"/>
          <w:sz w:val="28"/>
          <w:szCs w:val="28"/>
        </w:rPr>
      </w:pPr>
    </w:p>
    <w:p w14:paraId="2E5D879D" w14:textId="77777777" w:rsidR="00C7624F" w:rsidRDefault="00C7624F">
      <w:pPr>
        <w:spacing w:line="276" w:lineRule="auto"/>
        <w:ind w:right="-574"/>
        <w:jc w:val="center"/>
        <w:rPr>
          <w:rFonts w:ascii="Open Sans Light" w:eastAsia="Open Sans Light" w:hAnsi="Open Sans Light" w:cs="Open Sans Light"/>
          <w:b/>
          <w:color w:val="303AB2"/>
          <w:sz w:val="28"/>
          <w:szCs w:val="28"/>
        </w:rPr>
      </w:pPr>
    </w:p>
    <w:p w14:paraId="072A4B4E" w14:textId="77777777" w:rsidR="00C7624F" w:rsidRDefault="00C7624F">
      <w:pPr>
        <w:spacing w:line="276" w:lineRule="auto"/>
        <w:ind w:right="-574"/>
        <w:jc w:val="center"/>
        <w:rPr>
          <w:rFonts w:ascii="Open Sans Light" w:eastAsia="Open Sans Light" w:hAnsi="Open Sans Light" w:cs="Open Sans Light"/>
          <w:b/>
          <w:color w:val="303AB2"/>
          <w:sz w:val="28"/>
          <w:szCs w:val="28"/>
        </w:rPr>
      </w:pPr>
    </w:p>
    <w:p w14:paraId="5DD5D418" w14:textId="77777777" w:rsidR="00C7624F" w:rsidRDefault="00C7624F">
      <w:pPr>
        <w:spacing w:line="276" w:lineRule="auto"/>
        <w:ind w:right="-574"/>
        <w:jc w:val="center"/>
        <w:rPr>
          <w:rFonts w:ascii="Open Sans Light" w:eastAsia="Open Sans Light" w:hAnsi="Open Sans Light" w:cs="Open Sans Light"/>
          <w:b/>
          <w:color w:val="303AB2"/>
          <w:sz w:val="28"/>
          <w:szCs w:val="28"/>
        </w:rPr>
      </w:pPr>
    </w:p>
    <w:p w14:paraId="3C6D3E4F" w14:textId="77777777" w:rsidR="0083308B"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de la vivienda en el tercer trimestre por CCAA</w:t>
      </w:r>
    </w:p>
    <w:p w14:paraId="45FC3DA8" w14:textId="77777777" w:rsidR="0083308B" w:rsidRDefault="0083308B">
      <w:pPr>
        <w:spacing w:line="276" w:lineRule="auto"/>
        <w:ind w:right="-574"/>
        <w:jc w:val="center"/>
        <w:rPr>
          <w:rFonts w:ascii="Open Sans Light" w:eastAsia="Open Sans Light" w:hAnsi="Open Sans Light" w:cs="Open Sans Light"/>
          <w:b/>
          <w:color w:val="303AB2"/>
          <w:sz w:val="28"/>
          <w:szCs w:val="28"/>
        </w:rPr>
      </w:pPr>
    </w:p>
    <w:p w14:paraId="78D63184" w14:textId="77777777" w:rsidR="0083308B"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482DFDB6" wp14:editId="276B1146">
            <wp:extent cx="5396230" cy="3790950"/>
            <wp:effectExtent l="0" t="0" r="0" b="0"/>
            <wp:docPr id="2112401127" name="image4.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pic:cNvPicPr preferRelativeResize="0"/>
                  </pic:nvPicPr>
                  <pic:blipFill>
                    <a:blip r:embed="rId12"/>
                    <a:srcRect/>
                    <a:stretch>
                      <a:fillRect/>
                    </a:stretch>
                  </pic:blipFill>
                  <pic:spPr>
                    <a:xfrm>
                      <a:off x="0" y="0"/>
                      <a:ext cx="5396230" cy="3790950"/>
                    </a:xfrm>
                    <a:prstGeom prst="rect">
                      <a:avLst/>
                    </a:prstGeom>
                    <a:ln/>
                  </pic:spPr>
                </pic:pic>
              </a:graphicData>
            </a:graphic>
          </wp:inline>
        </w:drawing>
      </w:r>
    </w:p>
    <w:p w14:paraId="4C368CD7" w14:textId="77777777" w:rsidR="0083308B" w:rsidRDefault="0083308B">
      <w:pPr>
        <w:spacing w:line="276" w:lineRule="auto"/>
        <w:ind w:right="-574"/>
        <w:jc w:val="center"/>
        <w:rPr>
          <w:rFonts w:ascii="Open Sans" w:eastAsia="Open Sans" w:hAnsi="Open Sans" w:cs="Open Sans"/>
          <w:color w:val="000000"/>
        </w:rPr>
      </w:pPr>
    </w:p>
    <w:p w14:paraId="4710380B" w14:textId="77777777" w:rsidR="00C7624F" w:rsidRDefault="00C7624F">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63C5DF8E" w14:textId="633A1A4F" w:rsidR="0083308B"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w:t>
      </w:r>
    </w:p>
    <w:p w14:paraId="391E476B"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provincias, este tercer trimestre de 2024 se presenta con </w:t>
      </w:r>
      <w:r>
        <w:rPr>
          <w:rFonts w:ascii="Open Sans" w:eastAsia="Open Sans" w:hAnsi="Open Sans" w:cs="Open Sans"/>
          <w:b/>
          <w:color w:val="000000"/>
        </w:rPr>
        <w:t>38 subidas trimestrales (76%) y 45 subidas interanuales (90%).</w:t>
      </w:r>
      <w:r>
        <w:rPr>
          <w:rFonts w:ascii="Open Sans" w:eastAsia="Open Sans" w:hAnsi="Open Sans" w:cs="Open Sans"/>
          <w:color w:val="000000"/>
        </w:rPr>
        <w:t xml:space="preserve"> Las tres provincias con mayores incrementos trimestrales son</w:t>
      </w:r>
      <w:r>
        <w:t xml:space="preserve"> </w:t>
      </w:r>
      <w:r>
        <w:rPr>
          <w:rFonts w:ascii="Open Sans" w:eastAsia="Open Sans" w:hAnsi="Open Sans" w:cs="Open Sans"/>
          <w:color w:val="000000"/>
        </w:rPr>
        <w:t>Valencia (6,3%), Lugo (5,9%) y Castellón (5,8%). Por otro lado, las tres provincias que presentan los mayores descensos trimestrales son Teruel (-7,5%), Soria (-3,5%) y Ávila (-3,3%).</w:t>
      </w:r>
    </w:p>
    <w:p w14:paraId="59A69EE0"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 </w:t>
      </w:r>
    </w:p>
    <w:p w14:paraId="2B01BF03" w14:textId="77777777" w:rsidR="00C7624F" w:rsidRDefault="00C7624F" w:rsidP="00C7624F">
      <w:pPr>
        <w:spacing w:line="276" w:lineRule="auto"/>
        <w:ind w:right="-574"/>
        <w:jc w:val="both"/>
        <w:rPr>
          <w:rFonts w:ascii="Open Sans" w:eastAsia="Open Sans" w:hAnsi="Open Sans" w:cs="Open Sans"/>
          <w:color w:val="000000"/>
        </w:rPr>
      </w:pPr>
      <w:r>
        <w:rPr>
          <w:rFonts w:ascii="Open Sans" w:eastAsia="Open Sans" w:hAnsi="Open Sans" w:cs="Open Sans"/>
          <w:b/>
          <w:color w:val="000000"/>
        </w:rPr>
        <w:t>En cuanto al ranking de precios por provincias, seis superan la barrera de los 3.000 euros.</w:t>
      </w:r>
      <w:r>
        <w:rPr>
          <w:rFonts w:ascii="Open Sans" w:eastAsia="Open Sans" w:hAnsi="Open Sans" w:cs="Open Sans"/>
          <w:color w:val="000000"/>
        </w:rPr>
        <w:t xml:space="preserve"> El orden de las provincias con el precio de la vivienda más elevado es Illes Balears con 4.428 euros/m</w:t>
      </w:r>
      <w:r>
        <w:rPr>
          <w:rFonts w:ascii="Open Sans" w:eastAsia="Open Sans" w:hAnsi="Open Sans" w:cs="Open Sans"/>
          <w:color w:val="000000"/>
          <w:vertAlign w:val="superscript"/>
        </w:rPr>
        <w:t>2</w:t>
      </w:r>
      <w:r>
        <w:rPr>
          <w:rFonts w:ascii="Open Sans" w:eastAsia="Open Sans" w:hAnsi="Open Sans" w:cs="Open Sans"/>
          <w:color w:val="000000"/>
        </w:rPr>
        <w:t>, Madrid con 4.267 euros/m</w:t>
      </w:r>
      <w:r>
        <w:rPr>
          <w:rFonts w:ascii="Open Sans" w:eastAsia="Open Sans" w:hAnsi="Open Sans" w:cs="Open Sans"/>
          <w:color w:val="000000"/>
          <w:vertAlign w:val="superscript"/>
        </w:rPr>
        <w:t>2</w:t>
      </w:r>
      <w:r>
        <w:rPr>
          <w:rFonts w:ascii="Open Sans" w:eastAsia="Open Sans" w:hAnsi="Open Sans" w:cs="Open Sans"/>
          <w:color w:val="000000"/>
        </w:rPr>
        <w:t>, Málaga con 3.787 euros/m</w:t>
      </w:r>
      <w:r>
        <w:rPr>
          <w:rFonts w:ascii="Open Sans" w:eastAsia="Open Sans" w:hAnsi="Open Sans" w:cs="Open Sans"/>
          <w:color w:val="000000"/>
          <w:vertAlign w:val="superscript"/>
        </w:rPr>
        <w:t>2</w:t>
      </w:r>
      <w:r>
        <w:rPr>
          <w:rFonts w:ascii="Open Sans" w:eastAsia="Open Sans" w:hAnsi="Open Sans" w:cs="Open Sans"/>
          <w:color w:val="000000"/>
        </w:rPr>
        <w:t>, Gipuzkoa con 3.589 euros/m</w:t>
      </w:r>
      <w:r>
        <w:rPr>
          <w:rFonts w:ascii="Open Sans" w:eastAsia="Open Sans" w:hAnsi="Open Sans" w:cs="Open Sans"/>
          <w:color w:val="000000"/>
          <w:vertAlign w:val="superscript"/>
        </w:rPr>
        <w:t>2</w:t>
      </w:r>
      <w:r>
        <w:rPr>
          <w:rFonts w:ascii="Open Sans" w:eastAsia="Open Sans" w:hAnsi="Open Sans" w:cs="Open Sans"/>
          <w:color w:val="000000"/>
        </w:rPr>
        <w:t>, Bizkaia con 3.113 euros/m</w:t>
      </w:r>
      <w:r>
        <w:rPr>
          <w:rFonts w:ascii="Open Sans" w:eastAsia="Open Sans" w:hAnsi="Open Sans" w:cs="Open Sans"/>
          <w:color w:val="000000"/>
          <w:vertAlign w:val="superscript"/>
        </w:rPr>
        <w:t>2</w:t>
      </w:r>
      <w:r>
        <w:rPr>
          <w:rFonts w:ascii="Open Sans" w:eastAsia="Open Sans" w:hAnsi="Open Sans" w:cs="Open Sans"/>
          <w:color w:val="000000"/>
        </w:rPr>
        <w:t xml:space="preserve"> y Barcelona con 3.084 euros/m</w:t>
      </w:r>
      <w:r>
        <w:rPr>
          <w:rFonts w:ascii="Open Sans" w:eastAsia="Open Sans" w:hAnsi="Open Sans" w:cs="Open Sans"/>
          <w:color w:val="000000"/>
          <w:vertAlign w:val="superscript"/>
        </w:rPr>
        <w:t>2</w:t>
      </w:r>
      <w:r>
        <w:rPr>
          <w:rFonts w:ascii="Open Sans" w:eastAsia="Open Sans" w:hAnsi="Open Sans" w:cs="Open Sans"/>
          <w:color w:val="000000"/>
        </w:rPr>
        <w:t>.</w:t>
      </w:r>
    </w:p>
    <w:p w14:paraId="7D098FDB" w14:textId="77777777" w:rsidR="00C7624F" w:rsidRDefault="00C7624F" w:rsidP="00C7624F">
      <w:pPr>
        <w:spacing w:line="276" w:lineRule="auto"/>
        <w:ind w:right="-574"/>
        <w:jc w:val="both"/>
        <w:rPr>
          <w:rFonts w:ascii="Open Sans" w:eastAsia="Open Sans" w:hAnsi="Open Sans" w:cs="Open Sans"/>
          <w:color w:val="000000"/>
        </w:rPr>
      </w:pPr>
    </w:p>
    <w:p w14:paraId="22E643D9" w14:textId="77777777" w:rsidR="00C7624F" w:rsidRDefault="00C7624F">
      <w:pPr>
        <w:spacing w:line="276" w:lineRule="auto"/>
        <w:ind w:right="-574"/>
        <w:jc w:val="both"/>
        <w:rPr>
          <w:rFonts w:ascii="Open Sans" w:eastAsia="Open Sans" w:hAnsi="Open Sans" w:cs="Open Sans"/>
          <w:color w:val="000000"/>
        </w:rPr>
      </w:pPr>
    </w:p>
    <w:p w14:paraId="7620C801" w14:textId="72E0C67B" w:rsidR="0083308B" w:rsidRDefault="00000000" w:rsidP="00C7624F">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tercer trimestre por provincias</w:t>
      </w:r>
    </w:p>
    <w:p w14:paraId="6FC2204E" w14:textId="342B5BB0" w:rsidR="0083308B" w:rsidRDefault="00000000" w:rsidP="00C7624F">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51828252" wp14:editId="46B88869">
            <wp:extent cx="5151120" cy="3947160"/>
            <wp:effectExtent l="0" t="0" r="0" b="0"/>
            <wp:docPr id="2112401130" name="image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pic:cNvPicPr preferRelativeResize="0"/>
                  </pic:nvPicPr>
                  <pic:blipFill>
                    <a:blip r:embed="rId13"/>
                    <a:srcRect/>
                    <a:stretch>
                      <a:fillRect/>
                    </a:stretch>
                  </pic:blipFill>
                  <pic:spPr>
                    <a:xfrm>
                      <a:off x="0" y="0"/>
                      <a:ext cx="5151120" cy="3947160"/>
                    </a:xfrm>
                    <a:prstGeom prst="rect">
                      <a:avLst/>
                    </a:prstGeom>
                    <a:ln/>
                  </pic:spPr>
                </pic:pic>
              </a:graphicData>
            </a:graphic>
          </wp:inline>
        </w:drawing>
      </w:r>
    </w:p>
    <w:p w14:paraId="7B9AC7A6" w14:textId="77777777" w:rsidR="0083308B" w:rsidRDefault="0083308B">
      <w:pPr>
        <w:spacing w:line="276" w:lineRule="auto"/>
        <w:ind w:right="-574"/>
        <w:jc w:val="both"/>
        <w:rPr>
          <w:rFonts w:ascii="Open Sans" w:eastAsia="Open Sans" w:hAnsi="Open Sans" w:cs="Open Sans"/>
          <w:color w:val="000000"/>
        </w:rPr>
      </w:pPr>
    </w:p>
    <w:p w14:paraId="7BEA2210" w14:textId="77777777" w:rsidR="0083308B" w:rsidRDefault="00000000">
      <w:pPr>
        <w:spacing w:line="276" w:lineRule="auto"/>
        <w:ind w:right="-574"/>
        <w:jc w:val="center"/>
        <w:rPr>
          <w:rFonts w:ascii="Open Sans Light" w:eastAsia="Open Sans Light" w:hAnsi="Open Sans Light" w:cs="Open Sans Light"/>
          <w:b/>
          <w:color w:val="303AB2"/>
          <w:sz w:val="28"/>
          <w:szCs w:val="28"/>
        </w:rPr>
      </w:pPr>
      <w:bookmarkStart w:id="0" w:name="_heading=h.gjdgxs" w:colFirst="0" w:colLast="0"/>
      <w:bookmarkEnd w:id="0"/>
      <w:r>
        <w:rPr>
          <w:rFonts w:ascii="Open Sans Light" w:eastAsia="Open Sans Light" w:hAnsi="Open Sans Light" w:cs="Open Sans Light"/>
          <w:b/>
          <w:color w:val="303AB2"/>
          <w:sz w:val="28"/>
          <w:szCs w:val="28"/>
        </w:rPr>
        <w:t>Precio de la vivienda en el tercer trimestre por provincia</w:t>
      </w:r>
    </w:p>
    <w:p w14:paraId="3C2871AB"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064996E5" wp14:editId="7796F0CD">
            <wp:extent cx="5387340" cy="3939540"/>
            <wp:effectExtent l="0" t="0" r="3810" b="3810"/>
            <wp:docPr id="2112401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387340" cy="3939540"/>
                    </a:xfrm>
                    <a:prstGeom prst="rect">
                      <a:avLst/>
                    </a:prstGeom>
                    <a:ln/>
                  </pic:spPr>
                </pic:pic>
              </a:graphicData>
            </a:graphic>
          </wp:inline>
        </w:drawing>
      </w:r>
    </w:p>
    <w:p w14:paraId="11ABDB6F" w14:textId="77777777" w:rsidR="0083308B"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Capitales de provincia</w:t>
      </w:r>
    </w:p>
    <w:p w14:paraId="090DEDCC" w14:textId="77777777" w:rsidR="0083308B" w:rsidRDefault="0083308B">
      <w:pPr>
        <w:spacing w:line="276" w:lineRule="auto"/>
        <w:ind w:right="-574"/>
        <w:rPr>
          <w:rFonts w:ascii="Open Sans Light" w:eastAsia="Open Sans Light" w:hAnsi="Open Sans Light" w:cs="Open Sans Light"/>
          <w:b/>
          <w:color w:val="303AB2"/>
          <w:sz w:val="16"/>
          <w:szCs w:val="16"/>
        </w:rPr>
      </w:pPr>
    </w:p>
    <w:p w14:paraId="76684E9F"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w:t>
      </w:r>
      <w:r>
        <w:rPr>
          <w:rFonts w:ascii="Open Sans" w:eastAsia="Open Sans" w:hAnsi="Open Sans" w:cs="Open Sans"/>
          <w:b/>
          <w:color w:val="000000"/>
        </w:rPr>
        <w:t>capitales de provincias este tercer trimestre de 2024 se presenta con 45 subidas trimestrales (90%) y 50 interanuales (100%).</w:t>
      </w:r>
      <w:r>
        <w:rPr>
          <w:rFonts w:ascii="Open Sans" w:eastAsia="Open Sans" w:hAnsi="Open Sans" w:cs="Open Sans"/>
          <w:color w:val="000000"/>
        </w:rPr>
        <w:t xml:space="preserve"> Las tres capitales con el mayor incremento trimestral son Lugo capital (8,2%), Oviedo (6,5%) y Cádiz capital (5,1%). Por otro lado, las cinco capitales que más han descendido trimestralmente el precio de la vivienda en este periodo son: Soria capital (-2,9%),</w:t>
      </w:r>
    </w:p>
    <w:p w14:paraId="1A9D2DB7"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Guadalajara capital (-1,4%), Teruel capital (-1,3%), Bilbao (-0,7%) y Logroño (-0,02%).</w:t>
      </w:r>
    </w:p>
    <w:p w14:paraId="1AEF7403" w14:textId="77777777" w:rsidR="0083308B" w:rsidRDefault="0083308B">
      <w:pPr>
        <w:spacing w:line="276" w:lineRule="auto"/>
        <w:ind w:right="-574"/>
        <w:jc w:val="both"/>
        <w:rPr>
          <w:rFonts w:ascii="Open Sans Light" w:eastAsia="Open Sans Light" w:hAnsi="Open Sans Light" w:cs="Open Sans Light"/>
          <w:b/>
          <w:color w:val="303AB2"/>
          <w:sz w:val="28"/>
          <w:szCs w:val="28"/>
        </w:rPr>
      </w:pPr>
    </w:p>
    <w:p w14:paraId="61CB1974" w14:textId="74A0D3FE" w:rsidR="0083308B" w:rsidRDefault="00000000" w:rsidP="00C7624F">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tercer trimestre por capitales</w:t>
      </w:r>
    </w:p>
    <w:p w14:paraId="479C5314"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25E42E70" wp14:editId="3DD64951">
            <wp:extent cx="5396230" cy="4159250"/>
            <wp:effectExtent l="0" t="0" r="0" b="0"/>
            <wp:docPr id="2112401132" name="image7.png" descr="Gráf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png" descr="Gráfico&#10;&#10;Descripción generada automáticamente con confianza baja"/>
                    <pic:cNvPicPr preferRelativeResize="0"/>
                  </pic:nvPicPr>
                  <pic:blipFill>
                    <a:blip r:embed="rId15"/>
                    <a:srcRect/>
                    <a:stretch>
                      <a:fillRect/>
                    </a:stretch>
                  </pic:blipFill>
                  <pic:spPr>
                    <a:xfrm>
                      <a:off x="0" y="0"/>
                      <a:ext cx="5396230" cy="4159250"/>
                    </a:xfrm>
                    <a:prstGeom prst="rect">
                      <a:avLst/>
                    </a:prstGeom>
                    <a:ln/>
                  </pic:spPr>
                </pic:pic>
              </a:graphicData>
            </a:graphic>
          </wp:inline>
        </w:drawing>
      </w:r>
    </w:p>
    <w:p w14:paraId="532BFB3C" w14:textId="77777777" w:rsidR="0083308B" w:rsidRDefault="0083308B">
      <w:pPr>
        <w:spacing w:line="276" w:lineRule="auto"/>
        <w:ind w:right="-574"/>
        <w:jc w:val="center"/>
        <w:rPr>
          <w:rFonts w:ascii="Open Sans" w:eastAsia="Open Sans" w:hAnsi="Open Sans" w:cs="Open Sans"/>
          <w:color w:val="000000"/>
        </w:rPr>
      </w:pPr>
    </w:p>
    <w:p w14:paraId="595205E3" w14:textId="77777777" w:rsidR="0083308B" w:rsidRDefault="00000000">
      <w:pPr>
        <w:spacing w:line="276" w:lineRule="auto"/>
        <w:ind w:right="-574"/>
        <w:jc w:val="both"/>
        <w:rPr>
          <w:rFonts w:ascii="Open Sans" w:eastAsia="Open Sans" w:hAnsi="Open Sans" w:cs="Open Sans"/>
        </w:rPr>
      </w:pPr>
      <w:r>
        <w:rPr>
          <w:rFonts w:ascii="Open Sans" w:eastAsia="Open Sans" w:hAnsi="Open Sans" w:cs="Open Sans"/>
          <w:b/>
        </w:rPr>
        <w:t>En cuanto al ranking de precios por capitales, ocho capitales superan la barrera de los 3.000 euros</w:t>
      </w:r>
      <w:r>
        <w:rPr>
          <w:rFonts w:ascii="Open Sans" w:eastAsia="Open Sans" w:hAnsi="Open Sans" w:cs="Open Sans"/>
        </w:rPr>
        <w:t xml:space="preserve"> y son: Donostia - San Sebastián con 6.442 euros/m</w:t>
      </w:r>
      <w:r>
        <w:rPr>
          <w:rFonts w:ascii="Open Sans" w:eastAsia="Open Sans" w:hAnsi="Open Sans" w:cs="Open Sans"/>
          <w:vertAlign w:val="superscript"/>
        </w:rPr>
        <w:t>2</w:t>
      </w:r>
      <w:r>
        <w:rPr>
          <w:rFonts w:ascii="Open Sans" w:eastAsia="Open Sans" w:hAnsi="Open Sans" w:cs="Open Sans"/>
        </w:rPr>
        <w:t>, Madrid capital con 5.390 euros/m</w:t>
      </w:r>
      <w:r>
        <w:rPr>
          <w:rFonts w:ascii="Open Sans" w:eastAsia="Open Sans" w:hAnsi="Open Sans" w:cs="Open Sans"/>
          <w:vertAlign w:val="superscript"/>
        </w:rPr>
        <w:t>2</w:t>
      </w:r>
      <w:r>
        <w:rPr>
          <w:rFonts w:ascii="Open Sans" w:eastAsia="Open Sans" w:hAnsi="Open Sans" w:cs="Open Sans"/>
        </w:rPr>
        <w:t>, Barcelona capital con 4.753 euros/m</w:t>
      </w:r>
      <w:r>
        <w:rPr>
          <w:rFonts w:ascii="Open Sans" w:eastAsia="Open Sans" w:hAnsi="Open Sans" w:cs="Open Sans"/>
          <w:vertAlign w:val="superscript"/>
        </w:rPr>
        <w:t>2</w:t>
      </w:r>
      <w:r>
        <w:rPr>
          <w:rFonts w:ascii="Open Sans" w:eastAsia="Open Sans" w:hAnsi="Open Sans" w:cs="Open Sans"/>
        </w:rPr>
        <w:t>, Palma de Mallorca con 4.440 euros/m</w:t>
      </w:r>
      <w:r>
        <w:rPr>
          <w:rFonts w:ascii="Open Sans" w:eastAsia="Open Sans" w:hAnsi="Open Sans" w:cs="Open Sans"/>
          <w:vertAlign w:val="superscript"/>
        </w:rPr>
        <w:t>2</w:t>
      </w:r>
      <w:r>
        <w:rPr>
          <w:rFonts w:ascii="Open Sans" w:eastAsia="Open Sans" w:hAnsi="Open Sans" w:cs="Open Sans"/>
        </w:rPr>
        <w:t>, Málaga capital con 3.903 euros/m</w:t>
      </w:r>
      <w:r>
        <w:rPr>
          <w:rFonts w:ascii="Open Sans" w:eastAsia="Open Sans" w:hAnsi="Open Sans" w:cs="Open Sans"/>
          <w:vertAlign w:val="superscript"/>
        </w:rPr>
        <w:t>2</w:t>
      </w:r>
      <w:r>
        <w:rPr>
          <w:rFonts w:ascii="Open Sans" w:eastAsia="Open Sans" w:hAnsi="Open Sans" w:cs="Open Sans"/>
        </w:rPr>
        <w:t>, Bilbao con 3.604 euros/m</w:t>
      </w:r>
      <w:r>
        <w:rPr>
          <w:rFonts w:ascii="Open Sans" w:eastAsia="Open Sans" w:hAnsi="Open Sans" w:cs="Open Sans"/>
          <w:vertAlign w:val="superscript"/>
        </w:rPr>
        <w:t>2</w:t>
      </w:r>
      <w:r>
        <w:rPr>
          <w:rFonts w:ascii="Open Sans" w:eastAsia="Open Sans" w:hAnsi="Open Sans" w:cs="Open Sans"/>
        </w:rPr>
        <w:t>, Cádiz capital con 3.132 euros/m</w:t>
      </w:r>
      <w:r>
        <w:rPr>
          <w:rFonts w:ascii="Open Sans" w:eastAsia="Open Sans" w:hAnsi="Open Sans" w:cs="Open Sans"/>
          <w:vertAlign w:val="superscript"/>
        </w:rPr>
        <w:t>2</w:t>
      </w:r>
      <w:r>
        <w:rPr>
          <w:rFonts w:ascii="Open Sans" w:eastAsia="Open Sans" w:hAnsi="Open Sans" w:cs="Open Sans"/>
        </w:rPr>
        <w:t xml:space="preserve"> y Pamplona / Iruña con 3.114 euros/m</w:t>
      </w:r>
      <w:r>
        <w:rPr>
          <w:rFonts w:ascii="Open Sans" w:eastAsia="Open Sans" w:hAnsi="Open Sans" w:cs="Open Sans"/>
          <w:vertAlign w:val="superscript"/>
        </w:rPr>
        <w:t>2</w:t>
      </w:r>
      <w:r>
        <w:rPr>
          <w:rFonts w:ascii="Open Sans" w:eastAsia="Open Sans" w:hAnsi="Open Sans" w:cs="Open Sans"/>
        </w:rPr>
        <w:t>.</w:t>
      </w:r>
    </w:p>
    <w:p w14:paraId="2C0FB4AC" w14:textId="77777777" w:rsidR="00D967A0" w:rsidRDefault="00D967A0">
      <w:pPr>
        <w:spacing w:line="276" w:lineRule="auto"/>
        <w:ind w:right="-574"/>
        <w:jc w:val="both"/>
        <w:rPr>
          <w:rFonts w:ascii="Open Sans" w:eastAsia="Open Sans" w:hAnsi="Open Sans" w:cs="Open Sans"/>
        </w:rPr>
      </w:pPr>
    </w:p>
    <w:p w14:paraId="495E2280" w14:textId="77777777" w:rsidR="0083308B"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de la vivienda en el tercer trimestre por capitales</w:t>
      </w:r>
    </w:p>
    <w:p w14:paraId="30C6E012" w14:textId="77777777" w:rsidR="0083308B"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60C77EF7" wp14:editId="605EC210">
            <wp:extent cx="5396230" cy="4028440"/>
            <wp:effectExtent l="0" t="0" r="0" b="0"/>
            <wp:docPr id="2112401131" name="image3.png" descr="Gráfico, 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Icono&#10;&#10;Descripción generada automáticamente"/>
                    <pic:cNvPicPr preferRelativeResize="0"/>
                  </pic:nvPicPr>
                  <pic:blipFill>
                    <a:blip r:embed="rId16"/>
                    <a:srcRect/>
                    <a:stretch>
                      <a:fillRect/>
                    </a:stretch>
                  </pic:blipFill>
                  <pic:spPr>
                    <a:xfrm>
                      <a:off x="0" y="0"/>
                      <a:ext cx="5396230" cy="4028440"/>
                    </a:xfrm>
                    <a:prstGeom prst="rect">
                      <a:avLst/>
                    </a:prstGeom>
                    <a:ln/>
                  </pic:spPr>
                </pic:pic>
              </a:graphicData>
            </a:graphic>
          </wp:inline>
        </w:drawing>
      </w:r>
    </w:p>
    <w:p w14:paraId="588ED440" w14:textId="77777777" w:rsidR="0083308B" w:rsidRDefault="0083308B">
      <w:pPr>
        <w:spacing w:line="276" w:lineRule="auto"/>
        <w:ind w:right="-574"/>
        <w:jc w:val="both"/>
        <w:rPr>
          <w:rFonts w:ascii="Open Sans Light" w:eastAsia="Open Sans Light" w:hAnsi="Open Sans Light" w:cs="Open Sans Light"/>
          <w:b/>
          <w:color w:val="303AB2"/>
          <w:sz w:val="28"/>
          <w:szCs w:val="28"/>
        </w:rPr>
      </w:pPr>
    </w:p>
    <w:p w14:paraId="7A71808D" w14:textId="77777777" w:rsidR="0083308B" w:rsidRDefault="00000000">
      <w:pPr>
        <w:spacing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 de España</w:t>
      </w:r>
    </w:p>
    <w:p w14:paraId="6F5D913D" w14:textId="77777777" w:rsidR="0083308B" w:rsidRDefault="0083308B">
      <w:pPr>
        <w:spacing w:line="276" w:lineRule="auto"/>
        <w:ind w:right="-574"/>
        <w:jc w:val="both"/>
        <w:rPr>
          <w:rFonts w:ascii="Open Sans" w:eastAsia="Open Sans" w:hAnsi="Open Sans" w:cs="Open Sans"/>
          <w:color w:val="000000"/>
        </w:rPr>
      </w:pPr>
    </w:p>
    <w:p w14:paraId="7399C047"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las 840 ciudades españolas analizadas por </w:t>
      </w:r>
      <w:hyperlink r:id="rId17">
        <w:r>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 xml:space="preserve">con variación trimestral en septiembre de 2024, en el 70% de ellas (71% en marzo) se producen incrementos en el precio de la vivienda por metro cuadrado. </w:t>
      </w:r>
    </w:p>
    <w:p w14:paraId="6C724C04" w14:textId="77777777" w:rsidR="0083308B" w:rsidRDefault="0083308B">
      <w:pPr>
        <w:spacing w:line="276" w:lineRule="auto"/>
        <w:ind w:right="-574"/>
        <w:jc w:val="both"/>
        <w:rPr>
          <w:rFonts w:ascii="Open Sans" w:eastAsia="Open Sans" w:hAnsi="Open Sans" w:cs="Open Sans"/>
          <w:color w:val="000000"/>
        </w:rPr>
      </w:pPr>
    </w:p>
    <w:p w14:paraId="77DB28C4"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estas subidas trimestrales, </w:t>
      </w:r>
      <w:r>
        <w:rPr>
          <w:rFonts w:ascii="Open Sans" w:eastAsia="Open Sans" w:hAnsi="Open Sans" w:cs="Open Sans"/>
          <w:b/>
          <w:color w:val="000000"/>
        </w:rPr>
        <w:t xml:space="preserve">en 56 ciudades </w:t>
      </w:r>
      <w:r>
        <w:rPr>
          <w:rFonts w:ascii="Open Sans" w:eastAsia="Open Sans" w:hAnsi="Open Sans" w:cs="Open Sans"/>
          <w:color w:val="000000"/>
        </w:rPr>
        <w:t>(47 en marzo y 66 en junio)</w:t>
      </w:r>
      <w:r>
        <w:rPr>
          <w:rFonts w:ascii="Open Sans" w:eastAsia="Open Sans" w:hAnsi="Open Sans" w:cs="Open Sans"/>
          <w:b/>
          <w:color w:val="000000"/>
        </w:rPr>
        <w:t xml:space="preserve"> el incremento del precio ha estado por encima del 10%.</w:t>
      </w:r>
      <w:r>
        <w:rPr>
          <w:rFonts w:ascii="Open Sans" w:eastAsia="Open Sans" w:hAnsi="Open Sans" w:cs="Open Sans"/>
          <w:color w:val="000000"/>
        </w:rPr>
        <w:t xml:space="preserve"> La ciudad de Carcaixent (Valencia) ha visto disparar los precios del metro cuadrado de vivienda un 70,6%. A ésta, se le suman los también altos incrementos trimestrales de las ciudades de Santa Eulària des </w:t>
      </w:r>
      <w:proofErr w:type="spellStart"/>
      <w:r>
        <w:rPr>
          <w:rFonts w:ascii="Open Sans" w:eastAsia="Open Sans" w:hAnsi="Open Sans" w:cs="Open Sans"/>
          <w:color w:val="000000"/>
        </w:rPr>
        <w:t>Riu</w:t>
      </w:r>
      <w:proofErr w:type="spellEnd"/>
      <w:r>
        <w:rPr>
          <w:rFonts w:ascii="Open Sans" w:eastAsia="Open Sans" w:hAnsi="Open Sans" w:cs="Open Sans"/>
          <w:color w:val="000000"/>
        </w:rPr>
        <w:t xml:space="preserve"> (40,7%), Marín (35,4%), Monforte del Cid (30,8%), Pinos Puente (30,3%), </w:t>
      </w:r>
      <w:proofErr w:type="spellStart"/>
      <w:r>
        <w:rPr>
          <w:rFonts w:ascii="Open Sans" w:eastAsia="Open Sans" w:hAnsi="Open Sans" w:cs="Open Sans"/>
          <w:color w:val="000000"/>
        </w:rPr>
        <w:t>Xeraco</w:t>
      </w:r>
      <w:proofErr w:type="spellEnd"/>
      <w:r>
        <w:rPr>
          <w:rFonts w:ascii="Open Sans" w:eastAsia="Open Sans" w:hAnsi="Open Sans" w:cs="Open Sans"/>
          <w:color w:val="000000"/>
        </w:rPr>
        <w:t xml:space="preserve"> (30,3%), Carlet (26,3%), Cangas (25,8%), Huétor Vega (25,2%), </w:t>
      </w:r>
      <w:proofErr w:type="spellStart"/>
      <w:r>
        <w:rPr>
          <w:rFonts w:ascii="Open Sans" w:eastAsia="Open Sans" w:hAnsi="Open Sans" w:cs="Open Sans"/>
          <w:color w:val="000000"/>
        </w:rPr>
        <w:t>L'Alcúdia</w:t>
      </w:r>
      <w:proofErr w:type="spellEnd"/>
      <w:r>
        <w:rPr>
          <w:rFonts w:ascii="Open Sans" w:eastAsia="Open Sans" w:hAnsi="Open Sans" w:cs="Open Sans"/>
          <w:color w:val="000000"/>
        </w:rPr>
        <w:t xml:space="preserve"> (22,5%), Villanueva del </w:t>
      </w:r>
      <w:proofErr w:type="gramStart"/>
      <w:r>
        <w:rPr>
          <w:rFonts w:ascii="Open Sans" w:eastAsia="Open Sans" w:hAnsi="Open Sans" w:cs="Open Sans"/>
          <w:color w:val="000000"/>
        </w:rPr>
        <w:t>Arzobispo</w:t>
      </w:r>
      <w:proofErr w:type="gramEnd"/>
      <w:r>
        <w:rPr>
          <w:rFonts w:ascii="Open Sans" w:eastAsia="Open Sans" w:hAnsi="Open Sans" w:cs="Open Sans"/>
          <w:color w:val="000000"/>
        </w:rPr>
        <w:t xml:space="preserve"> (22,2%), Godella (21,9%) y Icod de los Vinos (21,5%).</w:t>
      </w:r>
    </w:p>
    <w:p w14:paraId="2DB7D606" w14:textId="77777777" w:rsidR="0083308B"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b/>
          <w:color w:val="000000"/>
        </w:rPr>
        <w:t>Si en junio eran 13 los municipios (diez en marzo) con precios superiores los 5.000 euros/m</w:t>
      </w:r>
      <w:r>
        <w:rPr>
          <w:rFonts w:ascii="Open Sans" w:eastAsia="Open Sans" w:hAnsi="Open Sans" w:cs="Open Sans"/>
          <w:b/>
          <w:color w:val="000000"/>
          <w:vertAlign w:val="superscript"/>
        </w:rPr>
        <w:t>2</w:t>
      </w:r>
      <w:r>
        <w:rPr>
          <w:rFonts w:ascii="Open Sans" w:eastAsia="Open Sans" w:hAnsi="Open Sans" w:cs="Open Sans"/>
          <w:b/>
          <w:color w:val="000000"/>
        </w:rPr>
        <w:t>, tres meses después son ya 16 las ciudades que lo superan</w:t>
      </w:r>
      <w:r>
        <w:rPr>
          <w:rFonts w:ascii="Open Sans" w:eastAsia="Open Sans" w:hAnsi="Open Sans" w:cs="Open Sans"/>
          <w:color w:val="000000"/>
        </w:rPr>
        <w:t xml:space="preserve"> y </w:t>
      </w:r>
      <w:r>
        <w:rPr>
          <w:rFonts w:ascii="Open Sans" w:eastAsia="Open Sans" w:hAnsi="Open Sans" w:cs="Open Sans"/>
          <w:color w:val="000000"/>
          <w:sz w:val="22"/>
          <w:szCs w:val="22"/>
        </w:rPr>
        <w:t xml:space="preserve">son: Santa Eulària des </w:t>
      </w:r>
      <w:proofErr w:type="spellStart"/>
      <w:r>
        <w:rPr>
          <w:rFonts w:ascii="Open Sans" w:eastAsia="Open Sans" w:hAnsi="Open Sans" w:cs="Open Sans"/>
          <w:color w:val="000000"/>
          <w:sz w:val="22"/>
          <w:szCs w:val="22"/>
        </w:rPr>
        <w:t>Riu</w:t>
      </w:r>
      <w:proofErr w:type="spellEnd"/>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8.215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Eivissa</w:t>
      </w:r>
      <w:r>
        <w:rPr>
          <w:rFonts w:ascii="Open Sans" w:eastAsia="Open Sans" w:hAnsi="Open Sans" w:cs="Open Sans"/>
          <w:color w:val="000000"/>
        </w:rPr>
        <w:t xml:space="preserve"> con </w:t>
      </w:r>
      <w:r>
        <w:rPr>
          <w:rFonts w:ascii="Open Sans" w:eastAsia="Open Sans" w:hAnsi="Open Sans" w:cs="Open Sans"/>
          <w:color w:val="000000"/>
          <w:sz w:val="22"/>
          <w:szCs w:val="22"/>
        </w:rPr>
        <w:t xml:space="preserve">6.746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Zarautz</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w:t>
      </w:r>
      <w:r>
        <w:rPr>
          <w:rFonts w:ascii="Open Sans" w:eastAsia="Open Sans" w:hAnsi="Open Sans" w:cs="Open Sans"/>
          <w:color w:val="000000"/>
          <w:sz w:val="22"/>
          <w:szCs w:val="22"/>
        </w:rPr>
        <w:lastRenderedPageBreak/>
        <w:t xml:space="preserve">6.572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Donostia - San Sebastián</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6.442</w:t>
      </w:r>
      <w:r>
        <w:rPr>
          <w:rFonts w:ascii="Open Sans" w:eastAsia="Open Sans" w:hAnsi="Open Sans" w:cs="Open Sans"/>
          <w:color w:val="000000"/>
        </w:rPr>
        <w:t xml:space="preserve">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Andratx</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6.285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Calvià</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6.160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La Moraleja</w:t>
      </w:r>
      <w:r>
        <w:rPr>
          <w:rFonts w:ascii="Open Sans" w:eastAsia="Open Sans" w:hAnsi="Open Sans" w:cs="Open Sans"/>
          <w:color w:val="000000"/>
        </w:rPr>
        <w:t xml:space="preserve"> con </w:t>
      </w:r>
      <w:r>
        <w:rPr>
          <w:rFonts w:ascii="Open Sans" w:eastAsia="Open Sans" w:hAnsi="Open Sans" w:cs="Open Sans"/>
          <w:color w:val="000000"/>
          <w:sz w:val="22"/>
          <w:szCs w:val="22"/>
        </w:rPr>
        <w:t xml:space="preserve">5.985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 xml:space="preserve">Sant Josep de </w:t>
      </w:r>
      <w:proofErr w:type="spellStart"/>
      <w:r>
        <w:rPr>
          <w:rFonts w:ascii="Open Sans" w:eastAsia="Open Sans" w:hAnsi="Open Sans" w:cs="Open Sans"/>
          <w:color w:val="000000"/>
          <w:sz w:val="22"/>
          <w:szCs w:val="22"/>
        </w:rPr>
        <w:t>sa</w:t>
      </w:r>
      <w:proofErr w:type="spellEnd"/>
      <w:r>
        <w:rPr>
          <w:rFonts w:ascii="Open Sans" w:eastAsia="Open Sans" w:hAnsi="Open Sans" w:cs="Open Sans"/>
          <w:color w:val="000000"/>
          <w:sz w:val="22"/>
          <w:szCs w:val="22"/>
        </w:rPr>
        <w:t xml:space="preserve"> Talaia</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5.834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Madrid capital</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5.390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Sant Antoni de Portmany</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5.306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Sant Cugat del Vallès</w:t>
      </w:r>
      <w:r>
        <w:rPr>
          <w:rFonts w:ascii="Open Sans" w:eastAsia="Open Sans" w:hAnsi="Open Sans" w:cs="Open Sans"/>
          <w:color w:val="000000"/>
        </w:rPr>
        <w:t xml:space="preserve"> con </w:t>
      </w:r>
      <w:r>
        <w:rPr>
          <w:rFonts w:ascii="Open Sans" w:eastAsia="Open Sans" w:hAnsi="Open Sans" w:cs="Open Sans"/>
          <w:color w:val="000000"/>
          <w:sz w:val="22"/>
          <w:szCs w:val="22"/>
        </w:rPr>
        <w:t xml:space="preserve">5.247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Sitges</w:t>
      </w:r>
      <w:r>
        <w:rPr>
          <w:rFonts w:ascii="Open Sans" w:eastAsia="Open Sans" w:hAnsi="Open Sans" w:cs="Open Sans"/>
          <w:color w:val="000000"/>
        </w:rPr>
        <w:t xml:space="preserve"> con </w:t>
      </w:r>
      <w:r>
        <w:rPr>
          <w:rFonts w:ascii="Open Sans" w:eastAsia="Open Sans" w:hAnsi="Open Sans" w:cs="Open Sans"/>
          <w:color w:val="000000"/>
          <w:sz w:val="22"/>
          <w:szCs w:val="22"/>
        </w:rPr>
        <w:t xml:space="preserve">5.221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Santanyí</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5.124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Campos</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5.113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sz w:val="22"/>
          <w:szCs w:val="22"/>
        </w:rPr>
        <w:t>Marbella</w:t>
      </w:r>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5.063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proofErr w:type="spellStart"/>
      <w:r>
        <w:rPr>
          <w:rFonts w:ascii="Open Sans" w:eastAsia="Open Sans" w:hAnsi="Open Sans" w:cs="Open Sans"/>
          <w:color w:val="000000"/>
          <w:sz w:val="22"/>
          <w:szCs w:val="22"/>
        </w:rPr>
        <w:t>Benahavís</w:t>
      </w:r>
      <w:proofErr w:type="spellEnd"/>
      <w:r>
        <w:rPr>
          <w:rFonts w:ascii="Open Sans" w:eastAsia="Open Sans" w:hAnsi="Open Sans" w:cs="Open Sans"/>
          <w:color w:val="000000"/>
        </w:rPr>
        <w:t xml:space="preserve"> con</w:t>
      </w:r>
      <w:r>
        <w:rPr>
          <w:rFonts w:ascii="Open Sans" w:eastAsia="Open Sans" w:hAnsi="Open Sans" w:cs="Open Sans"/>
          <w:color w:val="000000"/>
          <w:sz w:val="22"/>
          <w:szCs w:val="22"/>
        </w:rPr>
        <w:t xml:space="preserve"> 5.038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w:t>
      </w:r>
    </w:p>
    <w:p w14:paraId="009A7089" w14:textId="77777777" w:rsidR="0083308B"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Por otro lado, son 12 los municipios más económicos y con precios inferiores a los 700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Tobarra</w:t>
      </w:r>
      <w:proofErr w:type="spellEnd"/>
      <w:r>
        <w:rPr>
          <w:rFonts w:ascii="Open Sans" w:eastAsia="Open Sans" w:hAnsi="Open Sans" w:cs="Open Sans"/>
          <w:color w:val="000000"/>
        </w:rPr>
        <w:t xml:space="preserve"> con 641 euros/m</w:t>
      </w:r>
      <w:r>
        <w:rPr>
          <w:rFonts w:ascii="Open Sans" w:eastAsia="Open Sans" w:hAnsi="Open Sans" w:cs="Open Sans"/>
          <w:color w:val="000000"/>
          <w:vertAlign w:val="superscript"/>
        </w:rPr>
        <w:t>2</w:t>
      </w:r>
      <w:r>
        <w:rPr>
          <w:rFonts w:ascii="Open Sans" w:eastAsia="Open Sans" w:hAnsi="Open Sans" w:cs="Open Sans"/>
          <w:color w:val="000000"/>
        </w:rPr>
        <w:t>, La Carolina con 644 euros/m</w:t>
      </w:r>
      <w:r>
        <w:rPr>
          <w:rFonts w:ascii="Open Sans" w:eastAsia="Open Sans" w:hAnsi="Open Sans" w:cs="Open Sans"/>
          <w:color w:val="000000"/>
          <w:vertAlign w:val="superscript"/>
        </w:rPr>
        <w:t>2</w:t>
      </w:r>
      <w:r>
        <w:rPr>
          <w:rFonts w:ascii="Open Sans" w:eastAsia="Open Sans" w:hAnsi="Open Sans" w:cs="Open Sans"/>
          <w:color w:val="000000"/>
        </w:rPr>
        <w:t>, Mondéjar con 644 euros/m</w:t>
      </w:r>
      <w:r>
        <w:rPr>
          <w:rFonts w:ascii="Open Sans" w:eastAsia="Open Sans" w:hAnsi="Open Sans" w:cs="Open Sans"/>
          <w:color w:val="000000"/>
          <w:vertAlign w:val="superscript"/>
        </w:rPr>
        <w:t>2</w:t>
      </w:r>
      <w:r>
        <w:rPr>
          <w:rFonts w:ascii="Open Sans" w:eastAsia="Open Sans" w:hAnsi="Open Sans" w:cs="Open Sans"/>
          <w:color w:val="000000"/>
        </w:rPr>
        <w:t>, Montijo con 652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Lorquí</w:t>
      </w:r>
      <w:proofErr w:type="spellEnd"/>
      <w:r>
        <w:rPr>
          <w:rFonts w:ascii="Open Sans" w:eastAsia="Open Sans" w:hAnsi="Open Sans" w:cs="Open Sans"/>
          <w:color w:val="000000"/>
        </w:rPr>
        <w:t xml:space="preserve"> con 663 euros/m</w:t>
      </w:r>
      <w:r>
        <w:rPr>
          <w:rFonts w:ascii="Open Sans" w:eastAsia="Open Sans" w:hAnsi="Open Sans" w:cs="Open Sans"/>
          <w:color w:val="000000"/>
          <w:vertAlign w:val="superscript"/>
        </w:rPr>
        <w:t>2</w:t>
      </w:r>
      <w:r>
        <w:rPr>
          <w:rFonts w:ascii="Open Sans" w:eastAsia="Open Sans" w:hAnsi="Open Sans" w:cs="Open Sans"/>
          <w:color w:val="000000"/>
        </w:rPr>
        <w:t>, Torreperogil con 666 euros/m</w:t>
      </w:r>
      <w:r>
        <w:rPr>
          <w:rFonts w:ascii="Open Sans" w:eastAsia="Open Sans" w:hAnsi="Open Sans" w:cs="Open Sans"/>
          <w:color w:val="000000"/>
          <w:vertAlign w:val="superscript"/>
        </w:rPr>
        <w:t>2</w:t>
      </w:r>
      <w:r>
        <w:rPr>
          <w:rFonts w:ascii="Open Sans" w:eastAsia="Open Sans" w:hAnsi="Open Sans" w:cs="Open Sans"/>
          <w:color w:val="000000"/>
        </w:rPr>
        <w:t>, Calasparra con 677 euros/m</w:t>
      </w:r>
      <w:r>
        <w:rPr>
          <w:rFonts w:ascii="Open Sans" w:eastAsia="Open Sans" w:hAnsi="Open Sans" w:cs="Open Sans"/>
          <w:color w:val="000000"/>
          <w:vertAlign w:val="superscript"/>
        </w:rPr>
        <w:t>2</w:t>
      </w:r>
      <w:r>
        <w:rPr>
          <w:rFonts w:ascii="Open Sans" w:eastAsia="Open Sans" w:hAnsi="Open Sans" w:cs="Open Sans"/>
          <w:color w:val="000000"/>
        </w:rPr>
        <w:t>, Argamasilla de Calatrava con 678 euros/m</w:t>
      </w:r>
      <w:r>
        <w:rPr>
          <w:rFonts w:ascii="Open Sans" w:eastAsia="Open Sans" w:hAnsi="Open Sans" w:cs="Open Sans"/>
          <w:color w:val="000000"/>
          <w:vertAlign w:val="superscript"/>
        </w:rPr>
        <w:t>2</w:t>
      </w:r>
      <w:r>
        <w:rPr>
          <w:rFonts w:ascii="Open Sans" w:eastAsia="Open Sans" w:hAnsi="Open Sans" w:cs="Open Sans"/>
          <w:color w:val="000000"/>
        </w:rPr>
        <w:t>, Mancha Real con 679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Jamilena</w:t>
      </w:r>
      <w:proofErr w:type="spellEnd"/>
      <w:r>
        <w:rPr>
          <w:rFonts w:ascii="Open Sans" w:eastAsia="Open Sans" w:hAnsi="Open Sans" w:cs="Open Sans"/>
          <w:color w:val="000000"/>
        </w:rPr>
        <w:t xml:space="preserve"> con 688 euros/m</w:t>
      </w:r>
      <w:r>
        <w:rPr>
          <w:rFonts w:ascii="Open Sans" w:eastAsia="Open Sans" w:hAnsi="Open Sans" w:cs="Open Sans"/>
          <w:color w:val="000000"/>
          <w:vertAlign w:val="superscript"/>
        </w:rPr>
        <w:t>2</w:t>
      </w:r>
      <w:r>
        <w:rPr>
          <w:rFonts w:ascii="Open Sans" w:eastAsia="Open Sans" w:hAnsi="Open Sans" w:cs="Open Sans"/>
          <w:color w:val="000000"/>
        </w:rPr>
        <w:t>, Peñarroya-Pueblonuevo con 691 euros/m</w:t>
      </w:r>
      <w:r>
        <w:rPr>
          <w:rFonts w:ascii="Open Sans" w:eastAsia="Open Sans" w:hAnsi="Open Sans" w:cs="Open Sans"/>
          <w:color w:val="000000"/>
          <w:vertAlign w:val="superscript"/>
        </w:rPr>
        <w:t>2</w:t>
      </w:r>
      <w:r>
        <w:rPr>
          <w:rFonts w:ascii="Open Sans" w:eastAsia="Open Sans" w:hAnsi="Open Sans" w:cs="Open Sans"/>
          <w:color w:val="000000"/>
        </w:rPr>
        <w:t xml:space="preserve"> y Canals con 698 euros/m</w:t>
      </w:r>
      <w:r>
        <w:rPr>
          <w:rFonts w:ascii="Open Sans" w:eastAsia="Open Sans" w:hAnsi="Open Sans" w:cs="Open Sans"/>
          <w:color w:val="000000"/>
          <w:vertAlign w:val="superscript"/>
        </w:rPr>
        <w:t>2</w:t>
      </w:r>
      <w:r>
        <w:rPr>
          <w:rFonts w:ascii="Open Sans" w:eastAsia="Open Sans" w:hAnsi="Open Sans" w:cs="Open Sans"/>
          <w:color w:val="000000"/>
        </w:rPr>
        <w:t>.</w:t>
      </w:r>
    </w:p>
    <w:p w14:paraId="3FDBEEC4" w14:textId="77777777" w:rsidR="0083308B"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7363BB7B"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17 de los 21 distritos con variación trimestral analizados por </w:t>
      </w:r>
      <w:hyperlink r:id="rId18">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 Ciudad Lineal (8,6%), Moncloa – Aravaca (7,4%), Retiro (6,9%), Fuencarral - El Pardo (6,9%), Barrio de Salamanca (5,9%), Latina (5,8%), Arganzuela (4,7%), San Blas (4,6%), Barajas (4,5%), Hortaleza (3,9%), Villaverde (2,5%), Vicálvaro (2,4%), Moratalaz (2,1%), Carabanchel (1,9%), Puente de Vallecas (1,9%), Usera (1,8%) y Chamartín (0,2%).</w:t>
      </w:r>
    </w:p>
    <w:p w14:paraId="541C40AA" w14:textId="77777777" w:rsidR="0083308B" w:rsidRDefault="00000000">
      <w:pPr>
        <w:pBdr>
          <w:top w:val="nil"/>
          <w:left w:val="nil"/>
          <w:bottom w:val="nil"/>
          <w:right w:val="nil"/>
          <w:between w:val="nil"/>
        </w:pBdr>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Así, </w:t>
      </w:r>
      <w:r>
        <w:rPr>
          <w:rFonts w:ascii="Open Sans" w:eastAsia="Open Sans" w:hAnsi="Open Sans" w:cs="Open Sans"/>
          <w:b/>
          <w:color w:val="000000"/>
        </w:rPr>
        <w:t xml:space="preserve">Ciudad Lineal, </w:t>
      </w:r>
      <w:r>
        <w:rPr>
          <w:rFonts w:ascii="Open Sans" w:eastAsia="Open Sans" w:hAnsi="Open Sans" w:cs="Open Sans"/>
          <w:color w:val="000000"/>
        </w:rPr>
        <w:t>el distrito con la mayor subida trimestral (8,6%),</w:t>
      </w:r>
      <w:r>
        <w:rPr>
          <w:rFonts w:ascii="Open Sans" w:eastAsia="Open Sans" w:hAnsi="Open Sans" w:cs="Open Sans"/>
          <w:b/>
          <w:color w:val="000000"/>
        </w:rPr>
        <w:t xml:space="preserve"> lleva cuatro meses con incrementos interanuales en cadena superiores al 10%.</w:t>
      </w:r>
      <w:r>
        <w:rPr>
          <w:rFonts w:ascii="Open Sans" w:eastAsia="Open Sans" w:hAnsi="Open Sans" w:cs="Open Sans"/>
          <w:color w:val="000000"/>
        </w:rPr>
        <w:t xml:space="preserve"> De esta manera, Ciudad Lineal</w:t>
      </w:r>
      <w:r>
        <w:rPr>
          <w:rFonts w:ascii="Open Sans" w:eastAsia="Open Sans" w:hAnsi="Open Sans" w:cs="Open Sans"/>
          <w:b/>
          <w:color w:val="000000"/>
        </w:rPr>
        <w:t xml:space="preserve"> ha pasado de una variación interanual del 1,5% de septiembre de 2023 al 17,7% detectado en el mismo periodo de 2024.</w:t>
      </w:r>
    </w:p>
    <w:p w14:paraId="5AE991A6"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septiembre, vemos que son siete los distritos con precios superiores a los 5.000 euros/m</w:t>
      </w:r>
      <w:r>
        <w:rPr>
          <w:rFonts w:ascii="Open Sans" w:eastAsia="Open Sans" w:hAnsi="Open Sans" w:cs="Open Sans"/>
          <w:color w:val="000000"/>
          <w:vertAlign w:val="superscript"/>
        </w:rPr>
        <w:t>2</w:t>
      </w:r>
      <w:r>
        <w:rPr>
          <w:rFonts w:ascii="Open Sans" w:eastAsia="Open Sans" w:hAnsi="Open Sans" w:cs="Open Sans"/>
          <w:color w:val="000000"/>
        </w:rPr>
        <w:t xml:space="preserve"> y son: Barrio de Salamanca con 9.228 euros/m</w:t>
      </w:r>
      <w:r>
        <w:rPr>
          <w:rFonts w:ascii="Open Sans" w:eastAsia="Open Sans" w:hAnsi="Open Sans" w:cs="Open Sans"/>
          <w:color w:val="000000"/>
          <w:vertAlign w:val="superscript"/>
        </w:rPr>
        <w:t>2</w:t>
      </w:r>
      <w:r>
        <w:rPr>
          <w:rFonts w:ascii="Open Sans" w:eastAsia="Open Sans" w:hAnsi="Open Sans" w:cs="Open Sans"/>
          <w:color w:val="000000"/>
        </w:rPr>
        <w:t>, Chamberí con 7.529 euros/m</w:t>
      </w:r>
      <w:r>
        <w:rPr>
          <w:rFonts w:ascii="Open Sans" w:eastAsia="Open Sans" w:hAnsi="Open Sans" w:cs="Open Sans"/>
          <w:color w:val="000000"/>
          <w:vertAlign w:val="superscript"/>
        </w:rPr>
        <w:t>2</w:t>
      </w:r>
      <w:r>
        <w:rPr>
          <w:rFonts w:ascii="Open Sans" w:eastAsia="Open Sans" w:hAnsi="Open Sans" w:cs="Open Sans"/>
          <w:color w:val="000000"/>
        </w:rPr>
        <w:t>, Retiro con 7.013 euros/m</w:t>
      </w:r>
      <w:r>
        <w:rPr>
          <w:rFonts w:ascii="Open Sans" w:eastAsia="Open Sans" w:hAnsi="Open Sans" w:cs="Open Sans"/>
          <w:color w:val="000000"/>
          <w:vertAlign w:val="superscript"/>
        </w:rPr>
        <w:t>2</w:t>
      </w:r>
      <w:r>
        <w:rPr>
          <w:rFonts w:ascii="Open Sans" w:eastAsia="Open Sans" w:hAnsi="Open Sans" w:cs="Open Sans"/>
          <w:color w:val="000000"/>
        </w:rPr>
        <w:t>, Centro con 6.952 euros/m</w:t>
      </w:r>
      <w:r>
        <w:rPr>
          <w:rFonts w:ascii="Open Sans" w:eastAsia="Open Sans" w:hAnsi="Open Sans" w:cs="Open Sans"/>
          <w:color w:val="000000"/>
          <w:vertAlign w:val="superscript"/>
        </w:rPr>
        <w:t>2</w:t>
      </w:r>
      <w:r>
        <w:rPr>
          <w:rFonts w:ascii="Open Sans" w:eastAsia="Open Sans" w:hAnsi="Open Sans" w:cs="Open Sans"/>
          <w:color w:val="000000"/>
        </w:rPr>
        <w:t>, Chamartín con 6.525 euros/m</w:t>
      </w:r>
      <w:r>
        <w:rPr>
          <w:rFonts w:ascii="Open Sans" w:eastAsia="Open Sans" w:hAnsi="Open Sans" w:cs="Open Sans"/>
          <w:color w:val="000000"/>
          <w:vertAlign w:val="superscript"/>
        </w:rPr>
        <w:t>2</w:t>
      </w:r>
      <w:r>
        <w:rPr>
          <w:rFonts w:ascii="Open Sans" w:eastAsia="Open Sans" w:hAnsi="Open Sans" w:cs="Open Sans"/>
          <w:color w:val="000000"/>
        </w:rPr>
        <w:t>, Moncloa - Aravaca con 5.880 euros/m</w:t>
      </w:r>
      <w:r>
        <w:rPr>
          <w:rFonts w:ascii="Open Sans" w:eastAsia="Open Sans" w:hAnsi="Open Sans" w:cs="Open Sans"/>
          <w:color w:val="000000"/>
          <w:vertAlign w:val="superscript"/>
        </w:rPr>
        <w:t>2</w:t>
      </w:r>
      <w:r>
        <w:rPr>
          <w:rFonts w:ascii="Open Sans" w:eastAsia="Open Sans" w:hAnsi="Open Sans" w:cs="Open Sans"/>
          <w:color w:val="000000"/>
        </w:rPr>
        <w:t>, Tetuán con 5.315 euros/m</w:t>
      </w:r>
      <w:r>
        <w:rPr>
          <w:rFonts w:ascii="Open Sans" w:eastAsia="Open Sans" w:hAnsi="Open Sans" w:cs="Open Sans"/>
          <w:color w:val="000000"/>
          <w:vertAlign w:val="superscript"/>
        </w:rPr>
        <w:t>2</w:t>
      </w:r>
      <w:r>
        <w:rPr>
          <w:rFonts w:ascii="Open Sans" w:eastAsia="Open Sans" w:hAnsi="Open Sans" w:cs="Open Sans"/>
          <w:color w:val="000000"/>
        </w:rPr>
        <w:t xml:space="preserve"> y Arganzuela con 5.068 euros/m</w:t>
      </w:r>
      <w:r>
        <w:rPr>
          <w:rFonts w:ascii="Open Sans" w:eastAsia="Open Sans" w:hAnsi="Open Sans" w:cs="Open Sans"/>
          <w:color w:val="000000"/>
          <w:vertAlign w:val="superscript"/>
        </w:rPr>
        <w:t>2</w:t>
      </w:r>
      <w:r>
        <w:rPr>
          <w:rFonts w:ascii="Open Sans" w:eastAsia="Open Sans" w:hAnsi="Open Sans" w:cs="Open Sans"/>
          <w:color w:val="000000"/>
        </w:rPr>
        <w:t>. Por otro lado, el distrito más económico por metro cuadrado es Villaverde con 1.886 euros.</w:t>
      </w:r>
    </w:p>
    <w:p w14:paraId="4A1EABD4" w14:textId="77777777" w:rsidR="00C7624F" w:rsidRDefault="00C7624F">
      <w:pPr>
        <w:spacing w:line="276" w:lineRule="auto"/>
        <w:ind w:right="-574"/>
        <w:jc w:val="both"/>
        <w:rPr>
          <w:rFonts w:ascii="Open Sans" w:eastAsia="Open Sans" w:hAnsi="Open Sans" w:cs="Open Sans"/>
          <w:color w:val="000000"/>
        </w:rPr>
      </w:pPr>
    </w:p>
    <w:p w14:paraId="4D85699E" w14:textId="77777777" w:rsidR="0083308B"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Distritos de Barcelona</w:t>
      </w:r>
    </w:p>
    <w:p w14:paraId="1231A3D9"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siete de los diez distritos con variación trimestral analizados por </w:t>
      </w:r>
      <w:hyperlink r:id="rId19">
        <w:r>
          <w:rPr>
            <w:rFonts w:ascii="Open Sans" w:eastAsia="Open Sans" w:hAnsi="Open Sans" w:cs="Open Sans"/>
            <w:color w:val="0000FF"/>
            <w:u w:val="single"/>
          </w:rPr>
          <w:t>Fotocasa</w:t>
        </w:r>
      </w:hyperlink>
      <w:r>
        <w:rPr>
          <w:rFonts w:ascii="Open Sans" w:eastAsia="Open Sans" w:hAnsi="Open Sans" w:cs="Open Sans"/>
          <w:color w:val="0000FF"/>
        </w:rPr>
        <w:t xml:space="preserve"> </w:t>
      </w:r>
      <w:r>
        <w:rPr>
          <w:rFonts w:ascii="Open Sans" w:eastAsia="Open Sans" w:hAnsi="Open Sans" w:cs="Open Sans"/>
          <w:color w:val="000000"/>
        </w:rPr>
        <w:t xml:space="preserve">en septiembre y son: Les Corts (4,3%), Horta - Guinardó (4,2%), Sant Martí (4,1%), Gràcia (4,0%), Sarrià - Sant Gervasi (2,3%), Sants - Montjuïc (2,1%) y Sant Andreu (0,4%). Los descensos del precio de la vivienda corresponden a los distritos de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(-0,8%),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(-0,2%) y Eixample (-0,04%).</w:t>
      </w:r>
    </w:p>
    <w:p w14:paraId="15678052" w14:textId="77777777" w:rsidR="0083308B" w:rsidRDefault="00000000">
      <w:pPr>
        <w:pBdr>
          <w:top w:val="nil"/>
          <w:left w:val="nil"/>
          <w:bottom w:val="nil"/>
          <w:right w:val="nil"/>
          <w:between w:val="nil"/>
        </w:pBdr>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Así, </w:t>
      </w:r>
      <w:r>
        <w:rPr>
          <w:rFonts w:ascii="Open Sans" w:eastAsia="Open Sans" w:hAnsi="Open Sans" w:cs="Open Sans"/>
          <w:b/>
          <w:color w:val="000000"/>
        </w:rPr>
        <w:t xml:space="preserve">Horta - Guinardó, </w:t>
      </w:r>
      <w:r>
        <w:rPr>
          <w:rFonts w:ascii="Open Sans" w:eastAsia="Open Sans" w:hAnsi="Open Sans" w:cs="Open Sans"/>
          <w:color w:val="000000"/>
        </w:rPr>
        <w:t xml:space="preserve">el distrito con la mayor subida interanual </w:t>
      </w:r>
      <w:r>
        <w:rPr>
          <w:rFonts w:ascii="Open Sans" w:eastAsia="Open Sans" w:hAnsi="Open Sans" w:cs="Open Sans"/>
          <w:b/>
          <w:color w:val="000000"/>
        </w:rPr>
        <w:t>lleva cuatro meses con incrementos interanuales en cadena superiores al 10%.</w:t>
      </w:r>
      <w:r>
        <w:rPr>
          <w:rFonts w:ascii="Open Sans" w:eastAsia="Open Sans" w:hAnsi="Open Sans" w:cs="Open Sans"/>
          <w:color w:val="000000"/>
        </w:rPr>
        <w:t xml:space="preserve"> De esta manera, Horta – Guinardó </w:t>
      </w:r>
      <w:r>
        <w:rPr>
          <w:rFonts w:ascii="Open Sans" w:eastAsia="Open Sans" w:hAnsi="Open Sans" w:cs="Open Sans"/>
          <w:b/>
          <w:color w:val="000000"/>
        </w:rPr>
        <w:t>ha pasado de una variación interanual del 1,6% de septiembre de 2023 al 13,6% detectado en el mismo periodo de 2024.</w:t>
      </w:r>
    </w:p>
    <w:p w14:paraId="3EB27E04" w14:textId="77777777" w:rsidR="0083308B"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septiembre, vemos que los distritos por encima de los 5.000 euros/m</w:t>
      </w:r>
      <w:r>
        <w:rPr>
          <w:rFonts w:ascii="Open Sans" w:eastAsia="Open Sans" w:hAnsi="Open Sans" w:cs="Open Sans"/>
          <w:color w:val="000000"/>
          <w:vertAlign w:val="superscript"/>
        </w:rPr>
        <w:t>2</w:t>
      </w:r>
      <w:r>
        <w:rPr>
          <w:rFonts w:ascii="Open Sans" w:eastAsia="Open Sans" w:hAnsi="Open Sans" w:cs="Open Sans"/>
          <w:color w:val="000000"/>
        </w:rPr>
        <w:t xml:space="preserve"> son: Sarrià - Sant Gervasi</w:t>
      </w:r>
      <w:r>
        <w:t xml:space="preserve"> </w:t>
      </w:r>
      <w:r>
        <w:rPr>
          <w:rFonts w:ascii="Open Sans" w:eastAsia="Open Sans" w:hAnsi="Open Sans" w:cs="Open Sans"/>
          <w:color w:val="000000"/>
        </w:rPr>
        <w:t>con 6.206 euros/m</w:t>
      </w:r>
      <w:r>
        <w:rPr>
          <w:rFonts w:ascii="Open Sans" w:eastAsia="Open Sans" w:hAnsi="Open Sans" w:cs="Open Sans"/>
          <w:color w:val="000000"/>
          <w:vertAlign w:val="superscript"/>
        </w:rPr>
        <w:t>2</w:t>
      </w:r>
      <w:r>
        <w:rPr>
          <w:rFonts w:ascii="Open Sans" w:eastAsia="Open Sans" w:hAnsi="Open Sans" w:cs="Open Sans"/>
          <w:color w:val="000000"/>
        </w:rPr>
        <w:t>, Eixample</w:t>
      </w:r>
      <w:r>
        <w:t xml:space="preserve"> </w:t>
      </w:r>
      <w:r>
        <w:rPr>
          <w:rFonts w:ascii="Open Sans" w:eastAsia="Open Sans" w:hAnsi="Open Sans" w:cs="Open Sans"/>
          <w:color w:val="000000"/>
        </w:rPr>
        <w:t>con 6.025 euros/m</w:t>
      </w:r>
      <w:r>
        <w:rPr>
          <w:rFonts w:ascii="Open Sans" w:eastAsia="Open Sans" w:hAnsi="Open Sans" w:cs="Open Sans"/>
          <w:color w:val="000000"/>
          <w:vertAlign w:val="superscript"/>
        </w:rPr>
        <w:t>2</w:t>
      </w:r>
      <w:r>
        <w:rPr>
          <w:rFonts w:ascii="Open Sans" w:eastAsia="Open Sans" w:hAnsi="Open Sans" w:cs="Open Sans"/>
          <w:color w:val="000000"/>
        </w:rPr>
        <w:t>, Les Corts</w:t>
      </w:r>
      <w:r>
        <w:t xml:space="preserve"> </w:t>
      </w:r>
      <w:r>
        <w:rPr>
          <w:rFonts w:ascii="Open Sans" w:eastAsia="Open Sans" w:hAnsi="Open Sans" w:cs="Open Sans"/>
          <w:color w:val="000000"/>
        </w:rPr>
        <w:t>con 5.457 euros/m</w:t>
      </w:r>
      <w:r>
        <w:rPr>
          <w:rFonts w:ascii="Open Sans" w:eastAsia="Open Sans" w:hAnsi="Open Sans" w:cs="Open Sans"/>
          <w:color w:val="000000"/>
          <w:vertAlign w:val="superscript"/>
        </w:rPr>
        <w:t>2</w:t>
      </w:r>
      <w:r>
        <w:rPr>
          <w:rFonts w:ascii="Open Sans" w:eastAsia="Open Sans" w:hAnsi="Open Sans" w:cs="Open Sans"/>
          <w:color w:val="000000"/>
        </w:rPr>
        <w:t xml:space="preserve"> y Gràcia con 5.166 euros/m</w:t>
      </w:r>
      <w:r>
        <w:rPr>
          <w:rFonts w:ascii="Open Sans" w:eastAsia="Open Sans" w:hAnsi="Open Sans" w:cs="Open Sans"/>
          <w:color w:val="000000"/>
          <w:vertAlign w:val="superscript"/>
        </w:rPr>
        <w:t>2</w:t>
      </w:r>
      <w:r>
        <w:rPr>
          <w:rFonts w:ascii="Open Sans" w:eastAsia="Open Sans" w:hAnsi="Open Sans" w:cs="Open Sans"/>
          <w:color w:val="000000"/>
        </w:rPr>
        <w:t xml:space="preserve">. Por otro lado, los distritos con el precio de la vivienda más económico son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con 2.735 euros/m</w:t>
      </w:r>
      <w:r>
        <w:rPr>
          <w:rFonts w:ascii="Open Sans" w:eastAsia="Open Sans" w:hAnsi="Open Sans" w:cs="Open Sans"/>
          <w:color w:val="000000"/>
          <w:vertAlign w:val="superscript"/>
        </w:rPr>
        <w:t>2</w:t>
      </w:r>
      <w:r>
        <w:rPr>
          <w:rFonts w:ascii="Open Sans" w:eastAsia="Open Sans" w:hAnsi="Open Sans" w:cs="Open Sans"/>
          <w:color w:val="000000"/>
        </w:rPr>
        <w:t xml:space="preserve"> y Sant Andreu con 3.568 euros/m</w:t>
      </w:r>
      <w:r>
        <w:rPr>
          <w:rFonts w:ascii="Open Sans" w:eastAsia="Open Sans" w:hAnsi="Open Sans" w:cs="Open Sans"/>
          <w:color w:val="000000"/>
          <w:vertAlign w:val="superscript"/>
        </w:rPr>
        <w:t>2</w:t>
      </w:r>
      <w:r>
        <w:rPr>
          <w:rFonts w:ascii="Open Sans" w:eastAsia="Open Sans" w:hAnsi="Open Sans" w:cs="Open Sans"/>
          <w:color w:val="000000"/>
        </w:rPr>
        <w:t>.</w:t>
      </w:r>
    </w:p>
    <w:p w14:paraId="60992A14" w14:textId="77777777" w:rsidR="0083308B" w:rsidRDefault="0083308B">
      <w:pPr>
        <w:spacing w:line="276" w:lineRule="auto"/>
        <w:ind w:right="-574"/>
        <w:jc w:val="both"/>
        <w:rPr>
          <w:rFonts w:ascii="Open Sans Light" w:eastAsia="Open Sans Light" w:hAnsi="Open Sans Light" w:cs="Open Sans Light"/>
          <w:b/>
          <w:color w:val="303AB2"/>
        </w:rPr>
      </w:pPr>
    </w:p>
    <w:p w14:paraId="6EF03E2B" w14:textId="77777777" w:rsidR="0083308B"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TABLAS DE PRECIOS Y DE EVOLUCIONES (7)</w:t>
      </w:r>
    </w:p>
    <w:p w14:paraId="118DEFF6" w14:textId="77777777" w:rsidR="0083308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incremento trimestral (sep. 2024)</w:t>
      </w:r>
    </w:p>
    <w:tbl>
      <w:tblPr>
        <w:tblStyle w:val="a6"/>
        <w:tblW w:w="8955"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865"/>
        <w:gridCol w:w="1905"/>
        <w:gridCol w:w="2175"/>
        <w:gridCol w:w="2010"/>
      </w:tblGrid>
      <w:tr w:rsidR="0083308B" w14:paraId="35F46172" w14:textId="77777777" w:rsidTr="0083308B">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vAlign w:val="center"/>
          </w:tcPr>
          <w:p w14:paraId="0D3B590F"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Comunidades </w:t>
            </w:r>
          </w:p>
        </w:tc>
        <w:tc>
          <w:tcPr>
            <w:tcW w:w="1905" w:type="dxa"/>
            <w:shd w:val="clear" w:color="auto" w:fill="1DBDC5"/>
          </w:tcPr>
          <w:p w14:paraId="38D439C4"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2024</w:t>
            </w:r>
          </w:p>
          <w:p w14:paraId="40B8D936"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2175" w:type="dxa"/>
            <w:shd w:val="clear" w:color="auto" w:fill="1DBDC5"/>
          </w:tcPr>
          <w:p w14:paraId="0E71D1A0"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2010" w:type="dxa"/>
            <w:shd w:val="clear" w:color="auto" w:fill="1DBDC5"/>
          </w:tcPr>
          <w:p w14:paraId="3F8394E8"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3308B" w14:paraId="4D23358C"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B4B321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 </w:t>
            </w:r>
          </w:p>
        </w:tc>
        <w:tc>
          <w:tcPr>
            <w:tcW w:w="1905" w:type="dxa"/>
            <w:vAlign w:val="bottom"/>
          </w:tcPr>
          <w:p w14:paraId="0ECDC13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2.014 € </w:t>
            </w:r>
          </w:p>
        </w:tc>
        <w:tc>
          <w:tcPr>
            <w:tcW w:w="2175" w:type="dxa"/>
            <w:vAlign w:val="bottom"/>
          </w:tcPr>
          <w:p w14:paraId="06798C6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2010" w:type="dxa"/>
            <w:vAlign w:val="bottom"/>
          </w:tcPr>
          <w:p w14:paraId="000B50B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w:t>
            </w:r>
          </w:p>
        </w:tc>
      </w:tr>
      <w:tr w:rsidR="0083308B" w14:paraId="59DDDA66"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5ACA0BE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905" w:type="dxa"/>
            <w:vAlign w:val="bottom"/>
          </w:tcPr>
          <w:p w14:paraId="1436C44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4.428 € </w:t>
            </w:r>
          </w:p>
        </w:tc>
        <w:tc>
          <w:tcPr>
            <w:tcW w:w="2175" w:type="dxa"/>
            <w:vAlign w:val="bottom"/>
          </w:tcPr>
          <w:p w14:paraId="1414B63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2010" w:type="dxa"/>
            <w:vAlign w:val="bottom"/>
          </w:tcPr>
          <w:p w14:paraId="799EBDA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w:t>
            </w:r>
          </w:p>
        </w:tc>
      </w:tr>
      <w:tr w:rsidR="0083308B" w14:paraId="1571A0BF"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2F10604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905" w:type="dxa"/>
            <w:vAlign w:val="bottom"/>
          </w:tcPr>
          <w:p w14:paraId="224A933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1.872 € </w:t>
            </w:r>
          </w:p>
        </w:tc>
        <w:tc>
          <w:tcPr>
            <w:tcW w:w="2175" w:type="dxa"/>
            <w:vAlign w:val="bottom"/>
          </w:tcPr>
          <w:p w14:paraId="21FE250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2010" w:type="dxa"/>
            <w:vAlign w:val="bottom"/>
          </w:tcPr>
          <w:p w14:paraId="2DE06AE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83308B" w14:paraId="749828D4"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433072C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905" w:type="dxa"/>
            <w:vAlign w:val="bottom"/>
          </w:tcPr>
          <w:p w14:paraId="34B07A1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2.214 € </w:t>
            </w:r>
          </w:p>
        </w:tc>
        <w:tc>
          <w:tcPr>
            <w:tcW w:w="2175" w:type="dxa"/>
            <w:vAlign w:val="bottom"/>
          </w:tcPr>
          <w:p w14:paraId="71487B8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3,4%</w:t>
            </w:r>
          </w:p>
        </w:tc>
        <w:tc>
          <w:tcPr>
            <w:tcW w:w="2010" w:type="dxa"/>
            <w:vAlign w:val="bottom"/>
          </w:tcPr>
          <w:p w14:paraId="04B6D1B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w:t>
            </w:r>
          </w:p>
        </w:tc>
      </w:tr>
      <w:tr w:rsidR="0083308B" w14:paraId="365BB96C"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0C63349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905" w:type="dxa"/>
            <w:vAlign w:val="bottom"/>
          </w:tcPr>
          <w:p w14:paraId="54E479B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1.433 € </w:t>
            </w:r>
          </w:p>
        </w:tc>
        <w:tc>
          <w:tcPr>
            <w:tcW w:w="2175" w:type="dxa"/>
            <w:vAlign w:val="bottom"/>
          </w:tcPr>
          <w:p w14:paraId="5C1E2F8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010" w:type="dxa"/>
            <w:vAlign w:val="bottom"/>
          </w:tcPr>
          <w:p w14:paraId="0D133EC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83308B" w14:paraId="5BA91FFC"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7E5445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905" w:type="dxa"/>
            <w:vAlign w:val="bottom"/>
          </w:tcPr>
          <w:p w14:paraId="317CA5B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1.764 € </w:t>
            </w:r>
          </w:p>
        </w:tc>
        <w:tc>
          <w:tcPr>
            <w:tcW w:w="2175" w:type="dxa"/>
            <w:vAlign w:val="bottom"/>
          </w:tcPr>
          <w:p w14:paraId="15EE0FC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010" w:type="dxa"/>
            <w:vAlign w:val="bottom"/>
          </w:tcPr>
          <w:p w14:paraId="68DF5AB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83308B" w14:paraId="27ADB5E7"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023CF52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905" w:type="dxa"/>
            <w:vAlign w:val="bottom"/>
          </w:tcPr>
          <w:p w14:paraId="779543C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2.659 € </w:t>
            </w:r>
          </w:p>
        </w:tc>
        <w:tc>
          <w:tcPr>
            <w:tcW w:w="2175" w:type="dxa"/>
            <w:vAlign w:val="bottom"/>
          </w:tcPr>
          <w:p w14:paraId="3457655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c>
          <w:tcPr>
            <w:tcW w:w="2010" w:type="dxa"/>
            <w:vAlign w:val="bottom"/>
          </w:tcPr>
          <w:p w14:paraId="17D6D4C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83308B" w14:paraId="4661FC26"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4E283011"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905" w:type="dxa"/>
            <w:vAlign w:val="bottom"/>
          </w:tcPr>
          <w:p w14:paraId="76C8CB2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2.067 € </w:t>
            </w:r>
          </w:p>
        </w:tc>
        <w:tc>
          <w:tcPr>
            <w:tcW w:w="2175" w:type="dxa"/>
            <w:vAlign w:val="bottom"/>
          </w:tcPr>
          <w:p w14:paraId="10265BE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2010" w:type="dxa"/>
            <w:vAlign w:val="bottom"/>
          </w:tcPr>
          <w:p w14:paraId="2A9F8FF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83308B" w14:paraId="28C75469"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3813115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905" w:type="dxa"/>
            <w:vAlign w:val="bottom"/>
          </w:tcPr>
          <w:p w14:paraId="4E8D717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4.267 € </w:t>
            </w:r>
          </w:p>
        </w:tc>
        <w:tc>
          <w:tcPr>
            <w:tcW w:w="2175" w:type="dxa"/>
            <w:vAlign w:val="bottom"/>
          </w:tcPr>
          <w:p w14:paraId="23472F9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w:t>
            </w:r>
          </w:p>
        </w:tc>
        <w:tc>
          <w:tcPr>
            <w:tcW w:w="2010" w:type="dxa"/>
            <w:vAlign w:val="bottom"/>
          </w:tcPr>
          <w:p w14:paraId="7CFA48C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w:t>
            </w:r>
          </w:p>
        </w:tc>
      </w:tr>
      <w:tr w:rsidR="0083308B" w14:paraId="2845B3F7"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01FE10B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905" w:type="dxa"/>
            <w:vAlign w:val="bottom"/>
          </w:tcPr>
          <w:p w14:paraId="0AD33A4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3.212 € </w:t>
            </w:r>
          </w:p>
        </w:tc>
        <w:tc>
          <w:tcPr>
            <w:tcW w:w="2175" w:type="dxa"/>
            <w:vAlign w:val="bottom"/>
          </w:tcPr>
          <w:p w14:paraId="646EB54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0,8%</w:t>
            </w:r>
          </w:p>
        </w:tc>
        <w:tc>
          <w:tcPr>
            <w:tcW w:w="2010" w:type="dxa"/>
            <w:vAlign w:val="bottom"/>
          </w:tcPr>
          <w:p w14:paraId="062DDB6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83308B" w14:paraId="2E57F7F4"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1515C62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905" w:type="dxa"/>
            <w:vAlign w:val="bottom"/>
          </w:tcPr>
          <w:p w14:paraId="7F5F7B3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1.519 € </w:t>
            </w:r>
          </w:p>
        </w:tc>
        <w:tc>
          <w:tcPr>
            <w:tcW w:w="2175" w:type="dxa"/>
            <w:vAlign w:val="bottom"/>
          </w:tcPr>
          <w:p w14:paraId="0D06DDE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0,8%</w:t>
            </w:r>
          </w:p>
        </w:tc>
        <w:tc>
          <w:tcPr>
            <w:tcW w:w="2010" w:type="dxa"/>
            <w:vAlign w:val="bottom"/>
          </w:tcPr>
          <w:p w14:paraId="5B7B903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83308B" w14:paraId="57CCF70C"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FD0160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905" w:type="dxa"/>
            <w:vAlign w:val="bottom"/>
          </w:tcPr>
          <w:p w14:paraId="6CEA8BF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1.231 € </w:t>
            </w:r>
          </w:p>
        </w:tc>
        <w:tc>
          <w:tcPr>
            <w:tcW w:w="2175" w:type="dxa"/>
            <w:vAlign w:val="bottom"/>
          </w:tcPr>
          <w:p w14:paraId="7D0993F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2010" w:type="dxa"/>
            <w:vAlign w:val="bottom"/>
          </w:tcPr>
          <w:p w14:paraId="737E854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r>
      <w:tr w:rsidR="0083308B" w14:paraId="1454CE04"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6D2E6EF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905" w:type="dxa"/>
            <w:vAlign w:val="bottom"/>
          </w:tcPr>
          <w:p w14:paraId="29649B6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1.748 € </w:t>
            </w:r>
          </w:p>
        </w:tc>
        <w:tc>
          <w:tcPr>
            <w:tcW w:w="2175" w:type="dxa"/>
            <w:vAlign w:val="bottom"/>
          </w:tcPr>
          <w:p w14:paraId="13AAA0F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2010" w:type="dxa"/>
            <w:vAlign w:val="bottom"/>
          </w:tcPr>
          <w:p w14:paraId="13ED5EA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83308B" w14:paraId="520563E6"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14701C6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905" w:type="dxa"/>
            <w:vAlign w:val="bottom"/>
          </w:tcPr>
          <w:p w14:paraId="2BFEC16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1.224 € </w:t>
            </w:r>
          </w:p>
        </w:tc>
        <w:tc>
          <w:tcPr>
            <w:tcW w:w="2175" w:type="dxa"/>
            <w:vAlign w:val="bottom"/>
          </w:tcPr>
          <w:p w14:paraId="674DB34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0,2%</w:t>
            </w:r>
          </w:p>
        </w:tc>
        <w:tc>
          <w:tcPr>
            <w:tcW w:w="2010" w:type="dxa"/>
            <w:vAlign w:val="bottom"/>
          </w:tcPr>
          <w:p w14:paraId="2AE2989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83308B" w14:paraId="3EA43587"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33D6567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905" w:type="dxa"/>
            <w:vAlign w:val="bottom"/>
          </w:tcPr>
          <w:p w14:paraId="40C0840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1.658 € </w:t>
            </w:r>
          </w:p>
        </w:tc>
        <w:tc>
          <w:tcPr>
            <w:tcW w:w="2175" w:type="dxa"/>
            <w:vAlign w:val="bottom"/>
          </w:tcPr>
          <w:p w14:paraId="3496B89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c>
          <w:tcPr>
            <w:tcW w:w="2010" w:type="dxa"/>
            <w:vAlign w:val="bottom"/>
          </w:tcPr>
          <w:p w14:paraId="153573B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83308B" w14:paraId="733CCF5E"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3CA648E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 xml:space="preserve"> Cataluña </w:t>
            </w:r>
          </w:p>
        </w:tc>
        <w:tc>
          <w:tcPr>
            <w:tcW w:w="1905" w:type="dxa"/>
            <w:vAlign w:val="bottom"/>
          </w:tcPr>
          <w:p w14:paraId="5248472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2.830 € </w:t>
            </w:r>
          </w:p>
        </w:tc>
        <w:tc>
          <w:tcPr>
            <w:tcW w:w="2175" w:type="dxa"/>
            <w:vAlign w:val="bottom"/>
          </w:tcPr>
          <w:p w14:paraId="39DE463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-0,6%</w:t>
            </w:r>
          </w:p>
        </w:tc>
        <w:tc>
          <w:tcPr>
            <w:tcW w:w="2010" w:type="dxa"/>
            <w:vAlign w:val="bottom"/>
          </w:tcPr>
          <w:p w14:paraId="1F3945F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83308B" w14:paraId="3093FFE0" w14:textId="77777777" w:rsidTr="0083308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7EEC386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905" w:type="dxa"/>
            <w:vAlign w:val="bottom"/>
          </w:tcPr>
          <w:p w14:paraId="473D30A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2.063 € </w:t>
            </w:r>
          </w:p>
        </w:tc>
        <w:tc>
          <w:tcPr>
            <w:tcW w:w="2175" w:type="dxa"/>
            <w:vAlign w:val="bottom"/>
          </w:tcPr>
          <w:p w14:paraId="1180FB3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w:t>
            </w:r>
          </w:p>
        </w:tc>
        <w:tc>
          <w:tcPr>
            <w:tcW w:w="2010" w:type="dxa"/>
            <w:vAlign w:val="bottom"/>
          </w:tcPr>
          <w:p w14:paraId="1C31764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83308B" w14:paraId="62CBA4E6" w14:textId="77777777" w:rsidTr="0083308B">
        <w:trPr>
          <w:trHeight w:val="258"/>
        </w:trPr>
        <w:tc>
          <w:tcPr>
            <w:cnfStyle w:val="001000000000" w:firstRow="0" w:lastRow="0" w:firstColumn="1" w:lastColumn="0" w:oddVBand="0" w:evenVBand="0" w:oddHBand="0" w:evenHBand="0" w:firstRowFirstColumn="0" w:firstRowLastColumn="0" w:lastRowFirstColumn="0" w:lastRowLastColumn="0"/>
            <w:tcW w:w="2865" w:type="dxa"/>
            <w:shd w:val="clear" w:color="auto" w:fill="1DBDC5"/>
          </w:tcPr>
          <w:p w14:paraId="38CC0C0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905" w:type="dxa"/>
            <w:vAlign w:val="bottom"/>
          </w:tcPr>
          <w:p w14:paraId="06F6C96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 xml:space="preserve">    2.355 € </w:t>
            </w:r>
          </w:p>
        </w:tc>
        <w:tc>
          <w:tcPr>
            <w:tcW w:w="2175" w:type="dxa"/>
            <w:vAlign w:val="bottom"/>
          </w:tcPr>
          <w:p w14:paraId="4499523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1,2%</w:t>
            </w:r>
          </w:p>
        </w:tc>
        <w:tc>
          <w:tcPr>
            <w:tcW w:w="2010" w:type="dxa"/>
            <w:vAlign w:val="bottom"/>
          </w:tcPr>
          <w:p w14:paraId="48F464C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9,5%</w:t>
            </w:r>
          </w:p>
        </w:tc>
      </w:tr>
    </w:tbl>
    <w:p w14:paraId="271F40CA" w14:textId="77777777" w:rsidR="00C7624F" w:rsidRDefault="00C7624F">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3981EDA3" w14:textId="0F756E90" w:rsidR="0083308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descenso trimestral (sep. 2024)</w:t>
      </w:r>
    </w:p>
    <w:tbl>
      <w:tblPr>
        <w:tblStyle w:val="a7"/>
        <w:tblW w:w="902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89"/>
        <w:gridCol w:w="2551"/>
        <w:gridCol w:w="1701"/>
        <w:gridCol w:w="2083"/>
      </w:tblGrid>
      <w:tr w:rsidR="0083308B" w14:paraId="60481019" w14:textId="77777777" w:rsidTr="0083308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4886572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551" w:type="dxa"/>
            <w:shd w:val="clear" w:color="auto" w:fill="1DBDC5"/>
          </w:tcPr>
          <w:p w14:paraId="64C9BA25"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2024</w:t>
            </w:r>
          </w:p>
          <w:p w14:paraId="29F714E1"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701" w:type="dxa"/>
            <w:shd w:val="clear" w:color="auto" w:fill="1DBDC5"/>
          </w:tcPr>
          <w:p w14:paraId="06E8C3C0"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2083" w:type="dxa"/>
            <w:shd w:val="clear" w:color="auto" w:fill="1DBDC5"/>
          </w:tcPr>
          <w:p w14:paraId="2AAA3F38"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3308B" w14:paraId="7A5F9AD8"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79E773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551" w:type="dxa"/>
            <w:vAlign w:val="bottom"/>
          </w:tcPr>
          <w:p w14:paraId="2550FEB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1.812 € </w:t>
            </w:r>
          </w:p>
        </w:tc>
        <w:tc>
          <w:tcPr>
            <w:tcW w:w="1701" w:type="dxa"/>
            <w:vAlign w:val="bottom"/>
          </w:tcPr>
          <w:p w14:paraId="2F482B4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6,3%</w:t>
            </w:r>
          </w:p>
        </w:tc>
        <w:tc>
          <w:tcPr>
            <w:tcW w:w="2083" w:type="dxa"/>
            <w:vAlign w:val="bottom"/>
          </w:tcPr>
          <w:p w14:paraId="7EB17EE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15,6%</w:t>
            </w:r>
          </w:p>
        </w:tc>
      </w:tr>
      <w:tr w:rsidR="0083308B" w14:paraId="45733DA8"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0C452C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551" w:type="dxa"/>
            <w:vAlign w:val="bottom"/>
          </w:tcPr>
          <w:p w14:paraId="46A8249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1.387 € </w:t>
            </w:r>
          </w:p>
        </w:tc>
        <w:tc>
          <w:tcPr>
            <w:tcW w:w="1701" w:type="dxa"/>
            <w:vAlign w:val="bottom"/>
          </w:tcPr>
          <w:p w14:paraId="3B9154B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5,9%</w:t>
            </w:r>
          </w:p>
        </w:tc>
        <w:tc>
          <w:tcPr>
            <w:tcW w:w="2083" w:type="dxa"/>
            <w:vAlign w:val="bottom"/>
          </w:tcPr>
          <w:p w14:paraId="516C5E87"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10,5%</w:t>
            </w:r>
          </w:p>
        </w:tc>
      </w:tr>
      <w:tr w:rsidR="0083308B" w14:paraId="0337EF8E"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1111CF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551" w:type="dxa"/>
            <w:vAlign w:val="bottom"/>
          </w:tcPr>
          <w:p w14:paraId="3891F04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1.399 € </w:t>
            </w:r>
          </w:p>
        </w:tc>
        <w:tc>
          <w:tcPr>
            <w:tcW w:w="1701" w:type="dxa"/>
            <w:vAlign w:val="bottom"/>
          </w:tcPr>
          <w:p w14:paraId="51BB89A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5,8%</w:t>
            </w:r>
          </w:p>
        </w:tc>
        <w:tc>
          <w:tcPr>
            <w:tcW w:w="2083" w:type="dxa"/>
            <w:vAlign w:val="bottom"/>
          </w:tcPr>
          <w:p w14:paraId="229D2F9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12,6%</w:t>
            </w:r>
          </w:p>
        </w:tc>
      </w:tr>
      <w:tr w:rsidR="0083308B" w14:paraId="3CF72B0A"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3EDCE7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551" w:type="dxa"/>
            <w:vAlign w:val="bottom"/>
          </w:tcPr>
          <w:p w14:paraId="25156CD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2.316 € </w:t>
            </w:r>
          </w:p>
        </w:tc>
        <w:tc>
          <w:tcPr>
            <w:tcW w:w="1701" w:type="dxa"/>
            <w:vAlign w:val="bottom"/>
          </w:tcPr>
          <w:p w14:paraId="41FD4FE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4,8%</w:t>
            </w:r>
          </w:p>
        </w:tc>
        <w:tc>
          <w:tcPr>
            <w:tcW w:w="2083" w:type="dxa"/>
            <w:vAlign w:val="bottom"/>
          </w:tcPr>
          <w:p w14:paraId="2DEECB3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15,4%</w:t>
            </w:r>
          </w:p>
        </w:tc>
      </w:tr>
      <w:tr w:rsidR="0083308B" w14:paraId="37A61A05"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13AF69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51" w:type="dxa"/>
            <w:vAlign w:val="bottom"/>
          </w:tcPr>
          <w:p w14:paraId="7E132ED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2.335 € </w:t>
            </w:r>
          </w:p>
        </w:tc>
        <w:tc>
          <w:tcPr>
            <w:tcW w:w="1701" w:type="dxa"/>
            <w:vAlign w:val="bottom"/>
          </w:tcPr>
          <w:p w14:paraId="40F9A1B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4,8%</w:t>
            </w:r>
          </w:p>
        </w:tc>
        <w:tc>
          <w:tcPr>
            <w:tcW w:w="2083" w:type="dxa"/>
            <w:vAlign w:val="bottom"/>
          </w:tcPr>
          <w:p w14:paraId="43BCA8D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19,7%</w:t>
            </w:r>
          </w:p>
        </w:tc>
      </w:tr>
      <w:tr w:rsidR="0083308B" w14:paraId="169EC8E2"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A410A7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551" w:type="dxa"/>
            <w:vAlign w:val="bottom"/>
          </w:tcPr>
          <w:p w14:paraId="2C3AFFC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 xml:space="preserve">         4.428 € </w:t>
            </w:r>
          </w:p>
        </w:tc>
        <w:tc>
          <w:tcPr>
            <w:tcW w:w="1701" w:type="dxa"/>
            <w:vAlign w:val="bottom"/>
          </w:tcPr>
          <w:p w14:paraId="6E731DA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4,1%</w:t>
            </w:r>
          </w:p>
        </w:tc>
        <w:tc>
          <w:tcPr>
            <w:tcW w:w="2083" w:type="dxa"/>
            <w:vAlign w:val="bottom"/>
          </w:tcPr>
          <w:p w14:paraId="5146726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17,2%</w:t>
            </w:r>
          </w:p>
        </w:tc>
      </w:tr>
      <w:tr w:rsidR="0083308B" w14:paraId="0E33DDC3"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48D512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551" w:type="dxa"/>
            <w:vAlign w:val="bottom"/>
          </w:tcPr>
          <w:p w14:paraId="1C702BB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1.445 € </w:t>
            </w:r>
          </w:p>
        </w:tc>
        <w:tc>
          <w:tcPr>
            <w:tcW w:w="1701" w:type="dxa"/>
            <w:vAlign w:val="bottom"/>
          </w:tcPr>
          <w:p w14:paraId="164951A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2083" w:type="dxa"/>
            <w:vAlign w:val="bottom"/>
          </w:tcPr>
          <w:p w14:paraId="15CDAB5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83308B" w14:paraId="5D13EBB2"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6CF468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551" w:type="dxa"/>
            <w:vAlign w:val="bottom"/>
          </w:tcPr>
          <w:p w14:paraId="08D2585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1.672 € </w:t>
            </w:r>
          </w:p>
        </w:tc>
        <w:tc>
          <w:tcPr>
            <w:tcW w:w="1701" w:type="dxa"/>
            <w:vAlign w:val="bottom"/>
          </w:tcPr>
          <w:p w14:paraId="0894595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c>
          <w:tcPr>
            <w:tcW w:w="2083" w:type="dxa"/>
            <w:vAlign w:val="bottom"/>
          </w:tcPr>
          <w:p w14:paraId="3E339CD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83308B" w14:paraId="40ADEA50"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045E97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51" w:type="dxa"/>
            <w:vAlign w:val="bottom"/>
          </w:tcPr>
          <w:p w14:paraId="751AB0A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3.787 € </w:t>
            </w:r>
          </w:p>
        </w:tc>
        <w:tc>
          <w:tcPr>
            <w:tcW w:w="1701" w:type="dxa"/>
            <w:vAlign w:val="bottom"/>
          </w:tcPr>
          <w:p w14:paraId="1BF8E85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3,4%</w:t>
            </w:r>
          </w:p>
        </w:tc>
        <w:tc>
          <w:tcPr>
            <w:tcW w:w="2083" w:type="dxa"/>
            <w:vAlign w:val="bottom"/>
          </w:tcPr>
          <w:p w14:paraId="36F71A0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w:t>
            </w:r>
          </w:p>
        </w:tc>
      </w:tr>
      <w:tr w:rsidR="0083308B" w14:paraId="4979D22B"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B02D74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551" w:type="dxa"/>
            <w:vAlign w:val="bottom"/>
          </w:tcPr>
          <w:p w14:paraId="6708AA6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2.013 € </w:t>
            </w:r>
          </w:p>
        </w:tc>
        <w:tc>
          <w:tcPr>
            <w:tcW w:w="1701" w:type="dxa"/>
            <w:vAlign w:val="bottom"/>
          </w:tcPr>
          <w:p w14:paraId="527F4BA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083" w:type="dxa"/>
            <w:vAlign w:val="bottom"/>
          </w:tcPr>
          <w:p w14:paraId="78860BA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83308B" w14:paraId="7F35AA86"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180A6F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551" w:type="dxa"/>
            <w:vAlign w:val="bottom"/>
          </w:tcPr>
          <w:p w14:paraId="1F93434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1.435 € </w:t>
            </w:r>
          </w:p>
        </w:tc>
        <w:tc>
          <w:tcPr>
            <w:tcW w:w="1701" w:type="dxa"/>
            <w:vAlign w:val="bottom"/>
          </w:tcPr>
          <w:p w14:paraId="6F88CEE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083" w:type="dxa"/>
            <w:vAlign w:val="bottom"/>
          </w:tcPr>
          <w:p w14:paraId="6E77A65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83308B" w14:paraId="4ED9F3EC"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8DBE32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551" w:type="dxa"/>
            <w:vAlign w:val="bottom"/>
          </w:tcPr>
          <w:p w14:paraId="36A6D8A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1.433 € </w:t>
            </w:r>
          </w:p>
        </w:tc>
        <w:tc>
          <w:tcPr>
            <w:tcW w:w="1701" w:type="dxa"/>
            <w:vAlign w:val="bottom"/>
          </w:tcPr>
          <w:p w14:paraId="39D1D44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083" w:type="dxa"/>
            <w:vAlign w:val="bottom"/>
          </w:tcPr>
          <w:p w14:paraId="41C8C92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83308B" w14:paraId="116E54CC"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A6F904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551" w:type="dxa"/>
            <w:vAlign w:val="bottom"/>
          </w:tcPr>
          <w:p w14:paraId="44FE008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1.764 € </w:t>
            </w:r>
          </w:p>
        </w:tc>
        <w:tc>
          <w:tcPr>
            <w:tcW w:w="1701" w:type="dxa"/>
            <w:vAlign w:val="bottom"/>
          </w:tcPr>
          <w:p w14:paraId="5F68137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083" w:type="dxa"/>
            <w:vAlign w:val="bottom"/>
          </w:tcPr>
          <w:p w14:paraId="36C07C5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83308B" w14:paraId="71E7EAB9"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0B7C50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551" w:type="dxa"/>
            <w:vAlign w:val="bottom"/>
          </w:tcPr>
          <w:p w14:paraId="350DF90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2.067 € </w:t>
            </w:r>
          </w:p>
        </w:tc>
        <w:tc>
          <w:tcPr>
            <w:tcW w:w="1701" w:type="dxa"/>
            <w:vAlign w:val="bottom"/>
          </w:tcPr>
          <w:p w14:paraId="7418565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2083" w:type="dxa"/>
            <w:vAlign w:val="bottom"/>
          </w:tcPr>
          <w:p w14:paraId="64B43F2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83308B" w14:paraId="3B1DFD3B"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924AB7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551" w:type="dxa"/>
            <w:vAlign w:val="bottom"/>
          </w:tcPr>
          <w:p w14:paraId="3ED2388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2.120 € </w:t>
            </w:r>
          </w:p>
        </w:tc>
        <w:tc>
          <w:tcPr>
            <w:tcW w:w="1701" w:type="dxa"/>
            <w:vAlign w:val="bottom"/>
          </w:tcPr>
          <w:p w14:paraId="21CEDC5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2083" w:type="dxa"/>
            <w:vAlign w:val="bottom"/>
          </w:tcPr>
          <w:p w14:paraId="17E8053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83308B" w14:paraId="2C72B927"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88894E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551" w:type="dxa"/>
            <w:vAlign w:val="bottom"/>
          </w:tcPr>
          <w:p w14:paraId="7AC44A6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1.131 € </w:t>
            </w:r>
          </w:p>
        </w:tc>
        <w:tc>
          <w:tcPr>
            <w:tcW w:w="1701" w:type="dxa"/>
            <w:vAlign w:val="bottom"/>
          </w:tcPr>
          <w:p w14:paraId="576793B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c>
          <w:tcPr>
            <w:tcW w:w="2083" w:type="dxa"/>
            <w:vAlign w:val="bottom"/>
          </w:tcPr>
          <w:p w14:paraId="3B9A607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83308B" w14:paraId="453076C8"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835C87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551" w:type="dxa"/>
            <w:vAlign w:val="bottom"/>
          </w:tcPr>
          <w:p w14:paraId="52573E2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2.764 € </w:t>
            </w:r>
          </w:p>
        </w:tc>
        <w:tc>
          <w:tcPr>
            <w:tcW w:w="1701" w:type="dxa"/>
            <w:vAlign w:val="bottom"/>
          </w:tcPr>
          <w:p w14:paraId="77F8A40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w:t>
            </w:r>
          </w:p>
        </w:tc>
        <w:tc>
          <w:tcPr>
            <w:tcW w:w="2083" w:type="dxa"/>
            <w:vAlign w:val="bottom"/>
          </w:tcPr>
          <w:p w14:paraId="18BA7BE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83308B" w14:paraId="5A2AB872"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F49A80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551" w:type="dxa"/>
            <w:vAlign w:val="bottom"/>
          </w:tcPr>
          <w:p w14:paraId="77BFF86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1.474 € </w:t>
            </w:r>
          </w:p>
        </w:tc>
        <w:tc>
          <w:tcPr>
            <w:tcW w:w="1701" w:type="dxa"/>
            <w:vAlign w:val="bottom"/>
          </w:tcPr>
          <w:p w14:paraId="1AAA260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w:t>
            </w:r>
          </w:p>
        </w:tc>
        <w:tc>
          <w:tcPr>
            <w:tcW w:w="2083" w:type="dxa"/>
            <w:vAlign w:val="bottom"/>
          </w:tcPr>
          <w:p w14:paraId="0C815F1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83308B" w14:paraId="73B9160A"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3F2D03F"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51" w:type="dxa"/>
            <w:vAlign w:val="bottom"/>
          </w:tcPr>
          <w:p w14:paraId="052BCAC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2.870 € </w:t>
            </w:r>
          </w:p>
        </w:tc>
        <w:tc>
          <w:tcPr>
            <w:tcW w:w="1701" w:type="dxa"/>
            <w:vAlign w:val="bottom"/>
          </w:tcPr>
          <w:p w14:paraId="7C0E9EC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w:t>
            </w:r>
          </w:p>
        </w:tc>
        <w:tc>
          <w:tcPr>
            <w:tcW w:w="2083" w:type="dxa"/>
            <w:vAlign w:val="bottom"/>
          </w:tcPr>
          <w:p w14:paraId="57EE803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83308B" w14:paraId="0123C7E0"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E8F84F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551" w:type="dxa"/>
            <w:vAlign w:val="bottom"/>
          </w:tcPr>
          <w:p w14:paraId="02EC604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1.620 € </w:t>
            </w:r>
          </w:p>
        </w:tc>
        <w:tc>
          <w:tcPr>
            <w:tcW w:w="1701" w:type="dxa"/>
            <w:vAlign w:val="bottom"/>
          </w:tcPr>
          <w:p w14:paraId="4136634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w:t>
            </w:r>
          </w:p>
        </w:tc>
        <w:tc>
          <w:tcPr>
            <w:tcW w:w="2083" w:type="dxa"/>
            <w:vAlign w:val="bottom"/>
          </w:tcPr>
          <w:p w14:paraId="5E8A77D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83308B" w14:paraId="759A0879"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4B7974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551" w:type="dxa"/>
            <w:vAlign w:val="bottom"/>
          </w:tcPr>
          <w:p w14:paraId="2233031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1.777 € </w:t>
            </w:r>
          </w:p>
        </w:tc>
        <w:tc>
          <w:tcPr>
            <w:tcW w:w="1701" w:type="dxa"/>
            <w:vAlign w:val="bottom"/>
          </w:tcPr>
          <w:p w14:paraId="1A096FA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c>
          <w:tcPr>
            <w:tcW w:w="2083" w:type="dxa"/>
            <w:vAlign w:val="bottom"/>
          </w:tcPr>
          <w:p w14:paraId="770E2B2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83308B" w14:paraId="695295FE"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14408A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551" w:type="dxa"/>
            <w:vAlign w:val="bottom"/>
          </w:tcPr>
          <w:p w14:paraId="1A0D1B3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1.652 € </w:t>
            </w:r>
          </w:p>
        </w:tc>
        <w:tc>
          <w:tcPr>
            <w:tcW w:w="1701" w:type="dxa"/>
            <w:vAlign w:val="bottom"/>
          </w:tcPr>
          <w:p w14:paraId="03DA662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c>
          <w:tcPr>
            <w:tcW w:w="2083" w:type="dxa"/>
            <w:vAlign w:val="bottom"/>
          </w:tcPr>
          <w:p w14:paraId="6C8C9C3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83308B" w14:paraId="1D138EFD"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051163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551" w:type="dxa"/>
            <w:vAlign w:val="bottom"/>
          </w:tcPr>
          <w:p w14:paraId="61CD961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1.755 € </w:t>
            </w:r>
          </w:p>
        </w:tc>
        <w:tc>
          <w:tcPr>
            <w:tcW w:w="1701" w:type="dxa"/>
            <w:vAlign w:val="bottom"/>
          </w:tcPr>
          <w:p w14:paraId="2702E77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w:t>
            </w:r>
          </w:p>
        </w:tc>
        <w:tc>
          <w:tcPr>
            <w:tcW w:w="2083" w:type="dxa"/>
            <w:vAlign w:val="bottom"/>
          </w:tcPr>
          <w:p w14:paraId="3576792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83308B" w14:paraId="145B3033"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261390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551" w:type="dxa"/>
            <w:vAlign w:val="bottom"/>
          </w:tcPr>
          <w:p w14:paraId="36D4C4F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2.320 € </w:t>
            </w:r>
          </w:p>
        </w:tc>
        <w:tc>
          <w:tcPr>
            <w:tcW w:w="1701" w:type="dxa"/>
            <w:vAlign w:val="bottom"/>
          </w:tcPr>
          <w:p w14:paraId="1B94026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w:t>
            </w:r>
          </w:p>
        </w:tc>
        <w:tc>
          <w:tcPr>
            <w:tcW w:w="2083" w:type="dxa"/>
            <w:vAlign w:val="bottom"/>
          </w:tcPr>
          <w:p w14:paraId="182D13B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w:t>
            </w:r>
          </w:p>
        </w:tc>
      </w:tr>
      <w:tr w:rsidR="0083308B" w14:paraId="29FD1BAC"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954D5A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551" w:type="dxa"/>
            <w:vAlign w:val="bottom"/>
          </w:tcPr>
          <w:p w14:paraId="1694C88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1.295 € </w:t>
            </w:r>
          </w:p>
        </w:tc>
        <w:tc>
          <w:tcPr>
            <w:tcW w:w="1701" w:type="dxa"/>
            <w:vAlign w:val="bottom"/>
          </w:tcPr>
          <w:p w14:paraId="64DC9AC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w:t>
            </w:r>
          </w:p>
        </w:tc>
        <w:tc>
          <w:tcPr>
            <w:tcW w:w="2083" w:type="dxa"/>
            <w:vAlign w:val="bottom"/>
          </w:tcPr>
          <w:p w14:paraId="7E29F08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r>
      <w:tr w:rsidR="0083308B" w14:paraId="69F3CB0E"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E1B6AF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551" w:type="dxa"/>
            <w:vAlign w:val="bottom"/>
          </w:tcPr>
          <w:p w14:paraId="2CE3DC5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1.759 € </w:t>
            </w:r>
          </w:p>
        </w:tc>
        <w:tc>
          <w:tcPr>
            <w:tcW w:w="1701" w:type="dxa"/>
            <w:vAlign w:val="bottom"/>
          </w:tcPr>
          <w:p w14:paraId="3C883E6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w:t>
            </w:r>
          </w:p>
        </w:tc>
        <w:tc>
          <w:tcPr>
            <w:tcW w:w="2083" w:type="dxa"/>
            <w:vAlign w:val="bottom"/>
          </w:tcPr>
          <w:p w14:paraId="51CE147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83308B" w14:paraId="5DA1A4A1"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8C1D04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4E5FCE6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4.267 € </w:t>
            </w:r>
          </w:p>
        </w:tc>
        <w:tc>
          <w:tcPr>
            <w:tcW w:w="1701" w:type="dxa"/>
            <w:vAlign w:val="bottom"/>
          </w:tcPr>
          <w:p w14:paraId="4C7DBEA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w:t>
            </w:r>
          </w:p>
        </w:tc>
        <w:tc>
          <w:tcPr>
            <w:tcW w:w="2083" w:type="dxa"/>
            <w:vAlign w:val="bottom"/>
          </w:tcPr>
          <w:p w14:paraId="0F08BF5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w:t>
            </w:r>
          </w:p>
        </w:tc>
      </w:tr>
      <w:tr w:rsidR="0083308B" w14:paraId="4D0069F0"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D35928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551" w:type="dxa"/>
            <w:vAlign w:val="bottom"/>
          </w:tcPr>
          <w:p w14:paraId="2B42F6F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1.547 € </w:t>
            </w:r>
          </w:p>
        </w:tc>
        <w:tc>
          <w:tcPr>
            <w:tcW w:w="1701" w:type="dxa"/>
            <w:vAlign w:val="bottom"/>
          </w:tcPr>
          <w:p w14:paraId="43087AB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w:t>
            </w:r>
          </w:p>
        </w:tc>
        <w:tc>
          <w:tcPr>
            <w:tcW w:w="2083" w:type="dxa"/>
            <w:vAlign w:val="bottom"/>
          </w:tcPr>
          <w:p w14:paraId="37582E9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83308B" w14:paraId="26776E51"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3ED0B8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551" w:type="dxa"/>
            <w:vAlign w:val="bottom"/>
          </w:tcPr>
          <w:p w14:paraId="57E0371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1.848 € </w:t>
            </w:r>
          </w:p>
        </w:tc>
        <w:tc>
          <w:tcPr>
            <w:tcW w:w="1701" w:type="dxa"/>
            <w:vAlign w:val="bottom"/>
          </w:tcPr>
          <w:p w14:paraId="4FAE99F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w:t>
            </w:r>
          </w:p>
        </w:tc>
        <w:tc>
          <w:tcPr>
            <w:tcW w:w="2083" w:type="dxa"/>
            <w:vAlign w:val="bottom"/>
          </w:tcPr>
          <w:p w14:paraId="78566BE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83308B" w14:paraId="521F8946"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ECFDFC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551" w:type="dxa"/>
            <w:vAlign w:val="bottom"/>
          </w:tcPr>
          <w:p w14:paraId="17C8EB0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2.720 € </w:t>
            </w:r>
          </w:p>
        </w:tc>
        <w:tc>
          <w:tcPr>
            <w:tcW w:w="1701" w:type="dxa"/>
            <w:vAlign w:val="bottom"/>
          </w:tcPr>
          <w:p w14:paraId="11EC35B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w:t>
            </w:r>
          </w:p>
        </w:tc>
        <w:tc>
          <w:tcPr>
            <w:tcW w:w="2083" w:type="dxa"/>
            <w:vAlign w:val="bottom"/>
          </w:tcPr>
          <w:p w14:paraId="2DD4A73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83308B" w14:paraId="41C8D146"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EE2274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551" w:type="dxa"/>
            <w:vAlign w:val="bottom"/>
          </w:tcPr>
          <w:p w14:paraId="6509E1B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1.369 € </w:t>
            </w:r>
          </w:p>
        </w:tc>
        <w:tc>
          <w:tcPr>
            <w:tcW w:w="1701" w:type="dxa"/>
            <w:vAlign w:val="bottom"/>
          </w:tcPr>
          <w:p w14:paraId="47257DF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w:t>
            </w:r>
          </w:p>
        </w:tc>
        <w:tc>
          <w:tcPr>
            <w:tcW w:w="2083" w:type="dxa"/>
            <w:vAlign w:val="bottom"/>
          </w:tcPr>
          <w:p w14:paraId="045EBEC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83308B" w14:paraId="623C8467"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0113821"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551" w:type="dxa"/>
            <w:vAlign w:val="bottom"/>
          </w:tcPr>
          <w:p w14:paraId="3FA331B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1.528 € </w:t>
            </w:r>
          </w:p>
        </w:tc>
        <w:tc>
          <w:tcPr>
            <w:tcW w:w="1701" w:type="dxa"/>
            <w:vAlign w:val="bottom"/>
          </w:tcPr>
          <w:p w14:paraId="72B615C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0,8%</w:t>
            </w:r>
          </w:p>
        </w:tc>
        <w:tc>
          <w:tcPr>
            <w:tcW w:w="2083" w:type="dxa"/>
            <w:vAlign w:val="bottom"/>
          </w:tcPr>
          <w:p w14:paraId="4E6DB81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83308B" w14:paraId="6681C33D"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6B03DC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51" w:type="dxa"/>
            <w:vAlign w:val="bottom"/>
          </w:tcPr>
          <w:p w14:paraId="723EFDB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3.113 € </w:t>
            </w:r>
          </w:p>
        </w:tc>
        <w:tc>
          <w:tcPr>
            <w:tcW w:w="1701" w:type="dxa"/>
            <w:vAlign w:val="bottom"/>
          </w:tcPr>
          <w:p w14:paraId="759944E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0,8%</w:t>
            </w:r>
          </w:p>
        </w:tc>
        <w:tc>
          <w:tcPr>
            <w:tcW w:w="2083" w:type="dxa"/>
            <w:vAlign w:val="bottom"/>
          </w:tcPr>
          <w:p w14:paraId="13F62F5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83308B" w14:paraId="5F4A4823"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B2BD75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551" w:type="dxa"/>
            <w:vAlign w:val="bottom"/>
          </w:tcPr>
          <w:p w14:paraId="7BF04EA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1.248 € </w:t>
            </w:r>
          </w:p>
        </w:tc>
        <w:tc>
          <w:tcPr>
            <w:tcW w:w="1701" w:type="dxa"/>
            <w:vAlign w:val="bottom"/>
          </w:tcPr>
          <w:p w14:paraId="4D069C7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0,7%</w:t>
            </w:r>
          </w:p>
        </w:tc>
        <w:tc>
          <w:tcPr>
            <w:tcW w:w="2083" w:type="dxa"/>
            <w:vAlign w:val="bottom"/>
          </w:tcPr>
          <w:p w14:paraId="11AE1AE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83308B" w14:paraId="379B23EA"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FBE401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551" w:type="dxa"/>
            <w:vAlign w:val="bottom"/>
          </w:tcPr>
          <w:p w14:paraId="00AE1A0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1.450 € </w:t>
            </w:r>
          </w:p>
        </w:tc>
        <w:tc>
          <w:tcPr>
            <w:tcW w:w="1701" w:type="dxa"/>
            <w:vAlign w:val="bottom"/>
          </w:tcPr>
          <w:p w14:paraId="3229970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2083" w:type="dxa"/>
            <w:vAlign w:val="bottom"/>
          </w:tcPr>
          <w:p w14:paraId="00938D2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83308B" w14:paraId="5F5E946C"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5BDAB2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Zaragoza</w:t>
            </w:r>
          </w:p>
        </w:tc>
        <w:tc>
          <w:tcPr>
            <w:tcW w:w="2551" w:type="dxa"/>
            <w:vAlign w:val="bottom"/>
          </w:tcPr>
          <w:p w14:paraId="685CBEE7"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1.827 € </w:t>
            </w:r>
          </w:p>
        </w:tc>
        <w:tc>
          <w:tcPr>
            <w:tcW w:w="1701" w:type="dxa"/>
            <w:vAlign w:val="bottom"/>
          </w:tcPr>
          <w:p w14:paraId="491490C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2083" w:type="dxa"/>
            <w:vAlign w:val="bottom"/>
          </w:tcPr>
          <w:p w14:paraId="35036C4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r>
      <w:tr w:rsidR="0083308B" w14:paraId="17FAEECA"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70D3E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551" w:type="dxa"/>
            <w:vAlign w:val="bottom"/>
          </w:tcPr>
          <w:p w14:paraId="657DB7C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1.219 € </w:t>
            </w:r>
          </w:p>
        </w:tc>
        <w:tc>
          <w:tcPr>
            <w:tcW w:w="1701" w:type="dxa"/>
            <w:vAlign w:val="bottom"/>
          </w:tcPr>
          <w:p w14:paraId="23013BD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0,5%</w:t>
            </w:r>
          </w:p>
        </w:tc>
        <w:tc>
          <w:tcPr>
            <w:tcW w:w="2083" w:type="dxa"/>
            <w:vAlign w:val="bottom"/>
          </w:tcPr>
          <w:p w14:paraId="0161976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r>
      <w:tr w:rsidR="0083308B" w14:paraId="536A8557"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0A78C1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551" w:type="dxa"/>
            <w:vAlign w:val="bottom"/>
          </w:tcPr>
          <w:p w14:paraId="06B5D8A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3.589 € </w:t>
            </w:r>
          </w:p>
        </w:tc>
        <w:tc>
          <w:tcPr>
            <w:tcW w:w="1701" w:type="dxa"/>
            <w:vAlign w:val="bottom"/>
          </w:tcPr>
          <w:p w14:paraId="0945911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0,3%</w:t>
            </w:r>
          </w:p>
        </w:tc>
        <w:tc>
          <w:tcPr>
            <w:tcW w:w="2083" w:type="dxa"/>
            <w:vAlign w:val="bottom"/>
          </w:tcPr>
          <w:p w14:paraId="4CDCF33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83308B" w14:paraId="5E03CD3B"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88A375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551" w:type="dxa"/>
            <w:vAlign w:val="bottom"/>
          </w:tcPr>
          <w:p w14:paraId="297AE60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1.014 € </w:t>
            </w:r>
          </w:p>
        </w:tc>
        <w:tc>
          <w:tcPr>
            <w:tcW w:w="1701" w:type="dxa"/>
            <w:vAlign w:val="bottom"/>
          </w:tcPr>
          <w:p w14:paraId="6AD8061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0,0%</w:t>
            </w:r>
          </w:p>
        </w:tc>
        <w:tc>
          <w:tcPr>
            <w:tcW w:w="2083" w:type="dxa"/>
            <w:vAlign w:val="bottom"/>
          </w:tcPr>
          <w:p w14:paraId="7C6F89B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83308B" w14:paraId="16A6E129"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2E54BD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551" w:type="dxa"/>
            <w:vAlign w:val="bottom"/>
          </w:tcPr>
          <w:p w14:paraId="419B572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1.905 € </w:t>
            </w:r>
          </w:p>
        </w:tc>
        <w:tc>
          <w:tcPr>
            <w:tcW w:w="1701" w:type="dxa"/>
            <w:vAlign w:val="bottom"/>
          </w:tcPr>
          <w:p w14:paraId="7F6BBAD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-0,1%</w:t>
            </w:r>
          </w:p>
        </w:tc>
        <w:tc>
          <w:tcPr>
            <w:tcW w:w="2083" w:type="dxa"/>
            <w:vAlign w:val="bottom"/>
          </w:tcPr>
          <w:p w14:paraId="62EC19C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83308B" w14:paraId="15455DD8"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B1895E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551" w:type="dxa"/>
            <w:vAlign w:val="bottom"/>
          </w:tcPr>
          <w:p w14:paraId="193B4E4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1.163 € </w:t>
            </w:r>
          </w:p>
        </w:tc>
        <w:tc>
          <w:tcPr>
            <w:tcW w:w="1701" w:type="dxa"/>
            <w:vAlign w:val="bottom"/>
          </w:tcPr>
          <w:p w14:paraId="1336DCB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-0,2%</w:t>
            </w:r>
          </w:p>
        </w:tc>
        <w:tc>
          <w:tcPr>
            <w:tcW w:w="2083" w:type="dxa"/>
            <w:vAlign w:val="bottom"/>
          </w:tcPr>
          <w:p w14:paraId="3ABD8FE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83308B" w14:paraId="162A2344"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12DD64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551" w:type="dxa"/>
            <w:vAlign w:val="bottom"/>
          </w:tcPr>
          <w:p w14:paraId="76830F9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1.658 € </w:t>
            </w:r>
          </w:p>
        </w:tc>
        <w:tc>
          <w:tcPr>
            <w:tcW w:w="1701" w:type="dxa"/>
            <w:vAlign w:val="bottom"/>
          </w:tcPr>
          <w:p w14:paraId="1CFA79A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c>
          <w:tcPr>
            <w:tcW w:w="2083" w:type="dxa"/>
            <w:vAlign w:val="bottom"/>
          </w:tcPr>
          <w:p w14:paraId="501A25D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83308B" w14:paraId="67440763"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99794B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551" w:type="dxa"/>
            <w:vAlign w:val="bottom"/>
          </w:tcPr>
          <w:p w14:paraId="7731D08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1.452 € </w:t>
            </w:r>
          </w:p>
        </w:tc>
        <w:tc>
          <w:tcPr>
            <w:tcW w:w="1701" w:type="dxa"/>
            <w:vAlign w:val="bottom"/>
          </w:tcPr>
          <w:p w14:paraId="4D18C76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c>
          <w:tcPr>
            <w:tcW w:w="2083" w:type="dxa"/>
            <w:vAlign w:val="bottom"/>
          </w:tcPr>
          <w:p w14:paraId="4AA6422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83308B" w14:paraId="7C007967"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7DC568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551" w:type="dxa"/>
            <w:vAlign w:val="bottom"/>
          </w:tcPr>
          <w:p w14:paraId="1AF052A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1.221 € </w:t>
            </w:r>
          </w:p>
        </w:tc>
        <w:tc>
          <w:tcPr>
            <w:tcW w:w="1701" w:type="dxa"/>
            <w:vAlign w:val="bottom"/>
          </w:tcPr>
          <w:p w14:paraId="109FDA2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-0,7%</w:t>
            </w:r>
          </w:p>
        </w:tc>
        <w:tc>
          <w:tcPr>
            <w:tcW w:w="2083" w:type="dxa"/>
            <w:vAlign w:val="bottom"/>
          </w:tcPr>
          <w:p w14:paraId="5F813CA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-7,1%</w:t>
            </w:r>
          </w:p>
        </w:tc>
      </w:tr>
      <w:tr w:rsidR="0083308B" w14:paraId="0A98E32B"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93E611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551" w:type="dxa"/>
            <w:vAlign w:val="bottom"/>
          </w:tcPr>
          <w:p w14:paraId="291FDF8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957 € </w:t>
            </w:r>
          </w:p>
        </w:tc>
        <w:tc>
          <w:tcPr>
            <w:tcW w:w="1701" w:type="dxa"/>
            <w:vAlign w:val="bottom"/>
          </w:tcPr>
          <w:p w14:paraId="46CE7FD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-0,8%</w:t>
            </w:r>
          </w:p>
        </w:tc>
        <w:tc>
          <w:tcPr>
            <w:tcW w:w="2083" w:type="dxa"/>
            <w:vAlign w:val="bottom"/>
          </w:tcPr>
          <w:p w14:paraId="7B0BB12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83308B" w14:paraId="490E53F8"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64F979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51" w:type="dxa"/>
            <w:vAlign w:val="bottom"/>
          </w:tcPr>
          <w:p w14:paraId="5677C48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3.084 € </w:t>
            </w:r>
          </w:p>
        </w:tc>
        <w:tc>
          <w:tcPr>
            <w:tcW w:w="1701" w:type="dxa"/>
            <w:vAlign w:val="bottom"/>
          </w:tcPr>
          <w:p w14:paraId="4BBAC01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w:t>
            </w:r>
          </w:p>
        </w:tc>
        <w:tc>
          <w:tcPr>
            <w:tcW w:w="2083" w:type="dxa"/>
            <w:vAlign w:val="bottom"/>
          </w:tcPr>
          <w:p w14:paraId="566703E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83308B" w14:paraId="18FB785C"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5B825C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551" w:type="dxa"/>
            <w:vAlign w:val="bottom"/>
          </w:tcPr>
          <w:p w14:paraId="448D8D6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2.063 € </w:t>
            </w:r>
          </w:p>
        </w:tc>
        <w:tc>
          <w:tcPr>
            <w:tcW w:w="1701" w:type="dxa"/>
            <w:vAlign w:val="bottom"/>
          </w:tcPr>
          <w:p w14:paraId="05772B1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w:t>
            </w:r>
          </w:p>
        </w:tc>
        <w:tc>
          <w:tcPr>
            <w:tcW w:w="2083" w:type="dxa"/>
            <w:vAlign w:val="bottom"/>
          </w:tcPr>
          <w:p w14:paraId="47BC2C4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83308B" w14:paraId="2E428EDF"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2452FB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551" w:type="dxa"/>
            <w:vAlign w:val="bottom"/>
          </w:tcPr>
          <w:p w14:paraId="33449EE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1.089 € </w:t>
            </w:r>
          </w:p>
        </w:tc>
        <w:tc>
          <w:tcPr>
            <w:tcW w:w="1701" w:type="dxa"/>
            <w:vAlign w:val="bottom"/>
          </w:tcPr>
          <w:p w14:paraId="6A91D85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-3,3%</w:t>
            </w:r>
          </w:p>
        </w:tc>
        <w:tc>
          <w:tcPr>
            <w:tcW w:w="2083" w:type="dxa"/>
            <w:vAlign w:val="bottom"/>
          </w:tcPr>
          <w:p w14:paraId="782493A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83308B" w14:paraId="55E67A98" w14:textId="77777777" w:rsidTr="0083308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6FC2E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551" w:type="dxa"/>
            <w:vAlign w:val="bottom"/>
          </w:tcPr>
          <w:p w14:paraId="3C93D84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1.473 € </w:t>
            </w:r>
          </w:p>
        </w:tc>
        <w:tc>
          <w:tcPr>
            <w:tcW w:w="1701" w:type="dxa"/>
            <w:vAlign w:val="bottom"/>
          </w:tcPr>
          <w:p w14:paraId="0EDBF70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-3,5%</w:t>
            </w:r>
          </w:p>
        </w:tc>
        <w:tc>
          <w:tcPr>
            <w:tcW w:w="2083" w:type="dxa"/>
            <w:vAlign w:val="bottom"/>
          </w:tcPr>
          <w:p w14:paraId="27A090F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r>
      <w:tr w:rsidR="0083308B" w14:paraId="32CC0911" w14:textId="77777777" w:rsidTr="0083308B">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5FA06C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551" w:type="dxa"/>
            <w:vAlign w:val="bottom"/>
          </w:tcPr>
          <w:p w14:paraId="63E2561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1.179 € </w:t>
            </w:r>
          </w:p>
        </w:tc>
        <w:tc>
          <w:tcPr>
            <w:tcW w:w="1701" w:type="dxa"/>
            <w:vAlign w:val="bottom"/>
          </w:tcPr>
          <w:p w14:paraId="7D0E3FE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-7,5%</w:t>
            </w:r>
          </w:p>
        </w:tc>
        <w:tc>
          <w:tcPr>
            <w:tcW w:w="2083" w:type="dxa"/>
            <w:vAlign w:val="bottom"/>
          </w:tcPr>
          <w:p w14:paraId="26B6183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-6,5%</w:t>
            </w:r>
          </w:p>
        </w:tc>
      </w:tr>
    </w:tbl>
    <w:p w14:paraId="64B0BE1A" w14:textId="77777777" w:rsidR="00C7624F" w:rsidRDefault="00C7624F">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58849A28" w14:textId="75053AE1" w:rsidR="0083308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incremento trimestral (sep. 2024)</w:t>
      </w:r>
    </w:p>
    <w:tbl>
      <w:tblPr>
        <w:tblStyle w:val="a8"/>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83308B" w14:paraId="175E48D2" w14:textId="77777777" w:rsidTr="0083308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721AC73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6" w:type="dxa"/>
            <w:shd w:val="clear" w:color="auto" w:fill="1DBDC5"/>
            <w:vAlign w:val="center"/>
          </w:tcPr>
          <w:p w14:paraId="0859B59E" w14:textId="77777777" w:rsidR="0083308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shd w:val="clear" w:color="auto" w:fill="1DBDC5"/>
          </w:tcPr>
          <w:p w14:paraId="7499350E"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2024</w:t>
            </w:r>
          </w:p>
          <w:p w14:paraId="34953EF1"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42" w:type="dxa"/>
            <w:shd w:val="clear" w:color="auto" w:fill="1DBDC5"/>
          </w:tcPr>
          <w:p w14:paraId="5C9C69E8"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76" w:type="dxa"/>
            <w:shd w:val="clear" w:color="auto" w:fill="1DBDC5"/>
          </w:tcPr>
          <w:p w14:paraId="7797D89F"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3308B" w14:paraId="7412DFC8"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71C59E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96" w:type="dxa"/>
            <w:vAlign w:val="bottom"/>
          </w:tcPr>
          <w:p w14:paraId="35B20D45"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843" w:type="dxa"/>
            <w:vAlign w:val="bottom"/>
          </w:tcPr>
          <w:p w14:paraId="0AB3F0C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1.576 € </w:t>
            </w:r>
          </w:p>
        </w:tc>
        <w:tc>
          <w:tcPr>
            <w:tcW w:w="1842" w:type="dxa"/>
            <w:vAlign w:val="bottom"/>
          </w:tcPr>
          <w:p w14:paraId="3429AF0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8,2%</w:t>
            </w:r>
          </w:p>
        </w:tc>
        <w:tc>
          <w:tcPr>
            <w:tcW w:w="1776" w:type="dxa"/>
            <w:vAlign w:val="bottom"/>
          </w:tcPr>
          <w:p w14:paraId="3E2D89F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83308B" w14:paraId="476F9E10"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320030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96" w:type="dxa"/>
            <w:vAlign w:val="bottom"/>
          </w:tcPr>
          <w:p w14:paraId="4E21EC41"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843" w:type="dxa"/>
            <w:vAlign w:val="bottom"/>
          </w:tcPr>
          <w:p w14:paraId="06714DF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2.108 € </w:t>
            </w:r>
          </w:p>
        </w:tc>
        <w:tc>
          <w:tcPr>
            <w:tcW w:w="1842" w:type="dxa"/>
            <w:vAlign w:val="bottom"/>
          </w:tcPr>
          <w:p w14:paraId="43C9844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6,5%</w:t>
            </w:r>
          </w:p>
        </w:tc>
        <w:tc>
          <w:tcPr>
            <w:tcW w:w="1776" w:type="dxa"/>
            <w:vAlign w:val="bottom"/>
          </w:tcPr>
          <w:p w14:paraId="24E384E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83308B" w14:paraId="644FA59C"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00FB27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96" w:type="dxa"/>
            <w:vAlign w:val="bottom"/>
          </w:tcPr>
          <w:p w14:paraId="153E533A"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843" w:type="dxa"/>
            <w:vAlign w:val="bottom"/>
          </w:tcPr>
          <w:p w14:paraId="130BA34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3.132 € </w:t>
            </w:r>
          </w:p>
        </w:tc>
        <w:tc>
          <w:tcPr>
            <w:tcW w:w="1842" w:type="dxa"/>
            <w:vAlign w:val="bottom"/>
          </w:tcPr>
          <w:p w14:paraId="4084828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5,1%</w:t>
            </w:r>
          </w:p>
        </w:tc>
        <w:tc>
          <w:tcPr>
            <w:tcW w:w="1776" w:type="dxa"/>
            <w:vAlign w:val="bottom"/>
          </w:tcPr>
          <w:p w14:paraId="3690992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83308B" w14:paraId="10CCCABE"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E913FF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96" w:type="dxa"/>
            <w:vAlign w:val="bottom"/>
          </w:tcPr>
          <w:p w14:paraId="054FCEF6"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43" w:type="dxa"/>
            <w:vAlign w:val="bottom"/>
          </w:tcPr>
          <w:p w14:paraId="61C359E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1.566 € </w:t>
            </w:r>
          </w:p>
        </w:tc>
        <w:tc>
          <w:tcPr>
            <w:tcW w:w="1842" w:type="dxa"/>
            <w:vAlign w:val="bottom"/>
          </w:tcPr>
          <w:p w14:paraId="1E5BF48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4,4%</w:t>
            </w:r>
          </w:p>
        </w:tc>
        <w:tc>
          <w:tcPr>
            <w:tcW w:w="1776" w:type="dxa"/>
            <w:vAlign w:val="bottom"/>
          </w:tcPr>
          <w:p w14:paraId="48C0356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83308B" w14:paraId="59569E0C"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B8AA23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96" w:type="dxa"/>
            <w:vAlign w:val="bottom"/>
          </w:tcPr>
          <w:p w14:paraId="307D9429"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843" w:type="dxa"/>
            <w:vAlign w:val="bottom"/>
          </w:tcPr>
          <w:p w14:paraId="5CA9B89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1.539 € </w:t>
            </w:r>
          </w:p>
        </w:tc>
        <w:tc>
          <w:tcPr>
            <w:tcW w:w="1842" w:type="dxa"/>
            <w:vAlign w:val="bottom"/>
          </w:tcPr>
          <w:p w14:paraId="761C696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4,2%</w:t>
            </w:r>
          </w:p>
        </w:tc>
        <w:tc>
          <w:tcPr>
            <w:tcW w:w="1776" w:type="dxa"/>
            <w:vAlign w:val="bottom"/>
          </w:tcPr>
          <w:p w14:paraId="3B05673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83308B" w14:paraId="104306CF"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AFA1B1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96" w:type="dxa"/>
            <w:vAlign w:val="bottom"/>
          </w:tcPr>
          <w:p w14:paraId="17EED877"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843" w:type="dxa"/>
            <w:vAlign w:val="bottom"/>
          </w:tcPr>
          <w:p w14:paraId="40F3183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1.851 € </w:t>
            </w:r>
          </w:p>
        </w:tc>
        <w:tc>
          <w:tcPr>
            <w:tcW w:w="1842" w:type="dxa"/>
            <w:vAlign w:val="bottom"/>
          </w:tcPr>
          <w:p w14:paraId="48F588D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4,0%</w:t>
            </w:r>
          </w:p>
        </w:tc>
        <w:tc>
          <w:tcPr>
            <w:tcW w:w="1776" w:type="dxa"/>
            <w:vAlign w:val="bottom"/>
          </w:tcPr>
          <w:p w14:paraId="0E8E9DA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83308B" w14:paraId="0550F256"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668DF5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96" w:type="dxa"/>
            <w:vAlign w:val="bottom"/>
          </w:tcPr>
          <w:p w14:paraId="304C9932"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843" w:type="dxa"/>
            <w:vAlign w:val="bottom"/>
          </w:tcPr>
          <w:p w14:paraId="059DDA6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1.769 € </w:t>
            </w:r>
          </w:p>
        </w:tc>
        <w:tc>
          <w:tcPr>
            <w:tcW w:w="1842" w:type="dxa"/>
            <w:vAlign w:val="bottom"/>
          </w:tcPr>
          <w:p w14:paraId="13D1311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3,9%</w:t>
            </w:r>
          </w:p>
        </w:tc>
        <w:tc>
          <w:tcPr>
            <w:tcW w:w="1776" w:type="dxa"/>
            <w:vAlign w:val="bottom"/>
          </w:tcPr>
          <w:p w14:paraId="5B55CAC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83308B" w14:paraId="1CD09057"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D6D900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96" w:type="dxa"/>
            <w:vAlign w:val="bottom"/>
          </w:tcPr>
          <w:p w14:paraId="3F3A4A22"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843" w:type="dxa"/>
            <w:vAlign w:val="bottom"/>
          </w:tcPr>
          <w:p w14:paraId="3A3AD70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2.128 € </w:t>
            </w:r>
          </w:p>
        </w:tc>
        <w:tc>
          <w:tcPr>
            <w:tcW w:w="1842" w:type="dxa"/>
            <w:vAlign w:val="bottom"/>
          </w:tcPr>
          <w:p w14:paraId="7E58688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3,9%</w:t>
            </w:r>
          </w:p>
        </w:tc>
        <w:tc>
          <w:tcPr>
            <w:tcW w:w="1776" w:type="dxa"/>
            <w:vAlign w:val="bottom"/>
          </w:tcPr>
          <w:p w14:paraId="20B00C3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83308B" w14:paraId="046522D3"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83E199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96" w:type="dxa"/>
            <w:vAlign w:val="bottom"/>
          </w:tcPr>
          <w:p w14:paraId="5168BAB4"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843" w:type="dxa"/>
            <w:vAlign w:val="bottom"/>
          </w:tcPr>
          <w:p w14:paraId="39CF671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2.065 € </w:t>
            </w:r>
          </w:p>
        </w:tc>
        <w:tc>
          <w:tcPr>
            <w:tcW w:w="1842" w:type="dxa"/>
            <w:vAlign w:val="bottom"/>
          </w:tcPr>
          <w:p w14:paraId="64B336D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3,6%</w:t>
            </w:r>
          </w:p>
        </w:tc>
        <w:tc>
          <w:tcPr>
            <w:tcW w:w="1776" w:type="dxa"/>
            <w:vAlign w:val="bottom"/>
          </w:tcPr>
          <w:p w14:paraId="4A4CEE7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w:t>
            </w:r>
          </w:p>
        </w:tc>
      </w:tr>
      <w:tr w:rsidR="0083308B" w14:paraId="75C0A250"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6F5B91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96" w:type="dxa"/>
            <w:vAlign w:val="bottom"/>
          </w:tcPr>
          <w:p w14:paraId="0BCA894A"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843" w:type="dxa"/>
            <w:vAlign w:val="bottom"/>
          </w:tcPr>
          <w:p w14:paraId="74019ED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1.659 € </w:t>
            </w:r>
          </w:p>
        </w:tc>
        <w:tc>
          <w:tcPr>
            <w:tcW w:w="1842" w:type="dxa"/>
            <w:vAlign w:val="bottom"/>
          </w:tcPr>
          <w:p w14:paraId="7D38935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3,5%</w:t>
            </w:r>
          </w:p>
        </w:tc>
        <w:tc>
          <w:tcPr>
            <w:tcW w:w="1776" w:type="dxa"/>
            <w:vAlign w:val="bottom"/>
          </w:tcPr>
          <w:p w14:paraId="7E78A78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83308B" w14:paraId="01262291"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A1FCC0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96" w:type="dxa"/>
            <w:vAlign w:val="bottom"/>
          </w:tcPr>
          <w:p w14:paraId="30E2F0DA"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843" w:type="dxa"/>
            <w:vAlign w:val="bottom"/>
          </w:tcPr>
          <w:p w14:paraId="0D3E999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2.876 € </w:t>
            </w:r>
          </w:p>
        </w:tc>
        <w:tc>
          <w:tcPr>
            <w:tcW w:w="1842" w:type="dxa"/>
            <w:vAlign w:val="bottom"/>
          </w:tcPr>
          <w:p w14:paraId="3597DB4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3,4%</w:t>
            </w:r>
          </w:p>
        </w:tc>
        <w:tc>
          <w:tcPr>
            <w:tcW w:w="1776" w:type="dxa"/>
            <w:vAlign w:val="bottom"/>
          </w:tcPr>
          <w:p w14:paraId="1DC3F1F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83308B" w14:paraId="6888BA79"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F08D0FF"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6" w:type="dxa"/>
            <w:vAlign w:val="bottom"/>
          </w:tcPr>
          <w:p w14:paraId="00468296"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843" w:type="dxa"/>
            <w:vAlign w:val="bottom"/>
          </w:tcPr>
          <w:p w14:paraId="2C0C591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2.297 € </w:t>
            </w:r>
          </w:p>
        </w:tc>
        <w:tc>
          <w:tcPr>
            <w:tcW w:w="1842" w:type="dxa"/>
            <w:vAlign w:val="bottom"/>
          </w:tcPr>
          <w:p w14:paraId="70C2D07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3,3%</w:t>
            </w:r>
          </w:p>
        </w:tc>
        <w:tc>
          <w:tcPr>
            <w:tcW w:w="1776" w:type="dxa"/>
            <w:vAlign w:val="bottom"/>
          </w:tcPr>
          <w:p w14:paraId="7CC339A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83308B" w14:paraId="766F2083"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066B44F"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5F201A4E"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843" w:type="dxa"/>
            <w:vAlign w:val="bottom"/>
          </w:tcPr>
          <w:p w14:paraId="6D9E19D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2.991 € </w:t>
            </w:r>
          </w:p>
        </w:tc>
        <w:tc>
          <w:tcPr>
            <w:tcW w:w="1842" w:type="dxa"/>
            <w:vAlign w:val="bottom"/>
          </w:tcPr>
          <w:p w14:paraId="655268C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3,3%</w:t>
            </w:r>
          </w:p>
        </w:tc>
        <w:tc>
          <w:tcPr>
            <w:tcW w:w="1776" w:type="dxa"/>
            <w:vAlign w:val="bottom"/>
          </w:tcPr>
          <w:p w14:paraId="258B920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w:t>
            </w:r>
          </w:p>
        </w:tc>
      </w:tr>
      <w:tr w:rsidR="0083308B" w14:paraId="136CAC47"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03F445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6" w:type="dxa"/>
            <w:vAlign w:val="bottom"/>
          </w:tcPr>
          <w:p w14:paraId="362D9619"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843" w:type="dxa"/>
            <w:vAlign w:val="bottom"/>
          </w:tcPr>
          <w:p w14:paraId="0DE4046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2.603 € </w:t>
            </w:r>
          </w:p>
        </w:tc>
        <w:tc>
          <w:tcPr>
            <w:tcW w:w="1842" w:type="dxa"/>
            <w:vAlign w:val="bottom"/>
          </w:tcPr>
          <w:p w14:paraId="7F8A2D5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3,2%</w:t>
            </w:r>
          </w:p>
        </w:tc>
        <w:tc>
          <w:tcPr>
            <w:tcW w:w="1776" w:type="dxa"/>
            <w:vAlign w:val="bottom"/>
          </w:tcPr>
          <w:p w14:paraId="72FA9D2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w:t>
            </w:r>
          </w:p>
        </w:tc>
      </w:tr>
      <w:tr w:rsidR="0083308B" w14:paraId="42BB1FB3"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B19ED0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96" w:type="dxa"/>
            <w:vAlign w:val="bottom"/>
          </w:tcPr>
          <w:p w14:paraId="3CA7A340"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843" w:type="dxa"/>
            <w:vAlign w:val="bottom"/>
          </w:tcPr>
          <w:p w14:paraId="062EA97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2.868 € </w:t>
            </w:r>
          </w:p>
        </w:tc>
        <w:tc>
          <w:tcPr>
            <w:tcW w:w="1842" w:type="dxa"/>
            <w:vAlign w:val="bottom"/>
          </w:tcPr>
          <w:p w14:paraId="472709B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3,1%</w:t>
            </w:r>
          </w:p>
        </w:tc>
        <w:tc>
          <w:tcPr>
            <w:tcW w:w="1776" w:type="dxa"/>
            <w:vAlign w:val="bottom"/>
          </w:tcPr>
          <w:p w14:paraId="3FABF3F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83308B" w14:paraId="556B3034"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FBBEF1F"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96" w:type="dxa"/>
            <w:vAlign w:val="bottom"/>
          </w:tcPr>
          <w:p w14:paraId="07D12A9E"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43" w:type="dxa"/>
            <w:vAlign w:val="bottom"/>
          </w:tcPr>
          <w:p w14:paraId="7E5CA54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2.996 € </w:t>
            </w:r>
          </w:p>
        </w:tc>
        <w:tc>
          <w:tcPr>
            <w:tcW w:w="1842" w:type="dxa"/>
            <w:vAlign w:val="bottom"/>
          </w:tcPr>
          <w:p w14:paraId="433D38E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3,0%</w:t>
            </w:r>
          </w:p>
        </w:tc>
        <w:tc>
          <w:tcPr>
            <w:tcW w:w="1776" w:type="dxa"/>
            <w:vAlign w:val="bottom"/>
          </w:tcPr>
          <w:p w14:paraId="1EBD0B67"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83308B" w14:paraId="7B47C51B"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C25272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96" w:type="dxa"/>
            <w:vAlign w:val="bottom"/>
          </w:tcPr>
          <w:p w14:paraId="085C3BCC"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43" w:type="dxa"/>
            <w:vAlign w:val="bottom"/>
          </w:tcPr>
          <w:p w14:paraId="556EA3C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1.459 € </w:t>
            </w:r>
          </w:p>
        </w:tc>
        <w:tc>
          <w:tcPr>
            <w:tcW w:w="1842" w:type="dxa"/>
            <w:vAlign w:val="bottom"/>
          </w:tcPr>
          <w:p w14:paraId="108ECD2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3,0%</w:t>
            </w:r>
          </w:p>
        </w:tc>
        <w:tc>
          <w:tcPr>
            <w:tcW w:w="1776" w:type="dxa"/>
            <w:vAlign w:val="bottom"/>
          </w:tcPr>
          <w:p w14:paraId="51606D2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83308B" w14:paraId="5FA57ECB"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B61A48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96" w:type="dxa"/>
            <w:vAlign w:val="bottom"/>
          </w:tcPr>
          <w:p w14:paraId="3BF0C0E8"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843" w:type="dxa"/>
            <w:vAlign w:val="bottom"/>
          </w:tcPr>
          <w:p w14:paraId="1E25482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1.972 € </w:t>
            </w:r>
          </w:p>
        </w:tc>
        <w:tc>
          <w:tcPr>
            <w:tcW w:w="1842" w:type="dxa"/>
            <w:vAlign w:val="bottom"/>
          </w:tcPr>
          <w:p w14:paraId="174E62D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3,0%</w:t>
            </w:r>
          </w:p>
        </w:tc>
        <w:tc>
          <w:tcPr>
            <w:tcW w:w="1776" w:type="dxa"/>
            <w:vAlign w:val="bottom"/>
          </w:tcPr>
          <w:p w14:paraId="3532244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83308B" w14:paraId="188FFACC"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AFE1FE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96" w:type="dxa"/>
            <w:vAlign w:val="bottom"/>
          </w:tcPr>
          <w:p w14:paraId="321A481E"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843" w:type="dxa"/>
            <w:vAlign w:val="bottom"/>
          </w:tcPr>
          <w:p w14:paraId="354D7C1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1.592 € </w:t>
            </w:r>
          </w:p>
        </w:tc>
        <w:tc>
          <w:tcPr>
            <w:tcW w:w="1842" w:type="dxa"/>
            <w:vAlign w:val="bottom"/>
          </w:tcPr>
          <w:p w14:paraId="789E6C5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2,9%</w:t>
            </w:r>
          </w:p>
        </w:tc>
        <w:tc>
          <w:tcPr>
            <w:tcW w:w="1776" w:type="dxa"/>
            <w:vAlign w:val="bottom"/>
          </w:tcPr>
          <w:p w14:paraId="70AF850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83308B" w14:paraId="7884E68B"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6952B1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96" w:type="dxa"/>
            <w:vAlign w:val="bottom"/>
          </w:tcPr>
          <w:p w14:paraId="03A2058B"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843" w:type="dxa"/>
            <w:vAlign w:val="bottom"/>
          </w:tcPr>
          <w:p w14:paraId="79BB5B37"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1.722 € </w:t>
            </w:r>
          </w:p>
        </w:tc>
        <w:tc>
          <w:tcPr>
            <w:tcW w:w="1842" w:type="dxa"/>
            <w:vAlign w:val="bottom"/>
          </w:tcPr>
          <w:p w14:paraId="23A7564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2,8%</w:t>
            </w:r>
          </w:p>
        </w:tc>
        <w:tc>
          <w:tcPr>
            <w:tcW w:w="1776" w:type="dxa"/>
            <w:vAlign w:val="bottom"/>
          </w:tcPr>
          <w:p w14:paraId="65A4A61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w:t>
            </w:r>
          </w:p>
        </w:tc>
      </w:tr>
      <w:tr w:rsidR="0083308B" w14:paraId="14426BE4"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D8D5E0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Almería</w:t>
            </w:r>
          </w:p>
        </w:tc>
        <w:tc>
          <w:tcPr>
            <w:tcW w:w="2196" w:type="dxa"/>
            <w:vAlign w:val="bottom"/>
          </w:tcPr>
          <w:p w14:paraId="535E06CB"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843" w:type="dxa"/>
            <w:vAlign w:val="bottom"/>
          </w:tcPr>
          <w:p w14:paraId="59376D1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1.647 € </w:t>
            </w:r>
          </w:p>
        </w:tc>
        <w:tc>
          <w:tcPr>
            <w:tcW w:w="1842" w:type="dxa"/>
            <w:vAlign w:val="bottom"/>
          </w:tcPr>
          <w:p w14:paraId="3E5FFE6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2,7%</w:t>
            </w:r>
          </w:p>
        </w:tc>
        <w:tc>
          <w:tcPr>
            <w:tcW w:w="1776" w:type="dxa"/>
            <w:vAlign w:val="bottom"/>
          </w:tcPr>
          <w:p w14:paraId="03B00F2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83308B" w14:paraId="09125790"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331D50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96" w:type="dxa"/>
            <w:vAlign w:val="bottom"/>
          </w:tcPr>
          <w:p w14:paraId="39C76203"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843" w:type="dxa"/>
            <w:vAlign w:val="bottom"/>
          </w:tcPr>
          <w:p w14:paraId="3107E47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1.633 € </w:t>
            </w:r>
          </w:p>
        </w:tc>
        <w:tc>
          <w:tcPr>
            <w:tcW w:w="1842" w:type="dxa"/>
            <w:vAlign w:val="bottom"/>
          </w:tcPr>
          <w:p w14:paraId="16D42E67"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2,6%</w:t>
            </w:r>
          </w:p>
        </w:tc>
        <w:tc>
          <w:tcPr>
            <w:tcW w:w="1776" w:type="dxa"/>
            <w:vAlign w:val="bottom"/>
          </w:tcPr>
          <w:p w14:paraId="6504ED5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83308B" w14:paraId="4D7C0B33"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FB5D5D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96" w:type="dxa"/>
            <w:vAlign w:val="bottom"/>
          </w:tcPr>
          <w:p w14:paraId="1DD8E76E"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843" w:type="dxa"/>
            <w:vAlign w:val="bottom"/>
          </w:tcPr>
          <w:p w14:paraId="2533306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2.216 € </w:t>
            </w:r>
          </w:p>
        </w:tc>
        <w:tc>
          <w:tcPr>
            <w:tcW w:w="1842" w:type="dxa"/>
            <w:vAlign w:val="bottom"/>
          </w:tcPr>
          <w:p w14:paraId="37D4467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2,5%</w:t>
            </w:r>
          </w:p>
        </w:tc>
        <w:tc>
          <w:tcPr>
            <w:tcW w:w="1776" w:type="dxa"/>
            <w:vAlign w:val="bottom"/>
          </w:tcPr>
          <w:p w14:paraId="65A030C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83308B" w14:paraId="2125C4A9"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AC67341"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96" w:type="dxa"/>
            <w:vAlign w:val="bottom"/>
          </w:tcPr>
          <w:p w14:paraId="1A404248"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843" w:type="dxa"/>
            <w:vAlign w:val="bottom"/>
          </w:tcPr>
          <w:p w14:paraId="2E3B8A7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2.572 € </w:t>
            </w:r>
          </w:p>
        </w:tc>
        <w:tc>
          <w:tcPr>
            <w:tcW w:w="1842" w:type="dxa"/>
            <w:vAlign w:val="bottom"/>
          </w:tcPr>
          <w:p w14:paraId="3D3AD31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2,5%</w:t>
            </w:r>
          </w:p>
        </w:tc>
        <w:tc>
          <w:tcPr>
            <w:tcW w:w="1776" w:type="dxa"/>
            <w:vAlign w:val="bottom"/>
          </w:tcPr>
          <w:p w14:paraId="14BFE7A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83308B" w14:paraId="282A49FA"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0F6519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96" w:type="dxa"/>
            <w:vAlign w:val="bottom"/>
          </w:tcPr>
          <w:p w14:paraId="44A4477F"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843" w:type="dxa"/>
            <w:vAlign w:val="bottom"/>
          </w:tcPr>
          <w:p w14:paraId="6D57BDD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1.506 € </w:t>
            </w:r>
          </w:p>
        </w:tc>
        <w:tc>
          <w:tcPr>
            <w:tcW w:w="1842" w:type="dxa"/>
            <w:vAlign w:val="bottom"/>
          </w:tcPr>
          <w:p w14:paraId="5A1A876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2,3%</w:t>
            </w:r>
          </w:p>
        </w:tc>
        <w:tc>
          <w:tcPr>
            <w:tcW w:w="1776" w:type="dxa"/>
            <w:vAlign w:val="bottom"/>
          </w:tcPr>
          <w:p w14:paraId="46C900A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w:t>
            </w:r>
          </w:p>
        </w:tc>
      </w:tr>
      <w:tr w:rsidR="0083308B" w14:paraId="441E9EA3"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964D0B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96" w:type="dxa"/>
            <w:vAlign w:val="bottom"/>
          </w:tcPr>
          <w:p w14:paraId="2BA7CE9A"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5FADC6C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1.704 € </w:t>
            </w:r>
          </w:p>
        </w:tc>
        <w:tc>
          <w:tcPr>
            <w:tcW w:w="1842" w:type="dxa"/>
            <w:vAlign w:val="bottom"/>
          </w:tcPr>
          <w:p w14:paraId="28AFC28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c>
          <w:tcPr>
            <w:tcW w:w="1776" w:type="dxa"/>
            <w:vAlign w:val="bottom"/>
          </w:tcPr>
          <w:p w14:paraId="79C6365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83308B" w14:paraId="1C37A2BB"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5B8AB8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96" w:type="dxa"/>
            <w:vAlign w:val="bottom"/>
          </w:tcPr>
          <w:p w14:paraId="789A4657"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51897D0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6.442 € </w:t>
            </w:r>
          </w:p>
        </w:tc>
        <w:tc>
          <w:tcPr>
            <w:tcW w:w="1842" w:type="dxa"/>
            <w:vAlign w:val="bottom"/>
          </w:tcPr>
          <w:p w14:paraId="228F48E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c>
          <w:tcPr>
            <w:tcW w:w="1776" w:type="dxa"/>
            <w:vAlign w:val="bottom"/>
          </w:tcPr>
          <w:p w14:paraId="6DEC459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83308B" w14:paraId="6462CEBB"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D6A9BC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96" w:type="dxa"/>
            <w:vAlign w:val="bottom"/>
          </w:tcPr>
          <w:p w14:paraId="1DE7E656"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647C231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2.506 € </w:t>
            </w:r>
          </w:p>
        </w:tc>
        <w:tc>
          <w:tcPr>
            <w:tcW w:w="1842" w:type="dxa"/>
            <w:vAlign w:val="bottom"/>
          </w:tcPr>
          <w:p w14:paraId="095A3B5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c>
          <w:tcPr>
            <w:tcW w:w="1776" w:type="dxa"/>
            <w:vAlign w:val="bottom"/>
          </w:tcPr>
          <w:p w14:paraId="65A41FB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w:t>
            </w:r>
          </w:p>
        </w:tc>
      </w:tr>
      <w:tr w:rsidR="0083308B" w14:paraId="7593AFCD"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DA1CEC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96" w:type="dxa"/>
            <w:vAlign w:val="bottom"/>
          </w:tcPr>
          <w:p w14:paraId="03875369"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79979AD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1.636 € </w:t>
            </w:r>
          </w:p>
        </w:tc>
        <w:tc>
          <w:tcPr>
            <w:tcW w:w="1842" w:type="dxa"/>
            <w:vAlign w:val="bottom"/>
          </w:tcPr>
          <w:p w14:paraId="481B1C3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c>
          <w:tcPr>
            <w:tcW w:w="1776" w:type="dxa"/>
            <w:vAlign w:val="bottom"/>
          </w:tcPr>
          <w:p w14:paraId="53155CB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83308B" w14:paraId="5A7B3426"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DCC2FF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96" w:type="dxa"/>
            <w:vAlign w:val="bottom"/>
          </w:tcPr>
          <w:p w14:paraId="5D586D72"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246B850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3.903 € </w:t>
            </w:r>
          </w:p>
        </w:tc>
        <w:tc>
          <w:tcPr>
            <w:tcW w:w="1842" w:type="dxa"/>
            <w:vAlign w:val="bottom"/>
          </w:tcPr>
          <w:p w14:paraId="4BDB5CD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c>
          <w:tcPr>
            <w:tcW w:w="1776" w:type="dxa"/>
            <w:vAlign w:val="bottom"/>
          </w:tcPr>
          <w:p w14:paraId="3985BB9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w:t>
            </w:r>
          </w:p>
        </w:tc>
      </w:tr>
      <w:tr w:rsidR="0083308B" w14:paraId="4FDF413B"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38C85E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96" w:type="dxa"/>
            <w:vAlign w:val="bottom"/>
          </w:tcPr>
          <w:p w14:paraId="00F99835"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0250DFF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2.837 € </w:t>
            </w:r>
          </w:p>
        </w:tc>
        <w:tc>
          <w:tcPr>
            <w:tcW w:w="1842" w:type="dxa"/>
            <w:vAlign w:val="bottom"/>
          </w:tcPr>
          <w:p w14:paraId="73AC5E0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c>
          <w:tcPr>
            <w:tcW w:w="1776" w:type="dxa"/>
            <w:vAlign w:val="bottom"/>
          </w:tcPr>
          <w:p w14:paraId="36A0BF7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83308B" w14:paraId="64805CEF"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2D642F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96" w:type="dxa"/>
            <w:vAlign w:val="bottom"/>
          </w:tcPr>
          <w:p w14:paraId="30D398A2"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40933A5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2.689 € </w:t>
            </w:r>
          </w:p>
        </w:tc>
        <w:tc>
          <w:tcPr>
            <w:tcW w:w="1842" w:type="dxa"/>
            <w:vAlign w:val="bottom"/>
          </w:tcPr>
          <w:p w14:paraId="6B32245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c>
          <w:tcPr>
            <w:tcW w:w="1776" w:type="dxa"/>
            <w:vAlign w:val="bottom"/>
          </w:tcPr>
          <w:p w14:paraId="7DA9572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83308B" w14:paraId="7DC08177"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B7A35D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96" w:type="dxa"/>
            <w:vAlign w:val="bottom"/>
          </w:tcPr>
          <w:p w14:paraId="0A7013A2"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08ADECD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1.762 € </w:t>
            </w:r>
          </w:p>
        </w:tc>
        <w:tc>
          <w:tcPr>
            <w:tcW w:w="1842" w:type="dxa"/>
            <w:vAlign w:val="bottom"/>
          </w:tcPr>
          <w:p w14:paraId="1364D14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c>
          <w:tcPr>
            <w:tcW w:w="1776" w:type="dxa"/>
            <w:vAlign w:val="bottom"/>
          </w:tcPr>
          <w:p w14:paraId="1DBD2EF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83308B" w14:paraId="2345136D"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D339F1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96" w:type="dxa"/>
            <w:vAlign w:val="bottom"/>
          </w:tcPr>
          <w:p w14:paraId="206B7F70"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5704C11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1.623 € </w:t>
            </w:r>
          </w:p>
        </w:tc>
        <w:tc>
          <w:tcPr>
            <w:tcW w:w="1842" w:type="dxa"/>
            <w:vAlign w:val="bottom"/>
          </w:tcPr>
          <w:p w14:paraId="6C71055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w:t>
            </w:r>
          </w:p>
        </w:tc>
        <w:tc>
          <w:tcPr>
            <w:tcW w:w="1776" w:type="dxa"/>
            <w:vAlign w:val="bottom"/>
          </w:tcPr>
          <w:p w14:paraId="46E6E75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83308B" w14:paraId="64494FDA"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C06FFE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96" w:type="dxa"/>
            <w:vAlign w:val="bottom"/>
          </w:tcPr>
          <w:p w14:paraId="23935F4A"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67BB59B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1.977 € </w:t>
            </w:r>
          </w:p>
        </w:tc>
        <w:tc>
          <w:tcPr>
            <w:tcW w:w="1842" w:type="dxa"/>
            <w:vAlign w:val="bottom"/>
          </w:tcPr>
          <w:p w14:paraId="196DDEC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w:t>
            </w:r>
          </w:p>
        </w:tc>
        <w:tc>
          <w:tcPr>
            <w:tcW w:w="1776" w:type="dxa"/>
            <w:vAlign w:val="bottom"/>
          </w:tcPr>
          <w:p w14:paraId="2707761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w:t>
            </w:r>
          </w:p>
        </w:tc>
      </w:tr>
      <w:tr w:rsidR="0083308B" w14:paraId="7E6CD551"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B894AB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96" w:type="dxa"/>
            <w:vAlign w:val="bottom"/>
          </w:tcPr>
          <w:p w14:paraId="0D0342BE"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51242FC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2.133 € </w:t>
            </w:r>
          </w:p>
        </w:tc>
        <w:tc>
          <w:tcPr>
            <w:tcW w:w="1842" w:type="dxa"/>
            <w:vAlign w:val="bottom"/>
          </w:tcPr>
          <w:p w14:paraId="744A3E2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w:t>
            </w:r>
          </w:p>
        </w:tc>
        <w:tc>
          <w:tcPr>
            <w:tcW w:w="1776" w:type="dxa"/>
            <w:vAlign w:val="bottom"/>
          </w:tcPr>
          <w:p w14:paraId="5F3E91D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83308B" w14:paraId="24ACEC48"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0406ED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96" w:type="dxa"/>
            <w:vAlign w:val="bottom"/>
          </w:tcPr>
          <w:p w14:paraId="32E86BCC"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197C2E1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1.474 € </w:t>
            </w:r>
          </w:p>
        </w:tc>
        <w:tc>
          <w:tcPr>
            <w:tcW w:w="1842" w:type="dxa"/>
            <w:vAlign w:val="bottom"/>
          </w:tcPr>
          <w:p w14:paraId="4C016FB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w:t>
            </w:r>
          </w:p>
        </w:tc>
        <w:tc>
          <w:tcPr>
            <w:tcW w:w="1776" w:type="dxa"/>
            <w:vAlign w:val="bottom"/>
          </w:tcPr>
          <w:p w14:paraId="6E288CC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83308B" w14:paraId="3F1E5F18"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8F15F1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96" w:type="dxa"/>
            <w:vAlign w:val="bottom"/>
          </w:tcPr>
          <w:p w14:paraId="7EDA0CDB"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843" w:type="dxa"/>
            <w:vAlign w:val="bottom"/>
          </w:tcPr>
          <w:p w14:paraId="0E2C3867"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1.311 € </w:t>
            </w:r>
          </w:p>
        </w:tc>
        <w:tc>
          <w:tcPr>
            <w:tcW w:w="1842" w:type="dxa"/>
            <w:vAlign w:val="bottom"/>
          </w:tcPr>
          <w:p w14:paraId="517C913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w:t>
            </w:r>
          </w:p>
        </w:tc>
        <w:tc>
          <w:tcPr>
            <w:tcW w:w="1776" w:type="dxa"/>
            <w:vAlign w:val="bottom"/>
          </w:tcPr>
          <w:p w14:paraId="32DC0E5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83308B" w14:paraId="05C5C633"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B32E68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96" w:type="dxa"/>
            <w:vAlign w:val="bottom"/>
          </w:tcPr>
          <w:p w14:paraId="3AC17A9E"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2B89C92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1.387 € </w:t>
            </w:r>
          </w:p>
        </w:tc>
        <w:tc>
          <w:tcPr>
            <w:tcW w:w="1842" w:type="dxa"/>
            <w:vAlign w:val="bottom"/>
          </w:tcPr>
          <w:p w14:paraId="5FF5C6A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c>
          <w:tcPr>
            <w:tcW w:w="1776" w:type="dxa"/>
            <w:vAlign w:val="bottom"/>
          </w:tcPr>
          <w:p w14:paraId="72D2384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83308B" w14:paraId="4C9BE7E5"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F51543E"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6" w:type="dxa"/>
            <w:vAlign w:val="bottom"/>
          </w:tcPr>
          <w:p w14:paraId="3E198D77"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7554D7E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4.753 € </w:t>
            </w:r>
          </w:p>
        </w:tc>
        <w:tc>
          <w:tcPr>
            <w:tcW w:w="1842" w:type="dxa"/>
            <w:vAlign w:val="bottom"/>
          </w:tcPr>
          <w:p w14:paraId="52EAE82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c>
          <w:tcPr>
            <w:tcW w:w="1776" w:type="dxa"/>
            <w:vAlign w:val="bottom"/>
          </w:tcPr>
          <w:p w14:paraId="18D8B4C7"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83308B" w14:paraId="3F4F289F"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41C1F7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96" w:type="dxa"/>
            <w:vAlign w:val="bottom"/>
          </w:tcPr>
          <w:p w14:paraId="15F03249"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3AC5DF6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3.114 € </w:t>
            </w:r>
          </w:p>
        </w:tc>
        <w:tc>
          <w:tcPr>
            <w:tcW w:w="1842" w:type="dxa"/>
            <w:vAlign w:val="bottom"/>
          </w:tcPr>
          <w:p w14:paraId="5417634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0,7%</w:t>
            </w:r>
          </w:p>
        </w:tc>
        <w:tc>
          <w:tcPr>
            <w:tcW w:w="1776" w:type="dxa"/>
            <w:vAlign w:val="bottom"/>
          </w:tcPr>
          <w:p w14:paraId="204983B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83308B" w14:paraId="7269A07B"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AD6427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96" w:type="dxa"/>
            <w:vAlign w:val="bottom"/>
          </w:tcPr>
          <w:p w14:paraId="68C1905F"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64CC79F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1.382 € </w:t>
            </w:r>
          </w:p>
        </w:tc>
        <w:tc>
          <w:tcPr>
            <w:tcW w:w="1842" w:type="dxa"/>
            <w:vAlign w:val="bottom"/>
          </w:tcPr>
          <w:p w14:paraId="13707A7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1776" w:type="dxa"/>
            <w:vAlign w:val="bottom"/>
          </w:tcPr>
          <w:p w14:paraId="5D17BAE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83308B" w14:paraId="2FA6BA6B"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93E7ED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96" w:type="dxa"/>
            <w:vAlign w:val="bottom"/>
          </w:tcPr>
          <w:p w14:paraId="4D9547E3"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72F3AF5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5.390 € </w:t>
            </w:r>
          </w:p>
        </w:tc>
        <w:tc>
          <w:tcPr>
            <w:tcW w:w="1842" w:type="dxa"/>
            <w:vAlign w:val="bottom"/>
          </w:tcPr>
          <w:p w14:paraId="099BBC8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1776" w:type="dxa"/>
            <w:vAlign w:val="bottom"/>
          </w:tcPr>
          <w:p w14:paraId="369C925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w:t>
            </w:r>
          </w:p>
        </w:tc>
      </w:tr>
      <w:tr w:rsidR="0083308B" w14:paraId="3E196EEF"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A4A782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96" w:type="dxa"/>
            <w:vAlign w:val="bottom"/>
          </w:tcPr>
          <w:p w14:paraId="05F075D8"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74E594B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1.387 € </w:t>
            </w:r>
          </w:p>
        </w:tc>
        <w:tc>
          <w:tcPr>
            <w:tcW w:w="1842" w:type="dxa"/>
            <w:vAlign w:val="bottom"/>
          </w:tcPr>
          <w:p w14:paraId="26881C7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0,3%</w:t>
            </w:r>
          </w:p>
        </w:tc>
        <w:tc>
          <w:tcPr>
            <w:tcW w:w="1776" w:type="dxa"/>
            <w:vAlign w:val="bottom"/>
          </w:tcPr>
          <w:p w14:paraId="4EB9846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r>
      <w:tr w:rsidR="0083308B" w14:paraId="6C174A18"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0C1A8E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6" w:type="dxa"/>
            <w:vAlign w:val="bottom"/>
          </w:tcPr>
          <w:p w14:paraId="50799D34"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6490B45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4.440 € </w:t>
            </w:r>
          </w:p>
        </w:tc>
        <w:tc>
          <w:tcPr>
            <w:tcW w:w="1842" w:type="dxa"/>
            <w:vAlign w:val="bottom"/>
          </w:tcPr>
          <w:p w14:paraId="1E62A53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0,0%</w:t>
            </w:r>
          </w:p>
        </w:tc>
        <w:tc>
          <w:tcPr>
            <w:tcW w:w="1776" w:type="dxa"/>
            <w:vAlign w:val="bottom"/>
          </w:tcPr>
          <w:p w14:paraId="49696A1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83308B" w14:paraId="70625230"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48269D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96" w:type="dxa"/>
            <w:vAlign w:val="bottom"/>
          </w:tcPr>
          <w:p w14:paraId="2A231EF8"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2067DCF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1.996 € </w:t>
            </w:r>
          </w:p>
        </w:tc>
        <w:tc>
          <w:tcPr>
            <w:tcW w:w="1842" w:type="dxa"/>
            <w:vAlign w:val="bottom"/>
          </w:tcPr>
          <w:p w14:paraId="4B94FDD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0,0%</w:t>
            </w:r>
          </w:p>
        </w:tc>
        <w:tc>
          <w:tcPr>
            <w:tcW w:w="1776" w:type="dxa"/>
            <w:vAlign w:val="bottom"/>
          </w:tcPr>
          <w:p w14:paraId="2DDC1D7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83308B" w14:paraId="198BCACD"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6F7E8F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96" w:type="dxa"/>
            <w:vAlign w:val="bottom"/>
          </w:tcPr>
          <w:p w14:paraId="6FB1D499"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1435F59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3.604 € </w:t>
            </w:r>
          </w:p>
        </w:tc>
        <w:tc>
          <w:tcPr>
            <w:tcW w:w="1842" w:type="dxa"/>
            <w:vAlign w:val="bottom"/>
          </w:tcPr>
          <w:p w14:paraId="751C173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-0,7%</w:t>
            </w:r>
          </w:p>
        </w:tc>
        <w:tc>
          <w:tcPr>
            <w:tcW w:w="1776" w:type="dxa"/>
            <w:vAlign w:val="bottom"/>
          </w:tcPr>
          <w:p w14:paraId="51B4A0D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83308B" w14:paraId="5B14C3F8"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2EFDAC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196" w:type="dxa"/>
            <w:vAlign w:val="bottom"/>
          </w:tcPr>
          <w:p w14:paraId="66A83ED5"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843" w:type="dxa"/>
            <w:vAlign w:val="bottom"/>
          </w:tcPr>
          <w:p w14:paraId="5F7F62F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1.609 € </w:t>
            </w:r>
          </w:p>
        </w:tc>
        <w:tc>
          <w:tcPr>
            <w:tcW w:w="1842" w:type="dxa"/>
            <w:vAlign w:val="bottom"/>
          </w:tcPr>
          <w:p w14:paraId="3504AC0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-1,3%</w:t>
            </w:r>
          </w:p>
        </w:tc>
        <w:tc>
          <w:tcPr>
            <w:tcW w:w="1776" w:type="dxa"/>
            <w:vAlign w:val="bottom"/>
          </w:tcPr>
          <w:p w14:paraId="0F48133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r>
      <w:tr w:rsidR="0083308B" w14:paraId="688381B9"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6AEEF6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96" w:type="dxa"/>
            <w:vAlign w:val="bottom"/>
          </w:tcPr>
          <w:p w14:paraId="40229131"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843" w:type="dxa"/>
            <w:vAlign w:val="bottom"/>
          </w:tcPr>
          <w:p w14:paraId="0928D1A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1.900 € </w:t>
            </w:r>
          </w:p>
        </w:tc>
        <w:tc>
          <w:tcPr>
            <w:tcW w:w="1842" w:type="dxa"/>
            <w:vAlign w:val="bottom"/>
          </w:tcPr>
          <w:p w14:paraId="7E00C19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w:t>
            </w:r>
          </w:p>
        </w:tc>
        <w:tc>
          <w:tcPr>
            <w:tcW w:w="1776" w:type="dxa"/>
            <w:vAlign w:val="bottom"/>
          </w:tcPr>
          <w:p w14:paraId="7E10E08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83308B" w14:paraId="082D7F6B"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81483D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96" w:type="dxa"/>
            <w:vAlign w:val="bottom"/>
          </w:tcPr>
          <w:p w14:paraId="66122BE3"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843" w:type="dxa"/>
            <w:vAlign w:val="bottom"/>
          </w:tcPr>
          <w:p w14:paraId="622A956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xml:space="preserve">      1.822 € </w:t>
            </w:r>
          </w:p>
        </w:tc>
        <w:tc>
          <w:tcPr>
            <w:tcW w:w="1842" w:type="dxa"/>
            <w:vAlign w:val="bottom"/>
          </w:tcPr>
          <w:p w14:paraId="16B3815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w:t>
            </w:r>
          </w:p>
        </w:tc>
        <w:tc>
          <w:tcPr>
            <w:tcW w:w="1776" w:type="dxa"/>
            <w:vAlign w:val="bottom"/>
          </w:tcPr>
          <w:p w14:paraId="7F76B5E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bl>
    <w:p w14:paraId="3A168D3E" w14:textId="77777777" w:rsidR="00C7624F" w:rsidRDefault="00C7624F">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547DE258" w14:textId="6B79C8BB" w:rsidR="0083308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4: Ranking de las 10 ciudades de mayor incremento trimestral (sep. 2024)</w:t>
      </w:r>
    </w:p>
    <w:tbl>
      <w:tblPr>
        <w:tblStyle w:val="a9"/>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83308B" w14:paraId="4EC3D300" w14:textId="77777777" w:rsidTr="0083308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7C6125D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6" w:type="dxa"/>
            <w:shd w:val="clear" w:color="auto" w:fill="1DBDC5"/>
            <w:vAlign w:val="center"/>
          </w:tcPr>
          <w:p w14:paraId="35F52A61" w14:textId="77777777" w:rsidR="0083308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shd w:val="clear" w:color="auto" w:fill="1DBDC5"/>
          </w:tcPr>
          <w:p w14:paraId="1967A887"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2024</w:t>
            </w:r>
          </w:p>
          <w:p w14:paraId="38B8FBFD"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42" w:type="dxa"/>
            <w:shd w:val="clear" w:color="auto" w:fill="1DBDC5"/>
          </w:tcPr>
          <w:p w14:paraId="2BA7F48D"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76" w:type="dxa"/>
            <w:shd w:val="clear" w:color="auto" w:fill="1DBDC5"/>
          </w:tcPr>
          <w:p w14:paraId="655D7E51"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3308B" w14:paraId="04F1FA53"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9827E3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2E30EE4E"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Carcaixent</w:t>
            </w:r>
          </w:p>
        </w:tc>
        <w:tc>
          <w:tcPr>
            <w:tcW w:w="1843" w:type="dxa"/>
            <w:vAlign w:val="bottom"/>
          </w:tcPr>
          <w:p w14:paraId="2632F68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1.448 € </w:t>
            </w:r>
          </w:p>
        </w:tc>
        <w:tc>
          <w:tcPr>
            <w:tcW w:w="1842" w:type="dxa"/>
            <w:vAlign w:val="bottom"/>
          </w:tcPr>
          <w:p w14:paraId="0C27C0B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70,6%</w:t>
            </w:r>
          </w:p>
        </w:tc>
        <w:tc>
          <w:tcPr>
            <w:tcW w:w="1776" w:type="dxa"/>
            <w:vAlign w:val="bottom"/>
          </w:tcPr>
          <w:p w14:paraId="6C188D4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76,6%</w:t>
            </w:r>
          </w:p>
        </w:tc>
      </w:tr>
      <w:tr w:rsidR="0083308B" w14:paraId="7C735C39"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21D07E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6" w:type="dxa"/>
            <w:vAlign w:val="bottom"/>
          </w:tcPr>
          <w:p w14:paraId="3EC5539B"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Santa Eulària des </w:t>
            </w:r>
            <w:proofErr w:type="spellStart"/>
            <w:r>
              <w:rPr>
                <w:rFonts w:ascii="Open Sans" w:eastAsia="Open Sans" w:hAnsi="Open Sans" w:cs="Open Sans"/>
                <w:sz w:val="22"/>
                <w:szCs w:val="22"/>
              </w:rPr>
              <w:t>Riu</w:t>
            </w:r>
            <w:proofErr w:type="spellEnd"/>
          </w:p>
        </w:tc>
        <w:tc>
          <w:tcPr>
            <w:tcW w:w="1843" w:type="dxa"/>
            <w:vAlign w:val="bottom"/>
          </w:tcPr>
          <w:p w14:paraId="3325329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8.215 € </w:t>
            </w:r>
          </w:p>
        </w:tc>
        <w:tc>
          <w:tcPr>
            <w:tcW w:w="1842" w:type="dxa"/>
            <w:vAlign w:val="bottom"/>
          </w:tcPr>
          <w:p w14:paraId="3513413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40,7%</w:t>
            </w:r>
          </w:p>
        </w:tc>
        <w:tc>
          <w:tcPr>
            <w:tcW w:w="1776" w:type="dxa"/>
            <w:vAlign w:val="bottom"/>
          </w:tcPr>
          <w:p w14:paraId="3EB9E42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40,5%</w:t>
            </w:r>
          </w:p>
        </w:tc>
      </w:tr>
      <w:tr w:rsidR="0083308B" w14:paraId="3198DF9B"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0A5FAA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6" w:type="dxa"/>
            <w:vAlign w:val="bottom"/>
          </w:tcPr>
          <w:p w14:paraId="2A8DD3ED"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Marín</w:t>
            </w:r>
          </w:p>
        </w:tc>
        <w:tc>
          <w:tcPr>
            <w:tcW w:w="1843" w:type="dxa"/>
            <w:vAlign w:val="bottom"/>
          </w:tcPr>
          <w:p w14:paraId="1E07FD4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1.287 € </w:t>
            </w:r>
          </w:p>
        </w:tc>
        <w:tc>
          <w:tcPr>
            <w:tcW w:w="1842" w:type="dxa"/>
            <w:vAlign w:val="bottom"/>
          </w:tcPr>
          <w:p w14:paraId="338D0A0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35,4%</w:t>
            </w:r>
          </w:p>
        </w:tc>
        <w:tc>
          <w:tcPr>
            <w:tcW w:w="1776" w:type="dxa"/>
            <w:vAlign w:val="bottom"/>
          </w:tcPr>
          <w:p w14:paraId="44C76C7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26,1%</w:t>
            </w:r>
          </w:p>
        </w:tc>
      </w:tr>
      <w:tr w:rsidR="0083308B" w14:paraId="2D6B9196"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0C716FF"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Alicante</w:t>
            </w:r>
          </w:p>
        </w:tc>
        <w:tc>
          <w:tcPr>
            <w:tcW w:w="2196" w:type="dxa"/>
            <w:vAlign w:val="bottom"/>
          </w:tcPr>
          <w:p w14:paraId="00CA1EBD"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Monforte del Cid</w:t>
            </w:r>
          </w:p>
        </w:tc>
        <w:tc>
          <w:tcPr>
            <w:tcW w:w="1843" w:type="dxa"/>
            <w:vAlign w:val="bottom"/>
          </w:tcPr>
          <w:p w14:paraId="6509F3E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2.078 € </w:t>
            </w:r>
          </w:p>
        </w:tc>
        <w:tc>
          <w:tcPr>
            <w:tcW w:w="1842" w:type="dxa"/>
            <w:vAlign w:val="bottom"/>
          </w:tcPr>
          <w:p w14:paraId="49DFBEF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30,8%</w:t>
            </w:r>
          </w:p>
        </w:tc>
        <w:tc>
          <w:tcPr>
            <w:tcW w:w="1776" w:type="dxa"/>
            <w:vAlign w:val="bottom"/>
          </w:tcPr>
          <w:p w14:paraId="27ACDB7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72,2%</w:t>
            </w:r>
          </w:p>
        </w:tc>
      </w:tr>
      <w:tr w:rsidR="0083308B" w14:paraId="3D22A83A"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2BCF3E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6" w:type="dxa"/>
            <w:vAlign w:val="bottom"/>
          </w:tcPr>
          <w:p w14:paraId="75E662B2"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Pinos Puente</w:t>
            </w:r>
          </w:p>
        </w:tc>
        <w:tc>
          <w:tcPr>
            <w:tcW w:w="1843" w:type="dxa"/>
            <w:vAlign w:val="bottom"/>
          </w:tcPr>
          <w:p w14:paraId="22654F3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944 € </w:t>
            </w:r>
          </w:p>
        </w:tc>
        <w:tc>
          <w:tcPr>
            <w:tcW w:w="1842" w:type="dxa"/>
            <w:vAlign w:val="bottom"/>
          </w:tcPr>
          <w:p w14:paraId="239B961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30,3%</w:t>
            </w:r>
          </w:p>
        </w:tc>
        <w:tc>
          <w:tcPr>
            <w:tcW w:w="1776" w:type="dxa"/>
            <w:vAlign w:val="bottom"/>
          </w:tcPr>
          <w:p w14:paraId="22DAC0C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27,4%</w:t>
            </w:r>
          </w:p>
        </w:tc>
      </w:tr>
      <w:tr w:rsidR="0083308B" w14:paraId="7C094375"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59C7E4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0FA649E2"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Xeraco</w:t>
            </w:r>
            <w:proofErr w:type="spellEnd"/>
          </w:p>
        </w:tc>
        <w:tc>
          <w:tcPr>
            <w:tcW w:w="1843" w:type="dxa"/>
            <w:vAlign w:val="bottom"/>
          </w:tcPr>
          <w:p w14:paraId="796D2AF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1.783 € </w:t>
            </w:r>
          </w:p>
        </w:tc>
        <w:tc>
          <w:tcPr>
            <w:tcW w:w="1842" w:type="dxa"/>
            <w:vAlign w:val="bottom"/>
          </w:tcPr>
          <w:p w14:paraId="6C15DA4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30,3%</w:t>
            </w:r>
          </w:p>
        </w:tc>
        <w:tc>
          <w:tcPr>
            <w:tcW w:w="1776" w:type="dxa"/>
            <w:vAlign w:val="bottom"/>
          </w:tcPr>
          <w:p w14:paraId="1D630D7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83308B" w14:paraId="512544FE"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A6DD18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320CAD05"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Carlet</w:t>
            </w:r>
          </w:p>
        </w:tc>
        <w:tc>
          <w:tcPr>
            <w:tcW w:w="1843" w:type="dxa"/>
            <w:vAlign w:val="bottom"/>
          </w:tcPr>
          <w:p w14:paraId="2B56656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1.398 € </w:t>
            </w:r>
          </w:p>
        </w:tc>
        <w:tc>
          <w:tcPr>
            <w:tcW w:w="1842" w:type="dxa"/>
            <w:vAlign w:val="bottom"/>
          </w:tcPr>
          <w:p w14:paraId="2C7C9F9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26,3%</w:t>
            </w:r>
          </w:p>
        </w:tc>
        <w:tc>
          <w:tcPr>
            <w:tcW w:w="1776" w:type="dxa"/>
            <w:vAlign w:val="bottom"/>
          </w:tcPr>
          <w:p w14:paraId="4403642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69,2%</w:t>
            </w:r>
          </w:p>
        </w:tc>
      </w:tr>
      <w:tr w:rsidR="0083308B" w14:paraId="35B5B8F8"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DD4998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6" w:type="dxa"/>
            <w:vAlign w:val="bottom"/>
          </w:tcPr>
          <w:p w14:paraId="0013381A"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Cangas</w:t>
            </w:r>
          </w:p>
        </w:tc>
        <w:tc>
          <w:tcPr>
            <w:tcW w:w="1843" w:type="dxa"/>
            <w:vAlign w:val="bottom"/>
          </w:tcPr>
          <w:p w14:paraId="7C5BDF4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2.551 € </w:t>
            </w:r>
          </w:p>
        </w:tc>
        <w:tc>
          <w:tcPr>
            <w:tcW w:w="1842" w:type="dxa"/>
            <w:vAlign w:val="bottom"/>
          </w:tcPr>
          <w:p w14:paraId="6B92DDC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25,8%</w:t>
            </w:r>
          </w:p>
        </w:tc>
        <w:tc>
          <w:tcPr>
            <w:tcW w:w="1776" w:type="dxa"/>
            <w:vAlign w:val="bottom"/>
          </w:tcPr>
          <w:p w14:paraId="7C53CB9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38,2%</w:t>
            </w:r>
          </w:p>
        </w:tc>
      </w:tr>
      <w:tr w:rsidR="0083308B" w14:paraId="1623C3EC"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785D19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6" w:type="dxa"/>
            <w:vAlign w:val="bottom"/>
          </w:tcPr>
          <w:p w14:paraId="03C68359"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Huétor Vega</w:t>
            </w:r>
          </w:p>
        </w:tc>
        <w:tc>
          <w:tcPr>
            <w:tcW w:w="1843" w:type="dxa"/>
            <w:vAlign w:val="bottom"/>
          </w:tcPr>
          <w:p w14:paraId="71A9999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1.648 € </w:t>
            </w:r>
          </w:p>
        </w:tc>
        <w:tc>
          <w:tcPr>
            <w:tcW w:w="1842" w:type="dxa"/>
            <w:vAlign w:val="bottom"/>
          </w:tcPr>
          <w:p w14:paraId="1277034A"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25,2%</w:t>
            </w:r>
          </w:p>
        </w:tc>
        <w:tc>
          <w:tcPr>
            <w:tcW w:w="1776" w:type="dxa"/>
            <w:vAlign w:val="bottom"/>
          </w:tcPr>
          <w:p w14:paraId="7AC5ED0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-8,2%</w:t>
            </w:r>
          </w:p>
        </w:tc>
      </w:tr>
      <w:tr w:rsidR="0083308B" w14:paraId="3BA9942D"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51FF13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657521C5"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L'Alcúdia</w:t>
            </w:r>
            <w:proofErr w:type="spellEnd"/>
          </w:p>
        </w:tc>
        <w:tc>
          <w:tcPr>
            <w:tcW w:w="1843" w:type="dxa"/>
            <w:vAlign w:val="bottom"/>
          </w:tcPr>
          <w:p w14:paraId="599D604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1.290 € </w:t>
            </w:r>
          </w:p>
        </w:tc>
        <w:tc>
          <w:tcPr>
            <w:tcW w:w="1842" w:type="dxa"/>
            <w:vAlign w:val="bottom"/>
          </w:tcPr>
          <w:p w14:paraId="05844CB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22,5%</w:t>
            </w:r>
          </w:p>
        </w:tc>
        <w:tc>
          <w:tcPr>
            <w:tcW w:w="1776" w:type="dxa"/>
            <w:vAlign w:val="bottom"/>
          </w:tcPr>
          <w:p w14:paraId="3F8064D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40,3%</w:t>
            </w:r>
          </w:p>
        </w:tc>
      </w:tr>
    </w:tbl>
    <w:p w14:paraId="73A656CA" w14:textId="77777777" w:rsidR="0083308B" w:rsidRDefault="0083308B">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4F5C786C" w14:textId="77777777" w:rsidR="0083308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5: Ranking de las 10 ciudades de menor incremento trimestral (sep. 2024)</w:t>
      </w:r>
    </w:p>
    <w:tbl>
      <w:tblPr>
        <w:tblStyle w:val="aa"/>
        <w:tblW w:w="9142"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83308B" w14:paraId="002C1D7B" w14:textId="77777777" w:rsidTr="0083308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2984969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6" w:type="dxa"/>
            <w:shd w:val="clear" w:color="auto" w:fill="1DBDC5"/>
            <w:vAlign w:val="center"/>
          </w:tcPr>
          <w:p w14:paraId="5E91B9AE" w14:textId="77777777" w:rsidR="0083308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shd w:val="clear" w:color="auto" w:fill="1DBDC5"/>
          </w:tcPr>
          <w:p w14:paraId="178D231A"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2024</w:t>
            </w:r>
          </w:p>
          <w:p w14:paraId="1C885C96"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42" w:type="dxa"/>
            <w:shd w:val="clear" w:color="auto" w:fill="1DBDC5"/>
          </w:tcPr>
          <w:p w14:paraId="3654AC8D"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76" w:type="dxa"/>
            <w:shd w:val="clear" w:color="auto" w:fill="1DBDC5"/>
          </w:tcPr>
          <w:p w14:paraId="696C70B1"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3308B" w14:paraId="7A2871F7"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773AFB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96" w:type="dxa"/>
            <w:vAlign w:val="bottom"/>
          </w:tcPr>
          <w:p w14:paraId="6C296DAD"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Línea de la Concepción</w:t>
            </w:r>
          </w:p>
        </w:tc>
        <w:tc>
          <w:tcPr>
            <w:tcW w:w="1843" w:type="dxa"/>
            <w:vAlign w:val="bottom"/>
          </w:tcPr>
          <w:p w14:paraId="0C617EC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1.389 € </w:t>
            </w:r>
          </w:p>
        </w:tc>
        <w:tc>
          <w:tcPr>
            <w:tcW w:w="1842" w:type="dxa"/>
            <w:vAlign w:val="bottom"/>
          </w:tcPr>
          <w:p w14:paraId="13499F1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-28,8%</w:t>
            </w:r>
          </w:p>
        </w:tc>
        <w:tc>
          <w:tcPr>
            <w:tcW w:w="1776" w:type="dxa"/>
            <w:vAlign w:val="bottom"/>
          </w:tcPr>
          <w:p w14:paraId="0A69066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83308B" w14:paraId="5EA78C99"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CA8FFE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96" w:type="dxa"/>
            <w:vAlign w:val="bottom"/>
          </w:tcPr>
          <w:p w14:paraId="7A6EEFDA"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Carmona</w:t>
            </w:r>
          </w:p>
        </w:tc>
        <w:tc>
          <w:tcPr>
            <w:tcW w:w="1843" w:type="dxa"/>
            <w:vAlign w:val="bottom"/>
          </w:tcPr>
          <w:p w14:paraId="0CF4666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1.268 € </w:t>
            </w:r>
          </w:p>
        </w:tc>
        <w:tc>
          <w:tcPr>
            <w:tcW w:w="1842" w:type="dxa"/>
            <w:vAlign w:val="bottom"/>
          </w:tcPr>
          <w:p w14:paraId="170A0A3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-21,3%</w:t>
            </w:r>
          </w:p>
        </w:tc>
        <w:tc>
          <w:tcPr>
            <w:tcW w:w="1776" w:type="dxa"/>
            <w:vAlign w:val="bottom"/>
          </w:tcPr>
          <w:p w14:paraId="77359BD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83308B" w14:paraId="2B722D0E"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CC9A42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3EABF69D"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Paiporta</w:t>
            </w:r>
          </w:p>
        </w:tc>
        <w:tc>
          <w:tcPr>
            <w:tcW w:w="1843" w:type="dxa"/>
            <w:vAlign w:val="bottom"/>
          </w:tcPr>
          <w:p w14:paraId="6620BB9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1.830 € </w:t>
            </w:r>
          </w:p>
        </w:tc>
        <w:tc>
          <w:tcPr>
            <w:tcW w:w="1842" w:type="dxa"/>
            <w:vAlign w:val="bottom"/>
          </w:tcPr>
          <w:p w14:paraId="10C8EEB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-18,2%</w:t>
            </w:r>
          </w:p>
        </w:tc>
        <w:tc>
          <w:tcPr>
            <w:tcW w:w="1776" w:type="dxa"/>
            <w:vAlign w:val="bottom"/>
          </w:tcPr>
          <w:p w14:paraId="077B979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83308B" w14:paraId="0F496323"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6373F5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96" w:type="dxa"/>
            <w:vAlign w:val="bottom"/>
          </w:tcPr>
          <w:p w14:paraId="2085AA80"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Tomares</w:t>
            </w:r>
          </w:p>
        </w:tc>
        <w:tc>
          <w:tcPr>
            <w:tcW w:w="1843" w:type="dxa"/>
            <w:vAlign w:val="bottom"/>
          </w:tcPr>
          <w:p w14:paraId="42EAA55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1.569 € </w:t>
            </w:r>
          </w:p>
        </w:tc>
        <w:tc>
          <w:tcPr>
            <w:tcW w:w="1842" w:type="dxa"/>
            <w:vAlign w:val="bottom"/>
          </w:tcPr>
          <w:p w14:paraId="3ED53D2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-16,7%</w:t>
            </w:r>
          </w:p>
        </w:tc>
        <w:tc>
          <w:tcPr>
            <w:tcW w:w="1776" w:type="dxa"/>
            <w:vAlign w:val="bottom"/>
          </w:tcPr>
          <w:p w14:paraId="1598503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-15,1%</w:t>
            </w:r>
          </w:p>
        </w:tc>
      </w:tr>
      <w:tr w:rsidR="0083308B" w14:paraId="62BF364D"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D6CE87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96" w:type="dxa"/>
            <w:vAlign w:val="bottom"/>
          </w:tcPr>
          <w:p w14:paraId="261E0FC5"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Xinzo de Limia</w:t>
            </w:r>
          </w:p>
        </w:tc>
        <w:tc>
          <w:tcPr>
            <w:tcW w:w="1843" w:type="dxa"/>
            <w:vAlign w:val="bottom"/>
          </w:tcPr>
          <w:p w14:paraId="6A4FAE7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853 € </w:t>
            </w:r>
          </w:p>
        </w:tc>
        <w:tc>
          <w:tcPr>
            <w:tcW w:w="1842" w:type="dxa"/>
            <w:vAlign w:val="bottom"/>
          </w:tcPr>
          <w:p w14:paraId="0DE3EF8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-14,4%</w:t>
            </w:r>
          </w:p>
        </w:tc>
        <w:tc>
          <w:tcPr>
            <w:tcW w:w="1776" w:type="dxa"/>
            <w:vAlign w:val="bottom"/>
          </w:tcPr>
          <w:p w14:paraId="7C68FD0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-11,5%</w:t>
            </w:r>
          </w:p>
        </w:tc>
      </w:tr>
      <w:tr w:rsidR="0083308B" w14:paraId="405E6D43"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C931C7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6" w:type="dxa"/>
            <w:vAlign w:val="bottom"/>
          </w:tcPr>
          <w:p w14:paraId="12B8AC33"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Gualchos</w:t>
            </w:r>
            <w:proofErr w:type="spellEnd"/>
          </w:p>
        </w:tc>
        <w:tc>
          <w:tcPr>
            <w:tcW w:w="1843" w:type="dxa"/>
            <w:vAlign w:val="bottom"/>
          </w:tcPr>
          <w:p w14:paraId="51B2CA4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1.548 € </w:t>
            </w:r>
          </w:p>
        </w:tc>
        <w:tc>
          <w:tcPr>
            <w:tcW w:w="1842" w:type="dxa"/>
            <w:vAlign w:val="bottom"/>
          </w:tcPr>
          <w:p w14:paraId="53064CD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-13,1%</w:t>
            </w:r>
          </w:p>
        </w:tc>
        <w:tc>
          <w:tcPr>
            <w:tcW w:w="1776" w:type="dxa"/>
            <w:vAlign w:val="bottom"/>
          </w:tcPr>
          <w:p w14:paraId="33BEF8E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83308B" w14:paraId="4892E4A2"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1926C8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96" w:type="dxa"/>
            <w:vAlign w:val="bottom"/>
          </w:tcPr>
          <w:p w14:paraId="695AFC17"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Coloma de Farners</w:t>
            </w:r>
          </w:p>
        </w:tc>
        <w:tc>
          <w:tcPr>
            <w:tcW w:w="1843" w:type="dxa"/>
            <w:vAlign w:val="bottom"/>
          </w:tcPr>
          <w:p w14:paraId="6285F84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1.254 € </w:t>
            </w:r>
          </w:p>
        </w:tc>
        <w:tc>
          <w:tcPr>
            <w:tcW w:w="1842" w:type="dxa"/>
            <w:vAlign w:val="bottom"/>
          </w:tcPr>
          <w:p w14:paraId="48921BF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-12,7%</w:t>
            </w:r>
          </w:p>
        </w:tc>
        <w:tc>
          <w:tcPr>
            <w:tcW w:w="1776" w:type="dxa"/>
            <w:vAlign w:val="bottom"/>
          </w:tcPr>
          <w:p w14:paraId="28470B8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-8,6%</w:t>
            </w:r>
          </w:p>
        </w:tc>
      </w:tr>
      <w:tr w:rsidR="0083308B" w14:paraId="59EE3FEE"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659EE79"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96" w:type="dxa"/>
            <w:vAlign w:val="bottom"/>
          </w:tcPr>
          <w:p w14:paraId="031E66B6"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Alhama de Murcia</w:t>
            </w:r>
          </w:p>
        </w:tc>
        <w:tc>
          <w:tcPr>
            <w:tcW w:w="1843" w:type="dxa"/>
            <w:vAlign w:val="bottom"/>
          </w:tcPr>
          <w:p w14:paraId="405703E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1.099 € </w:t>
            </w:r>
          </w:p>
        </w:tc>
        <w:tc>
          <w:tcPr>
            <w:tcW w:w="1842" w:type="dxa"/>
            <w:vAlign w:val="bottom"/>
          </w:tcPr>
          <w:p w14:paraId="653E4A3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-12,7%</w:t>
            </w:r>
          </w:p>
        </w:tc>
        <w:tc>
          <w:tcPr>
            <w:tcW w:w="1776" w:type="dxa"/>
            <w:vAlign w:val="bottom"/>
          </w:tcPr>
          <w:p w14:paraId="21B28D9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83308B" w14:paraId="496185FE" w14:textId="77777777" w:rsidTr="0083308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4176D2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96" w:type="dxa"/>
            <w:vAlign w:val="bottom"/>
          </w:tcPr>
          <w:p w14:paraId="31C2FC8F" w14:textId="77777777" w:rsidR="0083308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Guía de Isora</w:t>
            </w:r>
          </w:p>
        </w:tc>
        <w:tc>
          <w:tcPr>
            <w:tcW w:w="1843" w:type="dxa"/>
            <w:vAlign w:val="bottom"/>
          </w:tcPr>
          <w:p w14:paraId="205FC4C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3.914 € </w:t>
            </w:r>
          </w:p>
        </w:tc>
        <w:tc>
          <w:tcPr>
            <w:tcW w:w="1842" w:type="dxa"/>
            <w:vAlign w:val="bottom"/>
          </w:tcPr>
          <w:p w14:paraId="150DD7E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-11,7%</w:t>
            </w:r>
          </w:p>
        </w:tc>
        <w:tc>
          <w:tcPr>
            <w:tcW w:w="1776" w:type="dxa"/>
            <w:vAlign w:val="bottom"/>
          </w:tcPr>
          <w:p w14:paraId="4F213E5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83308B" w14:paraId="4A1EEF3A" w14:textId="77777777" w:rsidTr="0083308B">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D5E3AD0"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96" w:type="dxa"/>
            <w:vAlign w:val="bottom"/>
          </w:tcPr>
          <w:p w14:paraId="630319B9" w14:textId="77777777" w:rsidR="0083308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Mollerussa</w:t>
            </w:r>
          </w:p>
        </w:tc>
        <w:tc>
          <w:tcPr>
            <w:tcW w:w="1843" w:type="dxa"/>
            <w:vAlign w:val="bottom"/>
          </w:tcPr>
          <w:p w14:paraId="08FEB81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 xml:space="preserve">                 978 € </w:t>
            </w:r>
          </w:p>
        </w:tc>
        <w:tc>
          <w:tcPr>
            <w:tcW w:w="1842" w:type="dxa"/>
            <w:vAlign w:val="bottom"/>
          </w:tcPr>
          <w:p w14:paraId="2EE8CA5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-11,2%</w:t>
            </w:r>
          </w:p>
        </w:tc>
        <w:tc>
          <w:tcPr>
            <w:tcW w:w="1776" w:type="dxa"/>
            <w:vAlign w:val="bottom"/>
          </w:tcPr>
          <w:p w14:paraId="33A7DEE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bl>
    <w:p w14:paraId="3090875B" w14:textId="77777777" w:rsidR="00C7624F" w:rsidRDefault="00C7624F">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1FCC5D76" w14:textId="0E355F2A" w:rsidR="0083308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6: Distritos de mayor a menor incremento trimestral (sep. 2024)</w:t>
      </w:r>
    </w:p>
    <w:tbl>
      <w:tblPr>
        <w:tblStyle w:val="ab"/>
        <w:tblW w:w="9051"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94"/>
        <w:gridCol w:w="2409"/>
        <w:gridCol w:w="1985"/>
        <w:gridCol w:w="1963"/>
      </w:tblGrid>
      <w:tr w:rsidR="0083308B" w14:paraId="69F25346" w14:textId="77777777" w:rsidTr="0083308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7E2A461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Distrito Madrid</w:t>
            </w:r>
          </w:p>
        </w:tc>
        <w:tc>
          <w:tcPr>
            <w:tcW w:w="2409" w:type="dxa"/>
            <w:shd w:val="clear" w:color="auto" w:fill="1DBDC5"/>
          </w:tcPr>
          <w:p w14:paraId="36CFD279"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2024</w:t>
            </w:r>
          </w:p>
          <w:p w14:paraId="5DCA3802"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5" w:type="dxa"/>
            <w:shd w:val="clear" w:color="auto" w:fill="1DBDC5"/>
          </w:tcPr>
          <w:p w14:paraId="31D38C94"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963" w:type="dxa"/>
            <w:shd w:val="clear" w:color="auto" w:fill="1DBDC5"/>
          </w:tcPr>
          <w:p w14:paraId="1BC4DA2B"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3308B" w14:paraId="0A4E7ECC"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071925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409" w:type="dxa"/>
            <w:vAlign w:val="bottom"/>
          </w:tcPr>
          <w:p w14:paraId="70084C1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4.292 € </w:t>
            </w:r>
          </w:p>
        </w:tc>
        <w:tc>
          <w:tcPr>
            <w:tcW w:w="1985" w:type="dxa"/>
            <w:vAlign w:val="bottom"/>
          </w:tcPr>
          <w:p w14:paraId="095B7CC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8,6%</w:t>
            </w:r>
          </w:p>
        </w:tc>
        <w:tc>
          <w:tcPr>
            <w:tcW w:w="1963" w:type="dxa"/>
            <w:vAlign w:val="bottom"/>
          </w:tcPr>
          <w:p w14:paraId="15CD915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w:t>
            </w:r>
          </w:p>
        </w:tc>
      </w:tr>
      <w:tr w:rsidR="0083308B" w14:paraId="1D928AF9"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062FBB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409" w:type="dxa"/>
            <w:vAlign w:val="bottom"/>
          </w:tcPr>
          <w:p w14:paraId="705EE69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5.880 € </w:t>
            </w:r>
          </w:p>
        </w:tc>
        <w:tc>
          <w:tcPr>
            <w:tcW w:w="1985" w:type="dxa"/>
            <w:vAlign w:val="bottom"/>
          </w:tcPr>
          <w:p w14:paraId="03C0B2D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7,4%</w:t>
            </w:r>
          </w:p>
        </w:tc>
        <w:tc>
          <w:tcPr>
            <w:tcW w:w="1963" w:type="dxa"/>
            <w:vAlign w:val="bottom"/>
          </w:tcPr>
          <w:p w14:paraId="1299490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w:t>
            </w:r>
          </w:p>
        </w:tc>
      </w:tr>
      <w:tr w:rsidR="0083308B" w14:paraId="5BED95F1"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9EA439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409" w:type="dxa"/>
            <w:vAlign w:val="bottom"/>
          </w:tcPr>
          <w:p w14:paraId="4B30604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7.013 € </w:t>
            </w:r>
          </w:p>
        </w:tc>
        <w:tc>
          <w:tcPr>
            <w:tcW w:w="1985" w:type="dxa"/>
            <w:vAlign w:val="bottom"/>
          </w:tcPr>
          <w:p w14:paraId="19EA953B"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6,9%</w:t>
            </w:r>
          </w:p>
        </w:tc>
        <w:tc>
          <w:tcPr>
            <w:tcW w:w="1963" w:type="dxa"/>
            <w:vAlign w:val="bottom"/>
          </w:tcPr>
          <w:p w14:paraId="576BC19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29,1%</w:t>
            </w:r>
          </w:p>
        </w:tc>
      </w:tr>
      <w:tr w:rsidR="0083308B" w14:paraId="1F7E0EA4"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49E163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409" w:type="dxa"/>
            <w:vAlign w:val="bottom"/>
          </w:tcPr>
          <w:p w14:paraId="7FC729B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4.857 € </w:t>
            </w:r>
          </w:p>
        </w:tc>
        <w:tc>
          <w:tcPr>
            <w:tcW w:w="1985" w:type="dxa"/>
            <w:vAlign w:val="bottom"/>
          </w:tcPr>
          <w:p w14:paraId="1699889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6,9%</w:t>
            </w:r>
          </w:p>
        </w:tc>
        <w:tc>
          <w:tcPr>
            <w:tcW w:w="1963" w:type="dxa"/>
            <w:vAlign w:val="bottom"/>
          </w:tcPr>
          <w:p w14:paraId="1B18BFAD"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w:t>
            </w:r>
          </w:p>
        </w:tc>
      </w:tr>
      <w:tr w:rsidR="0083308B" w14:paraId="193173DF"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204654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409" w:type="dxa"/>
            <w:vAlign w:val="bottom"/>
          </w:tcPr>
          <w:p w14:paraId="3DAEE58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9.228 € </w:t>
            </w:r>
          </w:p>
        </w:tc>
        <w:tc>
          <w:tcPr>
            <w:tcW w:w="1985" w:type="dxa"/>
            <w:vAlign w:val="bottom"/>
          </w:tcPr>
          <w:p w14:paraId="79A872D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5,9%</w:t>
            </w:r>
          </w:p>
        </w:tc>
        <w:tc>
          <w:tcPr>
            <w:tcW w:w="1963" w:type="dxa"/>
            <w:vAlign w:val="bottom"/>
          </w:tcPr>
          <w:p w14:paraId="4E4A732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25,7%</w:t>
            </w:r>
          </w:p>
        </w:tc>
      </w:tr>
      <w:tr w:rsidR="0083308B" w14:paraId="62D8769E"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936E26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409" w:type="dxa"/>
            <w:vAlign w:val="bottom"/>
          </w:tcPr>
          <w:p w14:paraId="6998E36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2.914 € </w:t>
            </w:r>
          </w:p>
        </w:tc>
        <w:tc>
          <w:tcPr>
            <w:tcW w:w="1985" w:type="dxa"/>
            <w:vAlign w:val="bottom"/>
          </w:tcPr>
          <w:p w14:paraId="29580F8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5,8%</w:t>
            </w:r>
          </w:p>
        </w:tc>
        <w:tc>
          <w:tcPr>
            <w:tcW w:w="1963" w:type="dxa"/>
            <w:vAlign w:val="bottom"/>
          </w:tcPr>
          <w:p w14:paraId="325786B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83308B" w14:paraId="2719DB39"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54B7E91"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409" w:type="dxa"/>
            <w:vAlign w:val="bottom"/>
          </w:tcPr>
          <w:p w14:paraId="5C433B1E"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5.068 € </w:t>
            </w:r>
          </w:p>
        </w:tc>
        <w:tc>
          <w:tcPr>
            <w:tcW w:w="1985" w:type="dxa"/>
            <w:vAlign w:val="bottom"/>
          </w:tcPr>
          <w:p w14:paraId="1A3FE1D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4,7%</w:t>
            </w:r>
          </w:p>
        </w:tc>
        <w:tc>
          <w:tcPr>
            <w:tcW w:w="1963" w:type="dxa"/>
            <w:vAlign w:val="bottom"/>
          </w:tcPr>
          <w:p w14:paraId="1FC6C25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w:t>
            </w:r>
          </w:p>
        </w:tc>
      </w:tr>
      <w:tr w:rsidR="0083308B" w14:paraId="5C9DF426"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5FBD0D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409" w:type="dxa"/>
            <w:vAlign w:val="bottom"/>
          </w:tcPr>
          <w:p w14:paraId="48882F6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3.145 € </w:t>
            </w:r>
          </w:p>
        </w:tc>
        <w:tc>
          <w:tcPr>
            <w:tcW w:w="1985" w:type="dxa"/>
            <w:vAlign w:val="bottom"/>
          </w:tcPr>
          <w:p w14:paraId="2B8F9E6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4,6%</w:t>
            </w:r>
          </w:p>
        </w:tc>
        <w:tc>
          <w:tcPr>
            <w:tcW w:w="1963" w:type="dxa"/>
            <w:vAlign w:val="bottom"/>
          </w:tcPr>
          <w:p w14:paraId="3FBD4F7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83308B" w14:paraId="443C8FEC"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2AC3BEF"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409" w:type="dxa"/>
            <w:vAlign w:val="bottom"/>
          </w:tcPr>
          <w:p w14:paraId="1484096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4.228 € </w:t>
            </w:r>
          </w:p>
        </w:tc>
        <w:tc>
          <w:tcPr>
            <w:tcW w:w="1985" w:type="dxa"/>
            <w:vAlign w:val="bottom"/>
          </w:tcPr>
          <w:p w14:paraId="28699C7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4,5%</w:t>
            </w:r>
          </w:p>
        </w:tc>
        <w:tc>
          <w:tcPr>
            <w:tcW w:w="1963" w:type="dxa"/>
            <w:vAlign w:val="bottom"/>
          </w:tcPr>
          <w:p w14:paraId="76A5731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w:t>
            </w:r>
          </w:p>
        </w:tc>
      </w:tr>
      <w:tr w:rsidR="0083308B" w14:paraId="2CC26594"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26A197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409" w:type="dxa"/>
            <w:vAlign w:val="bottom"/>
          </w:tcPr>
          <w:p w14:paraId="1B60B89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4.864 € </w:t>
            </w:r>
          </w:p>
        </w:tc>
        <w:tc>
          <w:tcPr>
            <w:tcW w:w="1985" w:type="dxa"/>
            <w:vAlign w:val="bottom"/>
          </w:tcPr>
          <w:p w14:paraId="6895323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3,9%</w:t>
            </w:r>
          </w:p>
        </w:tc>
        <w:tc>
          <w:tcPr>
            <w:tcW w:w="1963" w:type="dxa"/>
            <w:vAlign w:val="bottom"/>
          </w:tcPr>
          <w:p w14:paraId="3EB47A3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83308B" w14:paraId="530B4A0F"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8BFBC6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409" w:type="dxa"/>
            <w:vAlign w:val="bottom"/>
          </w:tcPr>
          <w:p w14:paraId="2EAC7D6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1.886 € </w:t>
            </w:r>
          </w:p>
        </w:tc>
        <w:tc>
          <w:tcPr>
            <w:tcW w:w="1985" w:type="dxa"/>
            <w:vAlign w:val="bottom"/>
          </w:tcPr>
          <w:p w14:paraId="2A53060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2,5%</w:t>
            </w:r>
          </w:p>
        </w:tc>
        <w:tc>
          <w:tcPr>
            <w:tcW w:w="1963" w:type="dxa"/>
            <w:vAlign w:val="bottom"/>
          </w:tcPr>
          <w:p w14:paraId="4E19E8F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w:t>
            </w:r>
          </w:p>
        </w:tc>
      </w:tr>
      <w:tr w:rsidR="0083308B" w14:paraId="440D1C7A"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32504BA"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Vicálvaro</w:t>
            </w:r>
          </w:p>
        </w:tc>
        <w:tc>
          <w:tcPr>
            <w:tcW w:w="2409" w:type="dxa"/>
            <w:vAlign w:val="bottom"/>
          </w:tcPr>
          <w:p w14:paraId="6E33474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3.159 € </w:t>
            </w:r>
          </w:p>
        </w:tc>
        <w:tc>
          <w:tcPr>
            <w:tcW w:w="1985" w:type="dxa"/>
            <w:vAlign w:val="bottom"/>
          </w:tcPr>
          <w:p w14:paraId="40419A3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2,4%</w:t>
            </w:r>
          </w:p>
        </w:tc>
        <w:tc>
          <w:tcPr>
            <w:tcW w:w="1963" w:type="dxa"/>
            <w:vAlign w:val="bottom"/>
          </w:tcPr>
          <w:p w14:paraId="2FC56DA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9,6%</w:t>
            </w:r>
          </w:p>
        </w:tc>
      </w:tr>
      <w:tr w:rsidR="0083308B" w14:paraId="3B525BDE"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60A489D"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409" w:type="dxa"/>
            <w:vAlign w:val="bottom"/>
          </w:tcPr>
          <w:p w14:paraId="1390962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3.403 € </w:t>
            </w:r>
          </w:p>
        </w:tc>
        <w:tc>
          <w:tcPr>
            <w:tcW w:w="1985" w:type="dxa"/>
            <w:vAlign w:val="bottom"/>
          </w:tcPr>
          <w:p w14:paraId="2CDC942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2,1%</w:t>
            </w:r>
          </w:p>
        </w:tc>
        <w:tc>
          <w:tcPr>
            <w:tcW w:w="1963" w:type="dxa"/>
            <w:vAlign w:val="bottom"/>
          </w:tcPr>
          <w:p w14:paraId="252C9B6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19,7%</w:t>
            </w:r>
          </w:p>
        </w:tc>
      </w:tr>
      <w:tr w:rsidR="0083308B" w14:paraId="3D88BB84"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19B15E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409" w:type="dxa"/>
            <w:vAlign w:val="bottom"/>
          </w:tcPr>
          <w:p w14:paraId="15A36ED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2.620 € </w:t>
            </w:r>
          </w:p>
        </w:tc>
        <w:tc>
          <w:tcPr>
            <w:tcW w:w="1985" w:type="dxa"/>
            <w:vAlign w:val="bottom"/>
          </w:tcPr>
          <w:p w14:paraId="39DF4176"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1,9%</w:t>
            </w:r>
          </w:p>
        </w:tc>
        <w:tc>
          <w:tcPr>
            <w:tcW w:w="1963" w:type="dxa"/>
            <w:vAlign w:val="bottom"/>
          </w:tcPr>
          <w:p w14:paraId="44DF172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r>
      <w:tr w:rsidR="0083308B" w14:paraId="419028F5"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18E8A33"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409" w:type="dxa"/>
            <w:vAlign w:val="bottom"/>
          </w:tcPr>
          <w:p w14:paraId="145898C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2.358 € </w:t>
            </w:r>
          </w:p>
        </w:tc>
        <w:tc>
          <w:tcPr>
            <w:tcW w:w="1985" w:type="dxa"/>
            <w:vAlign w:val="bottom"/>
          </w:tcPr>
          <w:p w14:paraId="25EAB4E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1,9%</w:t>
            </w:r>
          </w:p>
        </w:tc>
        <w:tc>
          <w:tcPr>
            <w:tcW w:w="1963" w:type="dxa"/>
            <w:vAlign w:val="bottom"/>
          </w:tcPr>
          <w:p w14:paraId="382A15B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r>
      <w:tr w:rsidR="0083308B" w14:paraId="071E45F7"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280152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409" w:type="dxa"/>
            <w:vAlign w:val="bottom"/>
          </w:tcPr>
          <w:p w14:paraId="16B90E7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2.512 € </w:t>
            </w:r>
          </w:p>
        </w:tc>
        <w:tc>
          <w:tcPr>
            <w:tcW w:w="1985" w:type="dxa"/>
            <w:vAlign w:val="bottom"/>
          </w:tcPr>
          <w:p w14:paraId="546D41D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w:t>
            </w:r>
          </w:p>
        </w:tc>
        <w:tc>
          <w:tcPr>
            <w:tcW w:w="1963" w:type="dxa"/>
            <w:vAlign w:val="bottom"/>
          </w:tcPr>
          <w:p w14:paraId="7E831DE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-5,9%</w:t>
            </w:r>
          </w:p>
        </w:tc>
      </w:tr>
      <w:tr w:rsidR="0083308B" w14:paraId="00E24197"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F6EC6B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409" w:type="dxa"/>
            <w:vAlign w:val="bottom"/>
          </w:tcPr>
          <w:p w14:paraId="47C9ED8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6.525 € </w:t>
            </w:r>
          </w:p>
        </w:tc>
        <w:tc>
          <w:tcPr>
            <w:tcW w:w="1985" w:type="dxa"/>
            <w:vAlign w:val="bottom"/>
          </w:tcPr>
          <w:p w14:paraId="28A999AD"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0,2%</w:t>
            </w:r>
          </w:p>
        </w:tc>
        <w:tc>
          <w:tcPr>
            <w:tcW w:w="1963" w:type="dxa"/>
            <w:vAlign w:val="bottom"/>
          </w:tcPr>
          <w:p w14:paraId="0D79489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12,3%</w:t>
            </w:r>
          </w:p>
        </w:tc>
      </w:tr>
      <w:tr w:rsidR="0083308B" w14:paraId="7BBAEAC5"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2FAFFF2"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409" w:type="dxa"/>
            <w:vAlign w:val="bottom"/>
          </w:tcPr>
          <w:p w14:paraId="7239A255"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7.529 € </w:t>
            </w:r>
          </w:p>
        </w:tc>
        <w:tc>
          <w:tcPr>
            <w:tcW w:w="1985" w:type="dxa"/>
            <w:vAlign w:val="bottom"/>
          </w:tcPr>
          <w:p w14:paraId="28157DC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-0,9%</w:t>
            </w:r>
          </w:p>
        </w:tc>
        <w:tc>
          <w:tcPr>
            <w:tcW w:w="1963" w:type="dxa"/>
            <w:vAlign w:val="bottom"/>
          </w:tcPr>
          <w:p w14:paraId="5B87970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17,5%</w:t>
            </w:r>
          </w:p>
        </w:tc>
      </w:tr>
      <w:tr w:rsidR="0083308B" w14:paraId="21B3AB9A"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CCD7CFB"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409" w:type="dxa"/>
            <w:vAlign w:val="bottom"/>
          </w:tcPr>
          <w:p w14:paraId="024074F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6.952 € </w:t>
            </w:r>
          </w:p>
        </w:tc>
        <w:tc>
          <w:tcPr>
            <w:tcW w:w="1985" w:type="dxa"/>
            <w:vAlign w:val="bottom"/>
          </w:tcPr>
          <w:p w14:paraId="7DD2E72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-1,0%</w:t>
            </w:r>
          </w:p>
        </w:tc>
        <w:tc>
          <w:tcPr>
            <w:tcW w:w="1963" w:type="dxa"/>
            <w:vAlign w:val="bottom"/>
          </w:tcPr>
          <w:p w14:paraId="1EFB1725"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12,9%</w:t>
            </w:r>
          </w:p>
        </w:tc>
      </w:tr>
      <w:tr w:rsidR="0083308B" w14:paraId="7CA9B57B"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4CAFF8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409" w:type="dxa"/>
            <w:vAlign w:val="bottom"/>
          </w:tcPr>
          <w:p w14:paraId="7AB9839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5.315 € </w:t>
            </w:r>
          </w:p>
        </w:tc>
        <w:tc>
          <w:tcPr>
            <w:tcW w:w="1985" w:type="dxa"/>
            <w:vAlign w:val="bottom"/>
          </w:tcPr>
          <w:p w14:paraId="39F9C50B"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-1,7%</w:t>
            </w:r>
          </w:p>
        </w:tc>
        <w:tc>
          <w:tcPr>
            <w:tcW w:w="1963" w:type="dxa"/>
            <w:vAlign w:val="bottom"/>
          </w:tcPr>
          <w:p w14:paraId="3E090FA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12,9%</w:t>
            </w:r>
          </w:p>
        </w:tc>
      </w:tr>
      <w:tr w:rsidR="0083308B" w14:paraId="3191DAE0"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5A424A6"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409" w:type="dxa"/>
            <w:vAlign w:val="bottom"/>
          </w:tcPr>
          <w:p w14:paraId="551EBC9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2.606 € </w:t>
            </w:r>
          </w:p>
        </w:tc>
        <w:tc>
          <w:tcPr>
            <w:tcW w:w="1985" w:type="dxa"/>
            <w:vAlign w:val="bottom"/>
          </w:tcPr>
          <w:p w14:paraId="1736916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-6,8%</w:t>
            </w:r>
          </w:p>
        </w:tc>
        <w:tc>
          <w:tcPr>
            <w:tcW w:w="1963" w:type="dxa"/>
            <w:vAlign w:val="bottom"/>
          </w:tcPr>
          <w:p w14:paraId="2373EE8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-5,3%</w:t>
            </w:r>
          </w:p>
        </w:tc>
      </w:tr>
    </w:tbl>
    <w:p w14:paraId="4386A18F" w14:textId="77777777" w:rsidR="0083308B" w:rsidRDefault="0083308B">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1EF0D127" w14:textId="77777777" w:rsidR="0083308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7: Distritos de mayor a menor incremento trimestral (sep. 2024)</w:t>
      </w:r>
    </w:p>
    <w:tbl>
      <w:tblPr>
        <w:tblStyle w:val="ac"/>
        <w:tblW w:w="9051"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FFFFFF"/>
        </w:tblBorders>
        <w:tblLayout w:type="fixed"/>
        <w:tblLook w:val="04A0" w:firstRow="1" w:lastRow="0" w:firstColumn="1" w:lastColumn="0" w:noHBand="0" w:noVBand="1"/>
      </w:tblPr>
      <w:tblGrid>
        <w:gridCol w:w="2694"/>
        <w:gridCol w:w="2409"/>
        <w:gridCol w:w="1985"/>
        <w:gridCol w:w="1963"/>
      </w:tblGrid>
      <w:tr w:rsidR="0083308B" w14:paraId="5A8C3988" w14:textId="77777777" w:rsidTr="0083308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179495B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Distrito de Barcelona</w:t>
            </w:r>
          </w:p>
        </w:tc>
        <w:tc>
          <w:tcPr>
            <w:tcW w:w="2409" w:type="dxa"/>
            <w:shd w:val="clear" w:color="auto" w:fill="1DBDC5"/>
          </w:tcPr>
          <w:p w14:paraId="3A40716F"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Sep. 2024</w:t>
            </w:r>
          </w:p>
          <w:p w14:paraId="554C9500"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5" w:type="dxa"/>
            <w:shd w:val="clear" w:color="auto" w:fill="1DBDC5"/>
          </w:tcPr>
          <w:p w14:paraId="75FD0D7E"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963" w:type="dxa"/>
            <w:shd w:val="clear" w:color="auto" w:fill="1DBDC5"/>
          </w:tcPr>
          <w:p w14:paraId="07FB9B94" w14:textId="77777777" w:rsidR="0083308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3308B" w14:paraId="3E3E8ECD"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087FC2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vAlign w:val="bottom"/>
          </w:tcPr>
          <w:p w14:paraId="0BE17E00"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5.457 € </w:t>
            </w:r>
          </w:p>
        </w:tc>
        <w:tc>
          <w:tcPr>
            <w:tcW w:w="1985" w:type="dxa"/>
            <w:vAlign w:val="bottom"/>
          </w:tcPr>
          <w:p w14:paraId="64AB75F4"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4,3%</w:t>
            </w:r>
          </w:p>
        </w:tc>
        <w:tc>
          <w:tcPr>
            <w:tcW w:w="1963" w:type="dxa"/>
            <w:vAlign w:val="bottom"/>
          </w:tcPr>
          <w:p w14:paraId="20D8F51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3,8%</w:t>
            </w:r>
          </w:p>
        </w:tc>
      </w:tr>
      <w:tr w:rsidR="0083308B" w14:paraId="075A96FC"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0F9317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vAlign w:val="bottom"/>
          </w:tcPr>
          <w:p w14:paraId="72EB06F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3.899 € </w:t>
            </w:r>
          </w:p>
        </w:tc>
        <w:tc>
          <w:tcPr>
            <w:tcW w:w="1985" w:type="dxa"/>
            <w:vAlign w:val="bottom"/>
          </w:tcPr>
          <w:p w14:paraId="3D76BA59"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4,2%</w:t>
            </w:r>
          </w:p>
        </w:tc>
        <w:tc>
          <w:tcPr>
            <w:tcW w:w="1963" w:type="dxa"/>
            <w:vAlign w:val="bottom"/>
          </w:tcPr>
          <w:p w14:paraId="0ED7C984"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13,6%</w:t>
            </w:r>
          </w:p>
        </w:tc>
      </w:tr>
      <w:tr w:rsidR="0083308B" w14:paraId="7B764DAD"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95F06B5"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vAlign w:val="bottom"/>
          </w:tcPr>
          <w:p w14:paraId="0D911A56"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4.514 € </w:t>
            </w:r>
          </w:p>
        </w:tc>
        <w:tc>
          <w:tcPr>
            <w:tcW w:w="1985" w:type="dxa"/>
            <w:vAlign w:val="bottom"/>
          </w:tcPr>
          <w:p w14:paraId="12ABFAC9"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4,1%</w:t>
            </w:r>
          </w:p>
        </w:tc>
        <w:tc>
          <w:tcPr>
            <w:tcW w:w="1963" w:type="dxa"/>
            <w:vAlign w:val="bottom"/>
          </w:tcPr>
          <w:p w14:paraId="6AC0A491"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10,2%</w:t>
            </w:r>
          </w:p>
        </w:tc>
      </w:tr>
      <w:tr w:rsidR="0083308B" w14:paraId="49F868F3"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48EE17C"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vAlign w:val="bottom"/>
          </w:tcPr>
          <w:p w14:paraId="786CFA6E"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5.166 € </w:t>
            </w:r>
          </w:p>
        </w:tc>
        <w:tc>
          <w:tcPr>
            <w:tcW w:w="1985" w:type="dxa"/>
            <w:vAlign w:val="bottom"/>
          </w:tcPr>
          <w:p w14:paraId="07D04A7F"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4,0%</w:t>
            </w:r>
          </w:p>
        </w:tc>
        <w:tc>
          <w:tcPr>
            <w:tcW w:w="1963" w:type="dxa"/>
            <w:vAlign w:val="bottom"/>
          </w:tcPr>
          <w:p w14:paraId="5CC6996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5,1%</w:t>
            </w:r>
          </w:p>
        </w:tc>
      </w:tr>
      <w:tr w:rsidR="0083308B" w14:paraId="2D4EF3EE"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9DF0C44"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vAlign w:val="bottom"/>
          </w:tcPr>
          <w:p w14:paraId="5CE66C4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6.206 € </w:t>
            </w:r>
          </w:p>
        </w:tc>
        <w:tc>
          <w:tcPr>
            <w:tcW w:w="1985" w:type="dxa"/>
            <w:vAlign w:val="bottom"/>
          </w:tcPr>
          <w:p w14:paraId="0ED60A3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w:t>
            </w:r>
          </w:p>
        </w:tc>
        <w:tc>
          <w:tcPr>
            <w:tcW w:w="1963" w:type="dxa"/>
            <w:vAlign w:val="bottom"/>
          </w:tcPr>
          <w:p w14:paraId="44528897"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r>
      <w:tr w:rsidR="0083308B" w14:paraId="10BAA848"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8F0BA9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vAlign w:val="bottom"/>
          </w:tcPr>
          <w:p w14:paraId="5633177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4.003 € </w:t>
            </w:r>
          </w:p>
        </w:tc>
        <w:tc>
          <w:tcPr>
            <w:tcW w:w="1985" w:type="dxa"/>
            <w:vAlign w:val="bottom"/>
          </w:tcPr>
          <w:p w14:paraId="0118C7B8"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2,1%</w:t>
            </w:r>
          </w:p>
        </w:tc>
        <w:tc>
          <w:tcPr>
            <w:tcW w:w="1963" w:type="dxa"/>
            <w:vAlign w:val="bottom"/>
          </w:tcPr>
          <w:p w14:paraId="2EB27EE3"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8,8%</w:t>
            </w:r>
          </w:p>
        </w:tc>
      </w:tr>
      <w:tr w:rsidR="0083308B" w14:paraId="254D2174"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3D67AA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vAlign w:val="bottom"/>
          </w:tcPr>
          <w:p w14:paraId="362C4C78"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3.568 € </w:t>
            </w:r>
          </w:p>
        </w:tc>
        <w:tc>
          <w:tcPr>
            <w:tcW w:w="1985" w:type="dxa"/>
            <w:vAlign w:val="bottom"/>
          </w:tcPr>
          <w:p w14:paraId="5C7E7A0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0,4%</w:t>
            </w:r>
          </w:p>
        </w:tc>
        <w:tc>
          <w:tcPr>
            <w:tcW w:w="1963" w:type="dxa"/>
            <w:vAlign w:val="bottom"/>
          </w:tcPr>
          <w:p w14:paraId="7B1D121F"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8,2%</w:t>
            </w:r>
          </w:p>
        </w:tc>
      </w:tr>
      <w:tr w:rsidR="0083308B" w14:paraId="2BDB6AAB"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B093217"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vAlign w:val="bottom"/>
          </w:tcPr>
          <w:p w14:paraId="4AD352C1"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6.025 € </w:t>
            </w:r>
          </w:p>
        </w:tc>
        <w:tc>
          <w:tcPr>
            <w:tcW w:w="1985" w:type="dxa"/>
            <w:vAlign w:val="bottom"/>
          </w:tcPr>
          <w:p w14:paraId="281A8B0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-0,04%</w:t>
            </w:r>
          </w:p>
        </w:tc>
        <w:tc>
          <w:tcPr>
            <w:tcW w:w="1963" w:type="dxa"/>
            <w:vAlign w:val="bottom"/>
          </w:tcPr>
          <w:p w14:paraId="1D539DDA"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6,4%</w:t>
            </w:r>
          </w:p>
        </w:tc>
      </w:tr>
      <w:tr w:rsidR="0083308B" w14:paraId="0A7FB380" w14:textId="77777777" w:rsidTr="0083308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B97FDFC" w14:textId="77777777" w:rsidR="0083308B"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409" w:type="dxa"/>
            <w:vAlign w:val="bottom"/>
          </w:tcPr>
          <w:p w14:paraId="30F77A8C"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4.790 € </w:t>
            </w:r>
          </w:p>
        </w:tc>
        <w:tc>
          <w:tcPr>
            <w:tcW w:w="1985" w:type="dxa"/>
            <w:vAlign w:val="bottom"/>
          </w:tcPr>
          <w:p w14:paraId="21252A13"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-0,2%</w:t>
            </w:r>
          </w:p>
        </w:tc>
        <w:tc>
          <w:tcPr>
            <w:tcW w:w="1963" w:type="dxa"/>
            <w:vAlign w:val="bottom"/>
          </w:tcPr>
          <w:p w14:paraId="29CBCCE2" w14:textId="77777777" w:rsidR="0083308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r>
      <w:tr w:rsidR="0083308B" w14:paraId="3F2EFCA1" w14:textId="77777777" w:rsidTr="0083308B">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015EE38" w14:textId="77777777" w:rsidR="0083308B"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409" w:type="dxa"/>
            <w:vAlign w:val="bottom"/>
          </w:tcPr>
          <w:p w14:paraId="4460C770"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2.735 € </w:t>
            </w:r>
          </w:p>
        </w:tc>
        <w:tc>
          <w:tcPr>
            <w:tcW w:w="1985" w:type="dxa"/>
            <w:vAlign w:val="bottom"/>
          </w:tcPr>
          <w:p w14:paraId="4FCFFF82"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-0,8%</w:t>
            </w:r>
          </w:p>
        </w:tc>
        <w:tc>
          <w:tcPr>
            <w:tcW w:w="1963" w:type="dxa"/>
            <w:vAlign w:val="bottom"/>
          </w:tcPr>
          <w:p w14:paraId="798A06AC" w14:textId="77777777" w:rsidR="0083308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4,1%</w:t>
            </w:r>
          </w:p>
        </w:tc>
      </w:tr>
    </w:tbl>
    <w:p w14:paraId="089E87FB" w14:textId="77777777" w:rsidR="0083308B" w:rsidRDefault="0083308B">
      <w:pPr>
        <w:spacing w:line="276" w:lineRule="auto"/>
        <w:ind w:right="-574"/>
        <w:jc w:val="right"/>
        <w:rPr>
          <w:rFonts w:ascii="Open Sans Light" w:eastAsia="Open Sans Light" w:hAnsi="Open Sans Light" w:cs="Open Sans Light"/>
          <w:b/>
          <w:color w:val="303AB2"/>
        </w:rPr>
      </w:pPr>
    </w:p>
    <w:p w14:paraId="44D35358" w14:textId="77777777" w:rsidR="0083308B" w:rsidRDefault="0083308B">
      <w:pPr>
        <w:spacing w:line="276" w:lineRule="auto"/>
        <w:ind w:right="-574"/>
        <w:jc w:val="right"/>
        <w:rPr>
          <w:rFonts w:ascii="Open Sans Light" w:eastAsia="Open Sans Light" w:hAnsi="Open Sans Light" w:cs="Open Sans Light"/>
          <w:b/>
          <w:color w:val="303AB2"/>
        </w:rPr>
      </w:pPr>
    </w:p>
    <w:p w14:paraId="495C8461" w14:textId="77777777" w:rsidR="00684725" w:rsidRDefault="00684725" w:rsidP="00CA5F2A">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D4F6B88" w14:textId="77777777" w:rsidR="00684725" w:rsidRDefault="00684725" w:rsidP="00CA5F2A">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ADD28A1" w14:textId="77777777" w:rsidR="00684725" w:rsidRDefault="00684725" w:rsidP="00CA5F2A">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416C9BCE" w14:textId="77777777" w:rsidR="00684725" w:rsidRDefault="00000000" w:rsidP="00CA5F2A">
      <w:pPr>
        <w:shd w:val="clear" w:color="auto" w:fill="FFFFFF"/>
        <w:spacing w:before="280" w:after="280" w:line="276" w:lineRule="auto"/>
        <w:ind w:right="-574"/>
        <w:jc w:val="both"/>
        <w:rPr>
          <w:rFonts w:ascii="Open Sans" w:eastAsia="Open Sans" w:hAnsi="Open Sans" w:cs="Open Sans"/>
          <w:sz w:val="22"/>
          <w:szCs w:val="22"/>
        </w:rPr>
      </w:pPr>
      <w:hyperlink r:id="rId22">
        <w:r w:rsidR="00684725">
          <w:rPr>
            <w:rFonts w:ascii="Open Sans" w:eastAsia="Open Sans" w:hAnsi="Open Sans" w:cs="Open Sans"/>
            <w:color w:val="0000FF"/>
            <w:sz w:val="22"/>
            <w:szCs w:val="22"/>
            <w:u w:val="single"/>
          </w:rPr>
          <w:t>Más información sobre Fotocasa</w:t>
        </w:r>
      </w:hyperlink>
      <w:r w:rsidR="00684725">
        <w:rPr>
          <w:rFonts w:ascii="Open Sans" w:eastAsia="Open Sans" w:hAnsi="Open Sans" w:cs="Open Sans"/>
          <w:sz w:val="22"/>
          <w:szCs w:val="22"/>
        </w:rPr>
        <w:t xml:space="preserve">. </w:t>
      </w:r>
    </w:p>
    <w:p w14:paraId="7EA1F64A" w14:textId="77777777" w:rsidR="00684725" w:rsidRDefault="00684725" w:rsidP="00CA5F2A">
      <w:pPr>
        <w:spacing w:line="276" w:lineRule="auto"/>
        <w:ind w:right="-574"/>
        <w:jc w:val="right"/>
        <w:rPr>
          <w:rFonts w:ascii="Open Sans Light" w:eastAsia="Open Sans Light" w:hAnsi="Open Sans Light" w:cs="Open Sans Light"/>
          <w:b/>
          <w:color w:val="303AB2"/>
        </w:rPr>
      </w:pPr>
    </w:p>
    <w:p w14:paraId="26726786" w14:textId="77777777" w:rsidR="00684725" w:rsidRDefault="00684725" w:rsidP="00CA5F2A">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DFA563A" w14:textId="77777777" w:rsidR="00684725" w:rsidRDefault="00684725" w:rsidP="00CA5F2A">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7CA9AAD" w14:textId="77777777" w:rsidR="00684725" w:rsidRDefault="00684725" w:rsidP="00CA5F2A">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29CD41D" w14:textId="77777777" w:rsidR="00684725" w:rsidRDefault="00684725" w:rsidP="00CA5F2A">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25821A47" w14:textId="77777777" w:rsidR="00684725" w:rsidRDefault="00684725" w:rsidP="00CA5F2A">
      <w:pPr>
        <w:spacing w:line="276" w:lineRule="auto"/>
        <w:ind w:right="-574"/>
        <w:jc w:val="right"/>
        <w:rPr>
          <w:rFonts w:ascii="Open Sans" w:eastAsia="Open Sans" w:hAnsi="Open Sans" w:cs="Open Sans"/>
        </w:rPr>
      </w:pPr>
      <w:r>
        <w:rPr>
          <w:rFonts w:ascii="Open Sans" w:eastAsia="Open Sans" w:hAnsi="Open Sans" w:cs="Open Sans"/>
          <w:sz w:val="22"/>
          <w:szCs w:val="22"/>
        </w:rPr>
        <w:t xml:space="preserve">Más información en </w:t>
      </w:r>
      <w:hyperlink r:id="rId28">
        <w:r>
          <w:rPr>
            <w:rFonts w:ascii="Open Sans" w:eastAsia="Open Sans" w:hAnsi="Open Sans" w:cs="Open Sans"/>
            <w:color w:val="1155CC"/>
            <w:sz w:val="22"/>
            <w:szCs w:val="22"/>
            <w:u w:val="single"/>
          </w:rPr>
          <w:t>adevinta.es</w:t>
        </w:r>
      </w:hyperlink>
    </w:p>
    <w:p w14:paraId="0B36E30C" w14:textId="77777777" w:rsidR="00684725" w:rsidRDefault="00684725" w:rsidP="00CA5F2A">
      <w:pPr>
        <w:spacing w:line="276" w:lineRule="auto"/>
        <w:ind w:right="-574"/>
        <w:jc w:val="right"/>
        <w:rPr>
          <w:rFonts w:ascii="Open Sans" w:eastAsia="Open Sans" w:hAnsi="Open Sans" w:cs="Open Sans"/>
        </w:rPr>
      </w:pPr>
    </w:p>
    <w:p w14:paraId="53B10140" w14:textId="77777777" w:rsidR="00684725" w:rsidRDefault="00684725" w:rsidP="00CA5F2A">
      <w:pPr>
        <w:spacing w:line="276" w:lineRule="auto"/>
        <w:ind w:right="-574"/>
        <w:jc w:val="right"/>
        <w:rPr>
          <w:rFonts w:ascii="Open Sans" w:eastAsia="Open Sans" w:hAnsi="Open Sans" w:cs="Open Sans"/>
        </w:rPr>
      </w:pPr>
    </w:p>
    <w:p w14:paraId="4889CF70" w14:textId="77777777" w:rsidR="00684725" w:rsidRDefault="00684725" w:rsidP="00CA5F2A">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9E7D7B2" w14:textId="77777777" w:rsidR="00684725" w:rsidRDefault="00684725" w:rsidP="00CA5F2A">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E4AC9F6" w14:textId="77777777" w:rsidR="00684725" w:rsidRDefault="00000000" w:rsidP="00CA5F2A">
      <w:pPr>
        <w:shd w:val="clear" w:color="auto" w:fill="FFFFFF"/>
        <w:spacing w:line="276" w:lineRule="auto"/>
        <w:ind w:right="-574"/>
        <w:rPr>
          <w:rFonts w:ascii="Open Sans" w:eastAsia="Open Sans" w:hAnsi="Open Sans" w:cs="Open Sans"/>
          <w:color w:val="0000FF"/>
          <w:sz w:val="22"/>
          <w:szCs w:val="22"/>
          <w:u w:val="single"/>
        </w:rPr>
      </w:pPr>
      <w:hyperlink r:id="rId29">
        <w:r w:rsidR="00684725">
          <w:rPr>
            <w:rFonts w:ascii="Open Sans" w:eastAsia="Open Sans" w:hAnsi="Open Sans" w:cs="Open Sans"/>
            <w:color w:val="0000FF"/>
            <w:sz w:val="22"/>
            <w:szCs w:val="22"/>
            <w:u w:val="single"/>
          </w:rPr>
          <w:t>comunicacion@fotocasa.es</w:t>
        </w:r>
      </w:hyperlink>
    </w:p>
    <w:p w14:paraId="1632DDB4" w14:textId="77777777" w:rsidR="00684725" w:rsidRDefault="00684725" w:rsidP="00CA5F2A">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86FF545" w14:textId="77777777" w:rsidR="00684725" w:rsidRDefault="00684725" w:rsidP="00CA5F2A">
      <w:pPr>
        <w:spacing w:line="276" w:lineRule="auto"/>
        <w:ind w:right="-574"/>
        <w:rPr>
          <w:rFonts w:ascii="Open Sans Light" w:eastAsia="Open Sans Light" w:hAnsi="Open Sans Light" w:cs="Open Sans Light"/>
          <w:b/>
          <w:color w:val="303AB2"/>
          <w:sz w:val="22"/>
          <w:szCs w:val="22"/>
        </w:rPr>
      </w:pPr>
    </w:p>
    <w:p w14:paraId="3A21185B" w14:textId="77777777" w:rsidR="00684725" w:rsidRDefault="00684725" w:rsidP="00CA5F2A">
      <w:pPr>
        <w:spacing w:line="276" w:lineRule="auto"/>
        <w:ind w:right="-574"/>
        <w:rPr>
          <w:rFonts w:ascii="Open Sans Light" w:eastAsia="Open Sans Light" w:hAnsi="Open Sans Light" w:cs="Open Sans Light"/>
          <w:b/>
          <w:color w:val="303AB2"/>
          <w:sz w:val="22"/>
          <w:szCs w:val="22"/>
        </w:rPr>
      </w:pPr>
    </w:p>
    <w:p w14:paraId="22B02F0E" w14:textId="77777777" w:rsidR="00684725" w:rsidRDefault="00684725" w:rsidP="00CA5F2A">
      <w:pPr>
        <w:spacing w:line="276" w:lineRule="auto"/>
        <w:ind w:right="-574"/>
        <w:rPr>
          <w:rFonts w:ascii="Open Sans Light" w:eastAsia="Open Sans Light" w:hAnsi="Open Sans Light" w:cs="Open Sans Light"/>
          <w:b/>
          <w:color w:val="303AB2"/>
          <w:sz w:val="22"/>
          <w:szCs w:val="22"/>
        </w:rPr>
      </w:pPr>
    </w:p>
    <w:p w14:paraId="5C09F750" w14:textId="77777777" w:rsidR="00684725" w:rsidRDefault="00684725" w:rsidP="00CA5F2A">
      <w:pPr>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5619FFE" w14:textId="77777777" w:rsidR="00684725" w:rsidRDefault="00684725" w:rsidP="00CA5F2A">
      <w:pPr>
        <w:shd w:val="clear" w:color="auto" w:fill="FFFFFF"/>
        <w:ind w:right="-574"/>
        <w:rPr>
          <w:rFonts w:ascii="Open Sans" w:eastAsia="Open Sans" w:hAnsi="Open Sans" w:cs="Open Sans"/>
          <w:b/>
          <w:sz w:val="22"/>
          <w:szCs w:val="22"/>
        </w:rPr>
      </w:pPr>
      <w:r>
        <w:rPr>
          <w:rFonts w:ascii="Open Sans" w:eastAsia="Open Sans" w:hAnsi="Open Sans" w:cs="Open Sans"/>
          <w:b/>
          <w:sz w:val="22"/>
          <w:szCs w:val="22"/>
        </w:rPr>
        <w:t>Fanny Merino</w:t>
      </w:r>
    </w:p>
    <w:p w14:paraId="0D438448" w14:textId="77777777" w:rsidR="00684725" w:rsidRDefault="00000000" w:rsidP="00CA5F2A">
      <w:pPr>
        <w:shd w:val="clear" w:color="auto" w:fill="FFFFFF"/>
        <w:ind w:right="-574"/>
        <w:rPr>
          <w:rFonts w:ascii="Open Sans" w:eastAsia="Open Sans" w:hAnsi="Open Sans" w:cs="Open Sans"/>
          <w:b/>
          <w:sz w:val="22"/>
          <w:szCs w:val="22"/>
        </w:rPr>
      </w:pPr>
      <w:hyperlink r:id="rId30">
        <w:r w:rsidR="00684725">
          <w:rPr>
            <w:rFonts w:ascii="Open Sans" w:eastAsia="Open Sans" w:hAnsi="Open Sans" w:cs="Open Sans"/>
            <w:color w:val="0000FF"/>
            <w:sz w:val="22"/>
            <w:szCs w:val="22"/>
            <w:u w:val="single"/>
          </w:rPr>
          <w:t>emerino@</w:t>
        </w:r>
      </w:hyperlink>
      <w:r w:rsidR="00684725">
        <w:rPr>
          <w:rFonts w:ascii="Open Sans" w:eastAsia="Open Sans" w:hAnsi="Open Sans" w:cs="Open Sans"/>
          <w:color w:val="0000FF"/>
          <w:sz w:val="22"/>
          <w:szCs w:val="22"/>
          <w:u w:val="single"/>
        </w:rPr>
        <w:t>llyc.global</w:t>
      </w:r>
      <w:r w:rsidR="00684725">
        <w:rPr>
          <w:rFonts w:ascii="Open Sans" w:eastAsia="Open Sans" w:hAnsi="Open Sans" w:cs="Open Sans"/>
          <w:color w:val="0000FF"/>
          <w:sz w:val="22"/>
          <w:szCs w:val="22"/>
        </w:rPr>
        <w:tab/>
      </w:r>
      <w:r w:rsidR="00684725">
        <w:rPr>
          <w:rFonts w:ascii="Open Sans" w:eastAsia="Open Sans" w:hAnsi="Open Sans" w:cs="Open Sans"/>
          <w:color w:val="0000FF"/>
          <w:sz w:val="22"/>
          <w:szCs w:val="22"/>
        </w:rPr>
        <w:tab/>
      </w:r>
    </w:p>
    <w:p w14:paraId="723669B0" w14:textId="77777777" w:rsidR="00684725" w:rsidRPr="0003539E" w:rsidRDefault="00684725" w:rsidP="00CA5F2A">
      <w:pPr>
        <w:shd w:val="clear" w:color="auto" w:fill="FFFFFF"/>
        <w:ind w:right="-574"/>
        <w:rPr>
          <w:rFonts w:ascii="Open Sans" w:eastAsia="Open Sans" w:hAnsi="Open Sans" w:cs="Open Sans"/>
          <w:sz w:val="22"/>
          <w:szCs w:val="22"/>
          <w:lang w:val="en-US"/>
        </w:rPr>
      </w:pPr>
      <w:r w:rsidRPr="0003539E">
        <w:rPr>
          <w:rFonts w:ascii="Open Sans" w:eastAsia="Open Sans" w:hAnsi="Open Sans" w:cs="Open Sans"/>
          <w:sz w:val="22"/>
          <w:szCs w:val="22"/>
          <w:lang w:val="en-US"/>
        </w:rPr>
        <w:t>663 35 69 75 </w:t>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p>
    <w:p w14:paraId="2C81733C" w14:textId="77777777" w:rsidR="00684725" w:rsidRPr="0003539E" w:rsidRDefault="00684725" w:rsidP="00CA5F2A">
      <w:pPr>
        <w:shd w:val="clear" w:color="auto" w:fill="FFFFFF"/>
        <w:ind w:right="-574"/>
        <w:rPr>
          <w:color w:val="222222"/>
          <w:sz w:val="22"/>
          <w:szCs w:val="22"/>
          <w:lang w:val="en-US"/>
        </w:rPr>
      </w:pPr>
      <w:r w:rsidRPr="0003539E">
        <w:rPr>
          <w:color w:val="222222"/>
          <w:sz w:val="22"/>
          <w:szCs w:val="22"/>
          <w:lang w:val="en-US"/>
        </w:rPr>
        <w:tab/>
      </w:r>
      <w:r w:rsidRPr="0003539E">
        <w:rPr>
          <w:color w:val="222222"/>
          <w:sz w:val="22"/>
          <w:szCs w:val="22"/>
          <w:lang w:val="en-US"/>
        </w:rPr>
        <w:tab/>
        <w:t xml:space="preserve">     </w:t>
      </w:r>
    </w:p>
    <w:p w14:paraId="7D2E86A8" w14:textId="77777777" w:rsidR="00684725" w:rsidRPr="0003539E" w:rsidRDefault="00684725" w:rsidP="00CA5F2A">
      <w:pPr>
        <w:shd w:val="clear" w:color="auto" w:fill="FFFFFF"/>
        <w:ind w:right="-574"/>
        <w:rPr>
          <w:rFonts w:ascii="Open Sans" w:eastAsia="Open Sans" w:hAnsi="Open Sans" w:cs="Open Sans"/>
          <w:b/>
          <w:sz w:val="22"/>
          <w:szCs w:val="22"/>
          <w:lang w:val="en-US"/>
        </w:rPr>
      </w:pPr>
      <w:r w:rsidRPr="0003539E">
        <w:rPr>
          <w:rFonts w:ascii="Open Sans" w:eastAsia="Open Sans" w:hAnsi="Open Sans" w:cs="Open Sans"/>
          <w:b/>
          <w:sz w:val="22"/>
          <w:szCs w:val="22"/>
          <w:lang w:val="en-US"/>
        </w:rPr>
        <w:t xml:space="preserve">Judit </w:t>
      </w:r>
      <w:proofErr w:type="spellStart"/>
      <w:r w:rsidRPr="0003539E">
        <w:rPr>
          <w:rFonts w:ascii="Open Sans" w:eastAsia="Open Sans" w:hAnsi="Open Sans" w:cs="Open Sans"/>
          <w:b/>
          <w:sz w:val="22"/>
          <w:szCs w:val="22"/>
          <w:lang w:val="en-US"/>
        </w:rPr>
        <w:t>Campillos</w:t>
      </w:r>
      <w:proofErr w:type="spellEnd"/>
    </w:p>
    <w:p w14:paraId="7CF0CE45" w14:textId="77777777" w:rsidR="00684725" w:rsidRPr="0003539E" w:rsidRDefault="00684725" w:rsidP="00CA5F2A">
      <w:pPr>
        <w:shd w:val="clear" w:color="auto" w:fill="FFFFFF"/>
        <w:ind w:right="-574"/>
        <w:rPr>
          <w:rFonts w:ascii="Open Sans" w:eastAsia="Open Sans" w:hAnsi="Open Sans" w:cs="Open Sans"/>
          <w:b/>
          <w:sz w:val="22"/>
          <w:szCs w:val="22"/>
          <w:lang w:val="en-US"/>
        </w:rPr>
      </w:pPr>
      <w:proofErr w:type="spellStart"/>
      <w:r w:rsidRPr="0003539E">
        <w:rPr>
          <w:rFonts w:ascii="Open Sans" w:eastAsia="Open Sans" w:hAnsi="Open Sans" w:cs="Open Sans"/>
          <w:color w:val="0000FF"/>
          <w:sz w:val="22"/>
          <w:szCs w:val="22"/>
          <w:u w:val="single"/>
          <w:lang w:val="en-US"/>
        </w:rPr>
        <w:t>jcampillos</w:t>
      </w:r>
      <w:hyperlink r:id="rId31">
        <w:r w:rsidRPr="0003539E">
          <w:rPr>
            <w:rFonts w:ascii="Open Sans" w:eastAsia="Open Sans" w:hAnsi="Open Sans" w:cs="Open Sans"/>
            <w:color w:val="0000FF"/>
            <w:sz w:val="22"/>
            <w:szCs w:val="22"/>
            <w:u w:val="single"/>
            <w:lang w:val="en-US"/>
          </w:rPr>
          <w:t>@ll</w:t>
        </w:r>
      </w:hyperlink>
      <w:proofErr w:type="gramStart"/>
      <w:r w:rsidRPr="0003539E">
        <w:rPr>
          <w:rFonts w:ascii="Open Sans" w:eastAsia="Open Sans" w:hAnsi="Open Sans" w:cs="Open Sans"/>
          <w:color w:val="0000FF"/>
          <w:sz w:val="22"/>
          <w:szCs w:val="22"/>
          <w:u w:val="single"/>
          <w:lang w:val="en-US"/>
        </w:rPr>
        <w:t>yc.global</w:t>
      </w:r>
      <w:proofErr w:type="spellEnd"/>
      <w:proofErr w:type="gramEnd"/>
      <w:r w:rsidRPr="0003539E">
        <w:rPr>
          <w:rFonts w:ascii="Open Sans" w:eastAsia="Open Sans" w:hAnsi="Open Sans" w:cs="Open Sans"/>
          <w:color w:val="0000FF"/>
          <w:sz w:val="22"/>
          <w:szCs w:val="22"/>
          <w:lang w:val="en-US"/>
        </w:rPr>
        <w:tab/>
      </w:r>
      <w:r w:rsidRPr="0003539E">
        <w:rPr>
          <w:rFonts w:ascii="Open Sans" w:eastAsia="Open Sans" w:hAnsi="Open Sans" w:cs="Open Sans"/>
          <w:color w:val="0000FF"/>
          <w:sz w:val="22"/>
          <w:szCs w:val="22"/>
          <w:lang w:val="en-US"/>
        </w:rPr>
        <w:tab/>
      </w:r>
    </w:p>
    <w:p w14:paraId="3D2614FE" w14:textId="77777777" w:rsidR="00684725" w:rsidRPr="00CA5F2A" w:rsidRDefault="00684725" w:rsidP="00CA5F2A">
      <w:pPr>
        <w:shd w:val="clear" w:color="auto" w:fill="FFFFFF"/>
        <w:ind w:right="-574"/>
        <w:rPr>
          <w:rFonts w:ascii="Open Sans" w:eastAsia="Open Sans" w:hAnsi="Open Sans" w:cs="Open Sans"/>
          <w:sz w:val="22"/>
          <w:szCs w:val="22"/>
          <w:lang w:val="en-US"/>
        </w:rPr>
      </w:pPr>
      <w:r w:rsidRPr="00CA5F2A">
        <w:rPr>
          <w:rFonts w:ascii="Open Sans" w:eastAsia="Open Sans" w:hAnsi="Open Sans" w:cs="Open Sans"/>
          <w:sz w:val="22"/>
          <w:szCs w:val="22"/>
          <w:lang w:val="en-US"/>
        </w:rPr>
        <w:t>699 13 91 53</w:t>
      </w:r>
    </w:p>
    <w:p w14:paraId="79002BB6" w14:textId="77777777" w:rsidR="00684725" w:rsidRPr="00CA5F2A" w:rsidRDefault="00684725" w:rsidP="00CA5F2A">
      <w:pPr>
        <w:ind w:right="-574"/>
        <w:rPr>
          <w:rFonts w:ascii="Open Sans" w:eastAsia="Open Sans" w:hAnsi="Open Sans" w:cs="Open Sans"/>
          <w:color w:val="30302E"/>
          <w:sz w:val="22"/>
          <w:szCs w:val="22"/>
          <w:highlight w:val="white"/>
          <w:lang w:val="en-US"/>
        </w:rPr>
      </w:pPr>
    </w:p>
    <w:p w14:paraId="1699E459" w14:textId="77777777" w:rsidR="00684725" w:rsidRDefault="00684725" w:rsidP="00CA5F2A">
      <w:pPr>
        <w:ind w:right="-574"/>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28D9EE4B" w14:textId="77777777" w:rsidR="00684725" w:rsidRDefault="00000000" w:rsidP="00CA5F2A">
      <w:pPr>
        <w:ind w:right="-574"/>
        <w:rPr>
          <w:rFonts w:ascii="Open Sans" w:eastAsia="Open Sans" w:hAnsi="Open Sans" w:cs="Open Sans"/>
          <w:color w:val="0000FF"/>
          <w:sz w:val="22"/>
          <w:szCs w:val="22"/>
          <w:u w:val="single"/>
        </w:rPr>
      </w:pPr>
      <w:hyperlink r:id="rId32">
        <w:r w:rsidR="00684725">
          <w:rPr>
            <w:rFonts w:ascii="Open Sans" w:eastAsia="Open Sans" w:hAnsi="Open Sans" w:cs="Open Sans"/>
            <w:color w:val="0000FF"/>
            <w:sz w:val="22"/>
            <w:szCs w:val="22"/>
            <w:u w:val="single"/>
          </w:rPr>
          <w:t>alicia.salvatella@llyc.global</w:t>
        </w:r>
      </w:hyperlink>
    </w:p>
    <w:p w14:paraId="4B97836B" w14:textId="77777777" w:rsidR="00684725" w:rsidRDefault="00684725" w:rsidP="00CA5F2A">
      <w:pPr>
        <w:ind w:right="-574"/>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0E99875A" w14:textId="77777777" w:rsidR="00684725" w:rsidRDefault="00684725" w:rsidP="00CA5F2A">
      <w:pPr>
        <w:shd w:val="clear" w:color="auto" w:fill="FFFFFF"/>
        <w:ind w:right="-574"/>
        <w:rPr>
          <w:rFonts w:ascii="Open Sans" w:eastAsia="Open Sans" w:hAnsi="Open Sans" w:cs="Open Sans"/>
          <w:color w:val="000000"/>
          <w:sz w:val="22"/>
          <w:szCs w:val="22"/>
        </w:rPr>
      </w:pPr>
    </w:p>
    <w:p w14:paraId="32EA3541" w14:textId="77777777" w:rsidR="00684725" w:rsidRDefault="00684725" w:rsidP="00CA5F2A">
      <w:pPr>
        <w:spacing w:line="276" w:lineRule="auto"/>
        <w:ind w:right="-574"/>
        <w:jc w:val="right"/>
        <w:rPr>
          <w:rFonts w:ascii="Open Sans" w:eastAsia="Open Sans" w:hAnsi="Open Sans" w:cs="Open Sans"/>
          <w:color w:val="000000"/>
          <w:sz w:val="21"/>
          <w:szCs w:val="21"/>
        </w:rPr>
      </w:pPr>
    </w:p>
    <w:p w14:paraId="27B334FA" w14:textId="77777777" w:rsidR="0083308B" w:rsidRDefault="0083308B">
      <w:pPr>
        <w:spacing w:line="276" w:lineRule="auto"/>
        <w:ind w:right="-574"/>
        <w:jc w:val="center"/>
        <w:rPr>
          <w:rFonts w:ascii="Open Sans" w:eastAsia="Open Sans" w:hAnsi="Open Sans" w:cs="Open Sans"/>
          <w:color w:val="000000"/>
          <w:sz w:val="21"/>
          <w:szCs w:val="21"/>
        </w:rPr>
      </w:pPr>
    </w:p>
    <w:p w14:paraId="21042B12" w14:textId="77777777" w:rsidR="0083308B" w:rsidRDefault="0083308B">
      <w:pPr>
        <w:spacing w:line="276" w:lineRule="auto"/>
        <w:ind w:right="-574"/>
        <w:jc w:val="right"/>
      </w:pPr>
    </w:p>
    <w:sectPr w:rsidR="0083308B">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A678D3C-2173-483B-A7EF-908EE85081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84569F-BA04-44F8-BD9E-F754AD833209}"/>
    <w:embedBold r:id="rId3" w:fontKey="{0BF79E8D-48D4-4161-8D71-34185603662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54A1E7C-19B7-47E8-B1CF-4AC9B4443E1C}"/>
  </w:font>
  <w:font w:name="Georgia">
    <w:panose1 w:val="02040502050405020303"/>
    <w:charset w:val="00"/>
    <w:family w:val="roman"/>
    <w:pitch w:val="variable"/>
    <w:sig w:usb0="00000287" w:usb1="00000000" w:usb2="00000000" w:usb3="00000000" w:csb0="0000009F" w:csb1="00000000"/>
    <w:embedRegular r:id="rId5" w:fontKey="{EB57FB81-6428-4818-99F9-3B0C4E208EF2}"/>
    <w:embedItalic r:id="rId6" w:fontKey="{7B7E5D5F-6E64-4AD5-AA23-A0BEA192D67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8DFC6C6-9B8C-4FE0-9363-EA3D386A19D1}"/>
    <w:embedBold r:id="rId8" w:fontKey="{94EDB4FB-67A6-4121-915E-4CC05C79FDBA}"/>
  </w:font>
  <w:font w:name="Open Sans Light">
    <w:charset w:val="00"/>
    <w:family w:val="swiss"/>
    <w:pitch w:val="variable"/>
    <w:sig w:usb0="E00002EF" w:usb1="4000205B" w:usb2="00000028" w:usb3="00000000" w:csb0="0000019F" w:csb1="00000000"/>
    <w:embedRegular r:id="rId9" w:fontKey="{02F93D48-27A2-4B7A-8387-98B41249962C}"/>
    <w:embedBold r:id="rId10" w:fontKey="{FCF76BF4-C3E1-4722-9F92-485066E02E94}"/>
  </w:font>
  <w:font w:name="Calibri Light">
    <w:panose1 w:val="020F0302020204030204"/>
    <w:charset w:val="00"/>
    <w:family w:val="swiss"/>
    <w:pitch w:val="variable"/>
    <w:sig w:usb0="E4002EFF" w:usb1="C000247B" w:usb2="00000009" w:usb3="00000000" w:csb0="000001FF" w:csb1="00000000"/>
    <w:embedRegular r:id="rId11" w:fontKey="{975CF795-1276-4593-81B5-E15E8A7AFC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D614D6"/>
    <w:multiLevelType w:val="multilevel"/>
    <w:tmpl w:val="30B01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840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08B"/>
    <w:rsid w:val="001A15C4"/>
    <w:rsid w:val="001C3D1F"/>
    <w:rsid w:val="002A0DDB"/>
    <w:rsid w:val="006422D4"/>
    <w:rsid w:val="00684725"/>
    <w:rsid w:val="0083308B"/>
    <w:rsid w:val="00C7624F"/>
    <w:rsid w:val="00CA5F2A"/>
    <w:rsid w:val="00D967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FA66C"/>
  <w15:docId w15:val="{D7A1CFCF-E697-4D31-B30F-863157E7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80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Estilo1">
    <w:name w:val="Estilo1"/>
    <w:basedOn w:val="Tablanormal"/>
    <w:uiPriority w:val="99"/>
    <w:rsid w:val="00B2313D"/>
    <w:tblPr/>
  </w:style>
  <w:style w:type="table" w:styleId="Tabladelista4-nfasis3">
    <w:name w:val="List Table 4 Accent 3"/>
    <w:basedOn w:val="Tablanormal"/>
    <w:uiPriority w:val="49"/>
    <w:rsid w:val="00B2313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B2313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8">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9">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c">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642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fotocasa.es" TargetMode="External"/><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34" Type="http://schemas.openxmlformats.org/officeDocument/2006/relationships/theme" Target="theme/theme1.xml"/><Relationship Id="rId7" Type="http://schemas.openxmlformats.org/officeDocument/2006/relationships/hyperlink" Target="https://www.fotocasa.es" TargetMode="External"/><Relationship Id="rId12" Type="http://schemas.openxmlformats.org/officeDocument/2006/relationships/image" Target="media/image3.png"/><Relationship Id="rId17" Type="http://schemas.openxmlformats.org/officeDocument/2006/relationships/hyperlink" Target="https://www.fotocasa.es" TargetMode="External"/><Relationship Id="rId25" Type="http://schemas.openxmlformats.org/officeDocument/2006/relationships/hyperlink" Target="https://www.infojob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otocasa.es/indice/"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www.habitaclia.com/" TargetMode="External"/><Relationship Id="rId32" Type="http://schemas.openxmlformats.org/officeDocument/2006/relationships/hyperlink" Target="mailto:alicia.salvatella@llyc.globa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otocasa.es/es/" TargetMode="External"/><Relationship Id="rId28"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hyperlink" Target="http://www.fotocasa.es" TargetMode="External"/><Relationship Id="rId31" Type="http://schemas.openxmlformats.org/officeDocument/2006/relationships/hyperlink" Target="mailto:emerino@llorenteycuenca.com"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emerino@llorenteycuenca.com" TargetMode="External"/><Relationship Id="rId8"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3-NOTAS%20DE%20PRENSA\01-VENTA\01-NOTAS%20DE%20PRENSA\2024\09-SEPTIEMBRE\PRENSA%20VENTA%20sep%202024.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Mi%20unidad\01-SCHIBSTED\03-NOTAS%20DE%20PRENSA\01-VENTA\01-NOTAS%20DE%20PRENSA\2024\09-SEPTIEMBRE\PRENSA%20VENTA%20sep%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6.7413834268718095E-2"/>
          <c:w val="0.94885678271547336"/>
          <c:h val="0.61131054102108207"/>
        </c:manualLayout>
      </c:layout>
      <c:barChart>
        <c:barDir val="col"/>
        <c:grouping val="clustered"/>
        <c:varyColors val="0"/>
        <c:ser>
          <c:idx val="0"/>
          <c:order val="0"/>
          <c:tx>
            <c:strRef>
              <c:f>comu!$C$29</c:f>
              <c:strCache>
                <c:ptCount val="1"/>
                <c:pt idx="0">
                  <c:v>  Variación trimestral </c:v>
                </c:pt>
              </c:strCache>
            </c:strRef>
          </c:tx>
          <c:spPr>
            <a:solidFill>
              <a:srgbClr val="61C2C7"/>
            </a:solidFill>
            <a:ln>
              <a:noFill/>
            </a:ln>
            <a:effectLst/>
          </c:spPr>
          <c:invertIfNegative val="0"/>
          <c:dLbls>
            <c:dLbl>
              <c:idx val="2"/>
              <c:layout>
                <c:manualLayout>
                  <c:x val="-2.782609203717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F9-4B51-B3B9-5049EE8D3993}"/>
                </c:ext>
              </c:extLst>
            </c:dLbl>
            <c:dLbl>
              <c:idx val="3"/>
              <c:layout>
                <c:manualLayout>
                  <c:x val="-1.3913046018586514E-2"/>
                  <c:y val="-1.107311569574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9-4B51-B3B9-5049EE8D3993}"/>
                </c:ext>
              </c:extLst>
            </c:dLbl>
            <c:numFmt formatCode="#,##0.0&quot;%&quot;" sourceLinked="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0"/>
              </c:ext>
            </c:extLst>
          </c:dLbls>
          <c:cat>
            <c:strRef>
              <c:f>comu!$B$35:$B$40</c:f>
              <c:strCache>
                <c:ptCount val="6"/>
                <c:pt idx="0">
                  <c:v>  T3                         2019</c:v>
                </c:pt>
                <c:pt idx="1">
                  <c:v>  T3                         2020</c:v>
                </c:pt>
                <c:pt idx="2">
                  <c:v>  T3                         2021</c:v>
                </c:pt>
                <c:pt idx="3">
                  <c:v>  T3                         2022</c:v>
                </c:pt>
                <c:pt idx="4">
                  <c:v>  T3                         2023</c:v>
                </c:pt>
                <c:pt idx="5">
                  <c:v>  T3                         2024</c:v>
                </c:pt>
              </c:strCache>
            </c:strRef>
          </c:cat>
          <c:val>
            <c:numRef>
              <c:f>comu!$C$35:$C$40</c:f>
              <c:numCache>
                <c:formatCode>#,##0.0"%"</c:formatCode>
                <c:ptCount val="6"/>
                <c:pt idx="0">
                  <c:v>-1.0044</c:v>
                </c:pt>
                <c:pt idx="1">
                  <c:v>-1.5050675946137848</c:v>
                </c:pt>
                <c:pt idx="2">
                  <c:v>0.44761141170162055</c:v>
                </c:pt>
                <c:pt idx="3">
                  <c:v>3.846392231806206</c:v>
                </c:pt>
                <c:pt idx="4">
                  <c:v>0.23903602780832897</c:v>
                </c:pt>
                <c:pt idx="5">
                  <c:v>1.1725832925141955</c:v>
                </c:pt>
              </c:numCache>
            </c:numRef>
          </c:val>
          <c:extLst>
            <c:ext xmlns:c16="http://schemas.microsoft.com/office/drawing/2014/chart" uri="{C3380CC4-5D6E-409C-BE32-E72D297353CC}">
              <c16:uniqueId val="{00000002-9BF9-4B51-B3B9-5049EE8D3993}"/>
            </c:ext>
          </c:extLst>
        </c:ser>
        <c:ser>
          <c:idx val="1"/>
          <c:order val="1"/>
          <c:tx>
            <c:strRef>
              <c:f>comu!$D$29</c:f>
              <c:strCache>
                <c:ptCount val="1"/>
                <c:pt idx="0">
                  <c:v>  Variación interanual </c:v>
                </c:pt>
              </c:strCache>
            </c:strRef>
          </c:tx>
          <c:spPr>
            <a:solidFill>
              <a:sysClr val="window" lastClr="FFFFFF">
                <a:lumMod val="85000"/>
              </a:sysClr>
            </a:solidFill>
            <a:ln>
              <a:noFill/>
            </a:ln>
            <a:effectLst/>
          </c:spPr>
          <c:invertIfNegative val="0"/>
          <c:dLbls>
            <c:dLbl>
              <c:idx val="3"/>
              <c:layout>
                <c:manualLayout>
                  <c:x val="-2.3188410030977524E-3"/>
                  <c:y val="-3.321934708724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F9-4B51-B3B9-5049EE8D3993}"/>
                </c:ext>
              </c:extLst>
            </c:dLbl>
            <c:dLbl>
              <c:idx val="4"/>
              <c:layout>
                <c:manualLayout>
                  <c:x val="8.3138457750332219E-3"/>
                  <c:y val="-4.639566695257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F9-4B51-B3B9-5049EE8D3993}"/>
                </c:ext>
              </c:extLst>
            </c:dLbl>
            <c:dLbl>
              <c:idx val="5"/>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F9-4B51-B3B9-5049EE8D3993}"/>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comu!$B$35:$B$40</c:f>
              <c:strCache>
                <c:ptCount val="6"/>
                <c:pt idx="0">
                  <c:v>  T3                         2019</c:v>
                </c:pt>
                <c:pt idx="1">
                  <c:v>  T3                         2020</c:v>
                </c:pt>
                <c:pt idx="2">
                  <c:v>  T3                         2021</c:v>
                </c:pt>
                <c:pt idx="3">
                  <c:v>  T3                         2022</c:v>
                </c:pt>
                <c:pt idx="4">
                  <c:v>  T3                         2023</c:v>
                </c:pt>
                <c:pt idx="5">
                  <c:v>  T3                         2024</c:v>
                </c:pt>
              </c:strCache>
            </c:strRef>
          </c:cat>
          <c:val>
            <c:numRef>
              <c:f>comu!$D$35:$D$40</c:f>
              <c:numCache>
                <c:formatCode>#,##0.0"%"</c:formatCode>
                <c:ptCount val="6"/>
                <c:pt idx="0">
                  <c:v>2.2728000000000002</c:v>
                </c:pt>
                <c:pt idx="1">
                  <c:v>-2.3876150058407042</c:v>
                </c:pt>
                <c:pt idx="2">
                  <c:v>2.5083041176502396</c:v>
                </c:pt>
                <c:pt idx="3">
                  <c:v>6.2803949761069067</c:v>
                </c:pt>
                <c:pt idx="4">
                  <c:v>6.9970207453607713</c:v>
                </c:pt>
                <c:pt idx="5">
                  <c:v>9.4540383497966332</c:v>
                </c:pt>
              </c:numCache>
            </c:numRef>
          </c:val>
          <c:extLst>
            <c:ext xmlns:c16="http://schemas.microsoft.com/office/drawing/2014/chart" uri="{C3380CC4-5D6E-409C-BE32-E72D297353CC}">
              <c16:uniqueId val="{00000006-9BF9-4B51-B3B9-5049EE8D3993}"/>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legendEntry>
      <c:layout>
        <c:manualLayout>
          <c:xMode val="edge"/>
          <c:yMode val="edge"/>
          <c:x val="6.2923508281601315E-2"/>
          <c:y val="0.87211907543815093"/>
          <c:w val="0.85926224347185198"/>
          <c:h val="0.112873902056266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6.1611375631119687E-2"/>
          <c:w val="0.94885678271547336"/>
          <c:h val="0.73146580708899189"/>
        </c:manualLayout>
      </c:layout>
      <c:barChart>
        <c:barDir val="col"/>
        <c:grouping val="clustered"/>
        <c:varyColors val="0"/>
        <c:ser>
          <c:idx val="0"/>
          <c:order val="0"/>
          <c:tx>
            <c:strRef>
              <c:f>comu!$Y$30</c:f>
              <c:strCache>
                <c:ptCount val="1"/>
                <c:pt idx="0">
                  <c:v>  Variación trimestral </c:v>
                </c:pt>
              </c:strCache>
            </c:strRef>
          </c:tx>
          <c:spPr>
            <a:solidFill>
              <a:srgbClr val="61C2C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comu!$X$31:$X$45</c:f>
              <c:strCache>
                <c:ptCount val="15"/>
                <c:pt idx="0">
                  <c:v>T1         2021</c:v>
                </c:pt>
                <c:pt idx="1">
                  <c:v>T2         2021</c:v>
                </c:pt>
                <c:pt idx="2">
                  <c:v>T3         2021</c:v>
                </c:pt>
                <c:pt idx="3">
                  <c:v>T4         2021</c:v>
                </c:pt>
                <c:pt idx="4">
                  <c:v>T1         2022</c:v>
                </c:pt>
                <c:pt idx="5">
                  <c:v>T2         2022</c:v>
                </c:pt>
                <c:pt idx="6">
                  <c:v>T3         2022</c:v>
                </c:pt>
                <c:pt idx="7">
                  <c:v>T4         2022</c:v>
                </c:pt>
                <c:pt idx="8">
                  <c:v>T1         2023</c:v>
                </c:pt>
                <c:pt idx="9">
                  <c:v>T2         2023</c:v>
                </c:pt>
                <c:pt idx="10">
                  <c:v>T3         2023</c:v>
                </c:pt>
                <c:pt idx="11">
                  <c:v>T4         2023</c:v>
                </c:pt>
                <c:pt idx="12">
                  <c:v>T1         2024</c:v>
                </c:pt>
                <c:pt idx="13">
                  <c:v>T2         2024</c:v>
                </c:pt>
                <c:pt idx="14">
                  <c:v>T3         2024</c:v>
                </c:pt>
              </c:strCache>
            </c:strRef>
          </c:cat>
          <c:val>
            <c:numRef>
              <c:f>comu!$Y$31:$Y$45</c:f>
              <c:numCache>
                <c:formatCode>#,##0.0"%"</c:formatCode>
                <c:ptCount val="15"/>
                <c:pt idx="0">
                  <c:v>1.1301181826420148</c:v>
                </c:pt>
                <c:pt idx="1">
                  <c:v>-0.72636800185544859</c:v>
                </c:pt>
                <c:pt idx="2">
                  <c:v>0.44761141170162055</c:v>
                </c:pt>
                <c:pt idx="3">
                  <c:v>0.81828561762591345</c:v>
                </c:pt>
                <c:pt idx="4">
                  <c:v>0.3140663996141102</c:v>
                </c:pt>
                <c:pt idx="5">
                  <c:v>1.1953607250565712</c:v>
                </c:pt>
                <c:pt idx="6">
                  <c:v>3.846392231806206</c:v>
                </c:pt>
                <c:pt idx="7">
                  <c:v>2.0019198535738747</c:v>
                </c:pt>
                <c:pt idx="8">
                  <c:v>2.5165543538681945</c:v>
                </c:pt>
                <c:pt idx="9">
                  <c:v>2.0780715648083481</c:v>
                </c:pt>
                <c:pt idx="10">
                  <c:v>0.23903602780832897</c:v>
                </c:pt>
                <c:pt idx="11">
                  <c:v>2.4102266124346183</c:v>
                </c:pt>
                <c:pt idx="12">
                  <c:v>2.5359720393990148</c:v>
                </c:pt>
                <c:pt idx="13">
                  <c:v>3.0266006188661265</c:v>
                </c:pt>
                <c:pt idx="14">
                  <c:v>1.1725832925141955</c:v>
                </c:pt>
              </c:numCache>
            </c:numRef>
          </c:val>
          <c:extLst>
            <c:ext xmlns:c16="http://schemas.microsoft.com/office/drawing/2014/chart" uri="{C3380CC4-5D6E-409C-BE32-E72D297353CC}">
              <c16:uniqueId val="{00000000-A2BC-4F8F-85F1-42A9E5FC869D}"/>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RfnW7YHNL4kTUUHvR3NKLoxng==">CgMxLjAyCGguZ2pkZ3hzMgloLjJzOGV5bzE4AHIhMVdkVUgxcWZzY3I5NUQ0bjVsY2Q4SVFESUJFXzVRVFFx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3359</Words>
  <Characters>18479</Characters>
  <Application>Microsoft Office Word</Application>
  <DocSecurity>0</DocSecurity>
  <Lines>153</Lines>
  <Paragraphs>43</Paragraphs>
  <ScaleCrop>false</ScaleCrop>
  <Company/>
  <LinksUpToDate>false</LinksUpToDate>
  <CharactersWithSpaces>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6</cp:revision>
  <dcterms:created xsi:type="dcterms:W3CDTF">2024-09-19T15:00:00Z</dcterms:created>
  <dcterms:modified xsi:type="dcterms:W3CDTF">2024-09-30T19:49:00Z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2024-03-22T12:07:46Z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be182ae1-ffae-4f79-893e-c99660dc2a4e</vt:lpwstr>
  </property>
  <property fmtid="{D5CDD505-2E9C-101B-9397-08002B2CF9AE}" pid="8" name="MSIP_Label_defa4170-0d19-0005-0004-bc88714345d2_ContentBits">
    <vt:lpwstr>0</vt:lpwstr>
  </property>
</Properties>
</file>