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28516" w14:textId="77777777" w:rsidR="005D2206" w:rsidRDefault="00000000">
      <w:r>
        <w:rPr>
          <w:noProof/>
        </w:rPr>
        <w:drawing>
          <wp:anchor distT="0" distB="0" distL="114300" distR="114300" simplePos="0" relativeHeight="251658240" behindDoc="0" locked="0" layoutInCell="1" hidden="0" allowOverlap="1" wp14:anchorId="48D0CEB3" wp14:editId="0D967981">
            <wp:simplePos x="0" y="0"/>
            <wp:positionH relativeFrom="column">
              <wp:posOffset>-1080132</wp:posOffset>
            </wp:positionH>
            <wp:positionV relativeFrom="paragraph">
              <wp:posOffset>-654683</wp:posOffset>
            </wp:positionV>
            <wp:extent cx="7581265" cy="1019175"/>
            <wp:effectExtent l="0" t="0" r="0" b="0"/>
            <wp:wrapNone/>
            <wp:docPr id="20937902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C088165" w14:textId="77777777" w:rsidR="005D2206" w:rsidRDefault="005D2206">
      <w:pPr>
        <w:jc w:val="right"/>
        <w:rPr>
          <w:rFonts w:ascii="National" w:eastAsia="National" w:hAnsi="National" w:cs="National"/>
          <w:color w:val="303AB2"/>
          <w:sz w:val="36"/>
          <w:szCs w:val="36"/>
        </w:rPr>
      </w:pPr>
    </w:p>
    <w:p w14:paraId="4D58E8D1" w14:textId="77777777" w:rsidR="005D2206" w:rsidRDefault="005D2206">
      <w:pPr>
        <w:rPr>
          <w:rFonts w:ascii="National" w:eastAsia="National" w:hAnsi="National" w:cs="National"/>
          <w:color w:val="303AB2"/>
          <w:sz w:val="18"/>
          <w:szCs w:val="18"/>
        </w:rPr>
      </w:pPr>
    </w:p>
    <w:p w14:paraId="66E86DB2" w14:textId="77777777" w:rsidR="005D2206"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EXPERIENCIA EN ALQUILER EN 2024</w:t>
      </w:r>
    </w:p>
    <w:p w14:paraId="7DC52259" w14:textId="77777777" w:rsidR="005D2206" w:rsidRDefault="00000000">
      <w:pPr>
        <w:jc w:val="center"/>
        <w:rPr>
          <w:rFonts w:ascii="National" w:eastAsia="National" w:hAnsi="National" w:cs="National"/>
          <w:b/>
          <w:color w:val="303AB2"/>
          <w:sz w:val="50"/>
          <w:szCs w:val="50"/>
        </w:rPr>
      </w:pPr>
      <w:r>
        <w:rPr>
          <w:rFonts w:ascii="National" w:eastAsia="National" w:hAnsi="National" w:cs="National"/>
          <w:b/>
          <w:color w:val="303AB2"/>
          <w:sz w:val="50"/>
          <w:szCs w:val="50"/>
        </w:rPr>
        <w:t>El 33% de inquilinos tiene dificultades para afrontar los pagos iniciales del alquiler</w:t>
      </w:r>
    </w:p>
    <w:p w14:paraId="0EC3A4A0" w14:textId="77777777" w:rsidR="005D2206" w:rsidRDefault="005D2206">
      <w:pPr>
        <w:spacing w:line="276" w:lineRule="auto"/>
        <w:ind w:right="4"/>
        <w:jc w:val="both"/>
        <w:rPr>
          <w:rFonts w:ascii="Open Sans" w:eastAsia="Open Sans" w:hAnsi="Open Sans" w:cs="Open Sans"/>
          <w:color w:val="303AB2"/>
        </w:rPr>
      </w:pPr>
    </w:p>
    <w:p w14:paraId="028F3E02" w14:textId="77777777" w:rsidR="005D2206"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19% pidió dinero a familiares o amigos, un 7% solicitó financiación a un banco y un 4% a una entidad no bancaria</w:t>
      </w:r>
    </w:p>
    <w:p w14:paraId="4C4A88D3" w14:textId="77777777" w:rsidR="005D2206"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Esta problemática afecta especialmente a los más jóvenes (18-24 años) y solo un 52% de ellos pudo pagar el alquiler inicial con sus ahorros</w:t>
      </w:r>
    </w:p>
    <w:p w14:paraId="626FE609" w14:textId="77777777" w:rsidR="005D2206"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precio del alquiler y la falta de oferta, principales dificultades para los inquilinos</w:t>
      </w:r>
    </w:p>
    <w:p w14:paraId="79D8E0E0" w14:textId="77777777" w:rsidR="005D2206"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Los requisitos de los propietarios, el estado de las viviendas y el alto desembolso inicial son las siguientes dificultades más citadas</w:t>
      </w:r>
    </w:p>
    <w:p w14:paraId="4C1939A6" w14:textId="77777777" w:rsidR="005D2206" w:rsidRDefault="005D2206" w:rsidP="00F67CB0">
      <w:pPr>
        <w:pBdr>
          <w:top w:val="nil"/>
          <w:left w:val="nil"/>
          <w:bottom w:val="nil"/>
          <w:right w:val="nil"/>
          <w:between w:val="nil"/>
        </w:pBdr>
        <w:spacing w:line="276" w:lineRule="auto"/>
        <w:jc w:val="both"/>
        <w:rPr>
          <w:rFonts w:ascii="Open Sans" w:eastAsia="Open Sans" w:hAnsi="Open Sans" w:cs="Open Sans"/>
          <w:color w:val="303AB2"/>
        </w:rPr>
      </w:pPr>
    </w:p>
    <w:p w14:paraId="7EC576DC" w14:textId="72DB6177" w:rsidR="005D2206"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2"/>
          <w:szCs w:val="22"/>
        </w:rPr>
      </w:pPr>
      <w:r w:rsidRPr="00F67CB0">
        <w:rPr>
          <w:rFonts w:ascii="Open Sans Light" w:eastAsia="Open Sans Light" w:hAnsi="Open Sans Light" w:cs="Open Sans Light"/>
          <w:b/>
          <w:color w:val="303AB2"/>
          <w:sz w:val="22"/>
          <w:szCs w:val="22"/>
        </w:rPr>
        <w:t xml:space="preserve">Madrid, </w:t>
      </w:r>
      <w:r w:rsidR="00F67CB0" w:rsidRPr="00F67CB0">
        <w:rPr>
          <w:rFonts w:ascii="Open Sans Light" w:eastAsia="Open Sans Light" w:hAnsi="Open Sans Light" w:cs="Open Sans Light"/>
          <w:b/>
          <w:color w:val="303AB2"/>
          <w:sz w:val="22"/>
          <w:szCs w:val="22"/>
        </w:rPr>
        <w:t>7 de octubre</w:t>
      </w:r>
      <w:r w:rsidRPr="00F67CB0">
        <w:rPr>
          <w:rFonts w:ascii="Open Sans Light" w:eastAsia="Open Sans Light" w:hAnsi="Open Sans Light" w:cs="Open Sans Light"/>
          <w:b/>
          <w:color w:val="303AB2"/>
          <w:sz w:val="22"/>
          <w:szCs w:val="22"/>
        </w:rPr>
        <w:t xml:space="preserve"> de 2024</w:t>
      </w:r>
    </w:p>
    <w:p w14:paraId="786DC2CA" w14:textId="77777777" w:rsidR="005D2206" w:rsidRDefault="005D2206">
      <w:pPr>
        <w:pBdr>
          <w:top w:val="nil"/>
          <w:left w:val="nil"/>
          <w:bottom w:val="nil"/>
          <w:right w:val="nil"/>
          <w:between w:val="nil"/>
        </w:pBdr>
        <w:spacing w:line="276" w:lineRule="auto"/>
        <w:jc w:val="both"/>
        <w:rPr>
          <w:rFonts w:ascii="Open Sans" w:eastAsia="Open Sans" w:hAnsi="Open Sans" w:cs="Open Sans"/>
        </w:rPr>
      </w:pPr>
    </w:p>
    <w:p w14:paraId="25D6BCBD" w14:textId="422BBED1" w:rsidR="005D2206"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Un 33% de los inquilinos que ha alquilado un inmueble en el último año menciona el desembolso inicial como </w:t>
      </w:r>
      <w:r>
        <w:rPr>
          <w:rFonts w:ascii="Open Sans" w:eastAsia="Open Sans" w:hAnsi="Open Sans" w:cs="Open Sans"/>
          <w:b/>
          <w:sz w:val="22"/>
          <w:szCs w:val="22"/>
        </w:rPr>
        <w:t>un problema para acceder a una vivienda en alquiler</w:t>
      </w:r>
      <w:r>
        <w:rPr>
          <w:rFonts w:ascii="Open Sans" w:eastAsia="Open Sans" w:hAnsi="Open Sans" w:cs="Open Sans"/>
          <w:sz w:val="22"/>
          <w:szCs w:val="22"/>
        </w:rPr>
        <w:t xml:space="preserve">. Y, cuando se pregunta específicamente por esta cuestión, hay un 30% que afirma haber tenido que recurrir a familiares o amigos o financiación externa para hacer frente a este gasto. Concretamente, este porcentaje se reparte entre el 19% que pidió prestado a un familiar, amigo o conocido, un 7% solicitó financiación a una entidad bancaria y un 4% que la pidió a otra entidad no bancaria. Son datos del informe </w:t>
      </w:r>
      <w:r w:rsidR="00F67CB0">
        <w:rPr>
          <w:rFonts w:ascii="Open Sans" w:eastAsia="Open Sans" w:hAnsi="Open Sans" w:cs="Open Sans"/>
          <w:sz w:val="22"/>
          <w:szCs w:val="22"/>
        </w:rPr>
        <w:t>“</w:t>
      </w:r>
      <w:hyperlink r:id="rId9" w:history="1">
        <w:r w:rsidR="00F67CB0" w:rsidRPr="00703971">
          <w:rPr>
            <w:rStyle w:val="Hipervnculo"/>
            <w:rFonts w:ascii="Open Sans" w:eastAsia="Open Sans" w:hAnsi="Open Sans" w:cs="Open Sans"/>
            <w:b/>
            <w:i/>
            <w:sz w:val="22"/>
            <w:szCs w:val="22"/>
          </w:rPr>
          <w:t>Experiencia en alquiler en 2024</w:t>
        </w:r>
      </w:hyperlink>
      <w:r w:rsidR="00F67CB0">
        <w:rPr>
          <w:rFonts w:ascii="Open Sans" w:eastAsia="Open Sans" w:hAnsi="Open Sans" w:cs="Open Sans"/>
          <w:sz w:val="22"/>
          <w:szCs w:val="22"/>
        </w:rPr>
        <w:t>”</w:t>
      </w:r>
      <w:r>
        <w:rPr>
          <w:rFonts w:ascii="Open Sans" w:eastAsia="Open Sans" w:hAnsi="Open Sans" w:cs="Open Sans"/>
          <w:sz w:val="22"/>
          <w:szCs w:val="22"/>
        </w:rPr>
        <w:t xml:space="preserve"> que pretende trazar una exhaustiva radiografía del mercado inmobiliario en alquiler.</w:t>
      </w:r>
    </w:p>
    <w:p w14:paraId="3A137427" w14:textId="77777777" w:rsidR="005D2206" w:rsidRDefault="005D2206">
      <w:pPr>
        <w:spacing w:line="276" w:lineRule="auto"/>
        <w:ind w:right="4"/>
        <w:jc w:val="both"/>
        <w:rPr>
          <w:rFonts w:ascii="Open Sans" w:eastAsia="Open Sans" w:hAnsi="Open Sans" w:cs="Open Sans"/>
          <w:sz w:val="22"/>
          <w:szCs w:val="22"/>
        </w:rPr>
      </w:pPr>
    </w:p>
    <w:p w14:paraId="175BDFAD" w14:textId="77777777" w:rsidR="005D2206" w:rsidRDefault="00000000">
      <w:pPr>
        <w:spacing w:line="276" w:lineRule="auto"/>
        <w:ind w:right="4"/>
        <w:jc w:val="both"/>
        <w:rPr>
          <w:rFonts w:ascii="Open Sans" w:eastAsia="Open Sans" w:hAnsi="Open Sans" w:cs="Open Sans"/>
          <w:sz w:val="22"/>
          <w:szCs w:val="22"/>
        </w:rPr>
      </w:pPr>
      <w:r>
        <w:rPr>
          <w:rFonts w:ascii="Open Sans" w:eastAsia="Open Sans" w:hAnsi="Open Sans" w:cs="Open Sans"/>
          <w:b/>
          <w:sz w:val="22"/>
          <w:szCs w:val="22"/>
        </w:rPr>
        <w:t>Esta problemática afecta especialmente a los inquilinos más jóvenes (18-24 años). Así, solamente un 52%</w:t>
      </w:r>
      <w:r>
        <w:rPr>
          <w:rFonts w:ascii="Open Sans" w:eastAsia="Open Sans" w:hAnsi="Open Sans" w:cs="Open Sans"/>
          <w:sz w:val="22"/>
          <w:szCs w:val="22"/>
        </w:rPr>
        <w:t xml:space="preserve"> de ellos pudo hacer pagar estos gastos iniciales con sus ahorros. En el resto de los grupos de edad fueron más del 70%. </w:t>
      </w:r>
    </w:p>
    <w:p w14:paraId="3AA0ABB7" w14:textId="77777777" w:rsidR="005D2206" w:rsidRDefault="005D2206">
      <w:pPr>
        <w:spacing w:line="276" w:lineRule="auto"/>
        <w:ind w:right="4"/>
        <w:jc w:val="both"/>
        <w:rPr>
          <w:rFonts w:ascii="Open Sans" w:eastAsia="Open Sans" w:hAnsi="Open Sans" w:cs="Open Sans"/>
          <w:sz w:val="22"/>
          <w:szCs w:val="22"/>
        </w:rPr>
      </w:pPr>
    </w:p>
    <w:p w14:paraId="40E86A57" w14:textId="77777777" w:rsidR="005D2206"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Como consecuencia de esta situación, estos jóvenes recurrieron significativamente más al resto de alternativas para cubrir el coste inicial del alquiler. Lo más habitual es que pidieran prestado a familiares, amigos o conocidos (34%) y, seguidamente, a la financiación a través de entidades bancarias (12%).</w:t>
      </w:r>
    </w:p>
    <w:p w14:paraId="681D6722" w14:textId="77777777" w:rsidR="00F67CB0" w:rsidRDefault="00F67CB0">
      <w:pPr>
        <w:spacing w:line="276" w:lineRule="auto"/>
        <w:ind w:right="4"/>
        <w:jc w:val="both"/>
        <w:rPr>
          <w:rFonts w:ascii="Open Sans" w:eastAsia="Open Sans" w:hAnsi="Open Sans" w:cs="Open Sans"/>
          <w:sz w:val="22"/>
          <w:szCs w:val="22"/>
        </w:rPr>
      </w:pPr>
    </w:p>
    <w:p w14:paraId="6A9150D8" w14:textId="77777777" w:rsidR="00F67CB0" w:rsidRDefault="00F67CB0">
      <w:pPr>
        <w:spacing w:line="276" w:lineRule="auto"/>
        <w:ind w:right="4"/>
        <w:jc w:val="both"/>
        <w:rPr>
          <w:rFonts w:ascii="Open Sans" w:eastAsia="Open Sans" w:hAnsi="Open Sans" w:cs="Open Sans"/>
          <w:sz w:val="22"/>
          <w:szCs w:val="22"/>
        </w:rPr>
      </w:pPr>
    </w:p>
    <w:p w14:paraId="2F4463CC" w14:textId="77777777" w:rsidR="005D2206" w:rsidRDefault="005D2206">
      <w:pPr>
        <w:rPr>
          <w:b/>
          <w:smallCaps/>
          <w:color w:val="323FAC"/>
          <w:sz w:val="22"/>
          <w:szCs w:val="22"/>
        </w:rPr>
      </w:pPr>
    </w:p>
    <w:p w14:paraId="416C5C85" w14:textId="614BF274" w:rsidR="005D2206" w:rsidRDefault="00F67CB0">
      <w:pPr>
        <w:spacing w:line="276" w:lineRule="auto"/>
        <w:ind w:right="4"/>
        <w:jc w:val="both"/>
        <w:rPr>
          <w:rFonts w:ascii="Open Sans" w:eastAsia="Open Sans" w:hAnsi="Open Sans" w:cs="Open Sans"/>
          <w:sz w:val="22"/>
          <w:szCs w:val="22"/>
        </w:rPr>
      </w:pPr>
      <w:r>
        <w:rPr>
          <w:noProof/>
        </w:rPr>
        <w:lastRenderedPageBreak/>
        <w:drawing>
          <wp:inline distT="0" distB="0" distL="0" distR="0" wp14:anchorId="39A1418E" wp14:editId="0D7D4F86">
            <wp:extent cx="5760720" cy="4599305"/>
            <wp:effectExtent l="0" t="0" r="0" b="0"/>
            <wp:docPr id="148603180"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3180" name="Imagen 1" descr="Gráfico, Gráfico de barras&#10;&#10;Descripción generada automáticamente"/>
                    <pic:cNvPicPr/>
                  </pic:nvPicPr>
                  <pic:blipFill>
                    <a:blip r:embed="rId10"/>
                    <a:stretch>
                      <a:fillRect/>
                    </a:stretch>
                  </pic:blipFill>
                  <pic:spPr>
                    <a:xfrm>
                      <a:off x="0" y="0"/>
                      <a:ext cx="5760720" cy="4599305"/>
                    </a:xfrm>
                    <a:prstGeom prst="rect">
                      <a:avLst/>
                    </a:prstGeom>
                  </pic:spPr>
                </pic:pic>
              </a:graphicData>
            </a:graphic>
          </wp:inline>
        </w:drawing>
      </w:r>
    </w:p>
    <w:p w14:paraId="33999936" w14:textId="77777777" w:rsidR="00F67CB0" w:rsidRDefault="00F67CB0">
      <w:pPr>
        <w:spacing w:line="276" w:lineRule="auto"/>
        <w:ind w:right="4"/>
        <w:jc w:val="both"/>
        <w:rPr>
          <w:rFonts w:ascii="Open Sans" w:eastAsia="Open Sans" w:hAnsi="Open Sans" w:cs="Open Sans"/>
          <w:sz w:val="22"/>
          <w:szCs w:val="22"/>
        </w:rPr>
      </w:pPr>
    </w:p>
    <w:p w14:paraId="7526417D" w14:textId="77777777" w:rsidR="005D2206"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“Que un porcentaje significativo de inquilinos muestren dificultades para afrontar los gastos iniciales de entrada a la vivienda en alquiler, indica una falta de accesibilidad económica que está obligando a los demandantes a endeudarse o depender de ayuda familiar para cubrir los costes básicos de vivienda. Esta situación no solo refleja una desigualdad económica creciente, sino que también pone en riesgo la estabilidad financiera de los inquilinos, lo cual puede tener repercusiones a largo plazo en el bienestar social. Además de los gastos iniciales de acceso, el precio del inmueble y la falta de oferta son las grandes problemáticas que se acrecientan cada año en el mercado de las rentas”, </w:t>
      </w:r>
      <w:r w:rsidRPr="00F67CB0">
        <w:rPr>
          <w:rFonts w:ascii="Open Sans" w:eastAsia="Open Sans" w:hAnsi="Open Sans" w:cs="Open Sans"/>
          <w:b/>
          <w:bCs/>
          <w:sz w:val="22"/>
          <w:szCs w:val="22"/>
        </w:rPr>
        <w:t xml:space="preserve">comenta María Matos, directora de Estudios y portavoz de </w:t>
      </w:r>
      <w:hyperlink r:id="rId11">
        <w:r w:rsidRPr="00F67CB0">
          <w:rPr>
            <w:rFonts w:ascii="Open Sans" w:eastAsia="Open Sans" w:hAnsi="Open Sans" w:cs="Open Sans"/>
            <w:b/>
            <w:bCs/>
            <w:color w:val="1155CC"/>
            <w:sz w:val="22"/>
            <w:szCs w:val="22"/>
            <w:u w:val="single"/>
          </w:rPr>
          <w:t>Fotocasa</w:t>
        </w:r>
      </w:hyperlink>
      <w:r w:rsidRPr="00F67CB0">
        <w:rPr>
          <w:rFonts w:ascii="Open Sans" w:eastAsia="Open Sans" w:hAnsi="Open Sans" w:cs="Open Sans"/>
          <w:b/>
          <w:bCs/>
          <w:sz w:val="22"/>
          <w:szCs w:val="22"/>
        </w:rPr>
        <w:t>.</w:t>
      </w:r>
      <w:r>
        <w:rPr>
          <w:rFonts w:ascii="Open Sans" w:eastAsia="Open Sans" w:hAnsi="Open Sans" w:cs="Open Sans"/>
          <w:sz w:val="22"/>
          <w:szCs w:val="22"/>
        </w:rPr>
        <w:t xml:space="preserve"> </w:t>
      </w:r>
    </w:p>
    <w:p w14:paraId="57AB5D2F" w14:textId="77777777" w:rsidR="005D2206" w:rsidRDefault="005D2206">
      <w:pPr>
        <w:spacing w:line="276" w:lineRule="auto"/>
        <w:ind w:right="4"/>
        <w:jc w:val="both"/>
        <w:rPr>
          <w:rFonts w:ascii="Open Sans" w:eastAsia="Open Sans" w:hAnsi="Open Sans" w:cs="Open Sans"/>
          <w:sz w:val="22"/>
          <w:szCs w:val="22"/>
        </w:rPr>
      </w:pPr>
    </w:p>
    <w:p w14:paraId="6422A8D1" w14:textId="77777777" w:rsidR="005D2206"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precio del alquiler y la falta de oferta, principales dificultades para los inquilinos</w:t>
      </w:r>
    </w:p>
    <w:p w14:paraId="20B3447A" w14:textId="77777777" w:rsidR="005D2206" w:rsidRDefault="005D2206">
      <w:pPr>
        <w:spacing w:line="276" w:lineRule="auto"/>
        <w:ind w:right="4"/>
        <w:jc w:val="both"/>
        <w:rPr>
          <w:rFonts w:ascii="Open Sans" w:eastAsia="Open Sans" w:hAnsi="Open Sans" w:cs="Open Sans"/>
          <w:sz w:val="22"/>
          <w:szCs w:val="22"/>
        </w:rPr>
      </w:pPr>
    </w:p>
    <w:p w14:paraId="1856BB0A" w14:textId="77777777" w:rsidR="005D2206"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El proceso de búsqueda de una vivienda de alquiler puede complicarse o dilatarse en el tiempo por diferentes razones. Aunque, si hablamos de dificultades de los inquilinos, hay una que manda con claridad sobre el resto: </w:t>
      </w:r>
      <w:r>
        <w:rPr>
          <w:rFonts w:ascii="Open Sans" w:eastAsia="Open Sans" w:hAnsi="Open Sans" w:cs="Open Sans"/>
          <w:b/>
          <w:sz w:val="22"/>
          <w:szCs w:val="22"/>
        </w:rPr>
        <w:t>el coste del alquiler</w:t>
      </w:r>
      <w:r>
        <w:rPr>
          <w:rFonts w:ascii="Open Sans" w:eastAsia="Open Sans" w:hAnsi="Open Sans" w:cs="Open Sans"/>
          <w:sz w:val="22"/>
          <w:szCs w:val="22"/>
        </w:rPr>
        <w:t xml:space="preserve">. De hecho, siete de cada diez inquilinos que han conseguido arrendar un inmueble para vivir en él señalan esta cuestión como una dificultad. En segundo lugar, </w:t>
      </w:r>
      <w:r>
        <w:rPr>
          <w:rFonts w:ascii="Open Sans" w:eastAsia="Open Sans" w:hAnsi="Open Sans" w:cs="Open Sans"/>
          <w:b/>
          <w:sz w:val="22"/>
          <w:szCs w:val="22"/>
        </w:rPr>
        <w:t>la falta de oferta de vivienda</w:t>
      </w:r>
      <w:r>
        <w:rPr>
          <w:rFonts w:ascii="Open Sans" w:eastAsia="Open Sans" w:hAnsi="Open Sans" w:cs="Open Sans"/>
          <w:sz w:val="22"/>
          <w:szCs w:val="22"/>
        </w:rPr>
        <w:t xml:space="preserve"> también </w:t>
      </w:r>
      <w:r>
        <w:rPr>
          <w:rFonts w:ascii="Open Sans" w:eastAsia="Open Sans" w:hAnsi="Open Sans" w:cs="Open Sans"/>
          <w:sz w:val="22"/>
          <w:szCs w:val="22"/>
        </w:rPr>
        <w:lastRenderedPageBreak/>
        <w:t xml:space="preserve">ha sido una traba para muchos de ellos. Concretamente, el 40% lo cita como una dificultad. </w:t>
      </w:r>
    </w:p>
    <w:p w14:paraId="52522362" w14:textId="77777777" w:rsidR="005D2206" w:rsidRDefault="005D2206">
      <w:pPr>
        <w:spacing w:line="276" w:lineRule="auto"/>
        <w:ind w:right="4"/>
        <w:jc w:val="both"/>
        <w:rPr>
          <w:rFonts w:ascii="Open Sans" w:eastAsia="Open Sans" w:hAnsi="Open Sans" w:cs="Open Sans"/>
          <w:sz w:val="22"/>
          <w:szCs w:val="22"/>
        </w:rPr>
      </w:pPr>
    </w:p>
    <w:p w14:paraId="34243BA5" w14:textId="77777777" w:rsidR="005D2206"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La tercera dificultad que encuentran los inquilinos son </w:t>
      </w:r>
      <w:r>
        <w:rPr>
          <w:rFonts w:ascii="Open Sans" w:eastAsia="Open Sans" w:hAnsi="Open Sans" w:cs="Open Sans"/>
          <w:b/>
          <w:sz w:val="22"/>
          <w:szCs w:val="22"/>
        </w:rPr>
        <w:t>los requisitos de los propietarios</w:t>
      </w:r>
      <w:r>
        <w:rPr>
          <w:rFonts w:ascii="Open Sans" w:eastAsia="Open Sans" w:hAnsi="Open Sans" w:cs="Open Sans"/>
          <w:sz w:val="22"/>
          <w:szCs w:val="22"/>
        </w:rPr>
        <w:t xml:space="preserve"> (37%). En cuarta y quinta posición se encuentran </w:t>
      </w:r>
      <w:r>
        <w:rPr>
          <w:rFonts w:ascii="Open Sans" w:eastAsia="Open Sans" w:hAnsi="Open Sans" w:cs="Open Sans"/>
          <w:b/>
          <w:sz w:val="22"/>
          <w:szCs w:val="22"/>
        </w:rPr>
        <w:t>el estado de las viviendas</w:t>
      </w:r>
      <w:r>
        <w:rPr>
          <w:rFonts w:ascii="Open Sans" w:eastAsia="Open Sans" w:hAnsi="Open Sans" w:cs="Open Sans"/>
          <w:sz w:val="22"/>
          <w:szCs w:val="22"/>
        </w:rPr>
        <w:t xml:space="preserve"> (34%) y el </w:t>
      </w:r>
      <w:r>
        <w:rPr>
          <w:rFonts w:ascii="Open Sans" w:eastAsia="Open Sans" w:hAnsi="Open Sans" w:cs="Open Sans"/>
          <w:b/>
          <w:sz w:val="22"/>
          <w:szCs w:val="22"/>
        </w:rPr>
        <w:t>alto desembolso económico inicial</w:t>
      </w:r>
      <w:r>
        <w:rPr>
          <w:rFonts w:ascii="Open Sans" w:eastAsia="Open Sans" w:hAnsi="Open Sans" w:cs="Open Sans"/>
          <w:sz w:val="22"/>
          <w:szCs w:val="22"/>
        </w:rPr>
        <w:t xml:space="preserve"> (33%). </w:t>
      </w:r>
    </w:p>
    <w:p w14:paraId="6D1108FF" w14:textId="77777777" w:rsidR="005D2206" w:rsidRDefault="005D2206">
      <w:pPr>
        <w:spacing w:line="276" w:lineRule="auto"/>
        <w:ind w:right="4"/>
        <w:jc w:val="both"/>
        <w:rPr>
          <w:rFonts w:ascii="Open Sans" w:eastAsia="Open Sans" w:hAnsi="Open Sans" w:cs="Open Sans"/>
          <w:sz w:val="22"/>
          <w:szCs w:val="22"/>
        </w:rPr>
      </w:pPr>
    </w:p>
    <w:p w14:paraId="41931998" w14:textId="77777777" w:rsidR="005D2206"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En general, estas dificultades se mantienen en los niveles similares a los de 2023. Sin embargo, sí que </w:t>
      </w:r>
      <w:r>
        <w:rPr>
          <w:rFonts w:ascii="Open Sans" w:eastAsia="Open Sans" w:hAnsi="Open Sans" w:cs="Open Sans"/>
          <w:b/>
          <w:sz w:val="22"/>
          <w:szCs w:val="22"/>
        </w:rPr>
        <w:t>se produce un salto significativo con respecto a 2022</w:t>
      </w:r>
      <w:r>
        <w:rPr>
          <w:rFonts w:ascii="Open Sans" w:eastAsia="Open Sans" w:hAnsi="Open Sans" w:cs="Open Sans"/>
          <w:sz w:val="22"/>
          <w:szCs w:val="22"/>
        </w:rPr>
        <w:t xml:space="preserve">. En el caso de los altos precios, hace dos años era algo que mencionaban el 77%, siete puntos más que ahora. Del mismo modo, el estado de las viviendas ha sido una barrera para menos inquilinos durante el último año (34%) que en 2022 (46%).  </w:t>
      </w:r>
    </w:p>
    <w:p w14:paraId="4349B8E8" w14:textId="77777777" w:rsidR="005D2206" w:rsidRDefault="005D2206">
      <w:pPr>
        <w:spacing w:line="276" w:lineRule="auto"/>
        <w:ind w:right="4"/>
        <w:jc w:val="both"/>
        <w:rPr>
          <w:rFonts w:ascii="Open Sans" w:eastAsia="Open Sans" w:hAnsi="Open Sans" w:cs="Open Sans"/>
          <w:sz w:val="22"/>
          <w:szCs w:val="22"/>
        </w:rPr>
      </w:pPr>
    </w:p>
    <w:p w14:paraId="142C13DE" w14:textId="272AF305" w:rsidR="005D2206" w:rsidRDefault="00F67CB0">
      <w:pPr>
        <w:spacing w:line="276" w:lineRule="auto"/>
        <w:ind w:right="4"/>
        <w:jc w:val="both"/>
        <w:rPr>
          <w:rFonts w:ascii="Open Sans" w:eastAsia="Open Sans" w:hAnsi="Open Sans" w:cs="Open Sans"/>
          <w:sz w:val="22"/>
          <w:szCs w:val="22"/>
        </w:rPr>
      </w:pPr>
      <w:r>
        <w:rPr>
          <w:noProof/>
        </w:rPr>
        <w:drawing>
          <wp:inline distT="0" distB="0" distL="0" distR="0" wp14:anchorId="35B9D232" wp14:editId="1A8AF048">
            <wp:extent cx="5760720" cy="3455035"/>
            <wp:effectExtent l="0" t="0" r="0" b="0"/>
            <wp:docPr id="1097725265"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25265" name="Imagen 1" descr="Gráfico&#10;&#10;Descripción generada automáticamente"/>
                    <pic:cNvPicPr/>
                  </pic:nvPicPr>
                  <pic:blipFill>
                    <a:blip r:embed="rId12"/>
                    <a:stretch>
                      <a:fillRect/>
                    </a:stretch>
                  </pic:blipFill>
                  <pic:spPr>
                    <a:xfrm>
                      <a:off x="0" y="0"/>
                      <a:ext cx="5760720" cy="3455035"/>
                    </a:xfrm>
                    <a:prstGeom prst="rect">
                      <a:avLst/>
                    </a:prstGeom>
                  </pic:spPr>
                </pic:pic>
              </a:graphicData>
            </a:graphic>
          </wp:inline>
        </w:drawing>
      </w:r>
    </w:p>
    <w:p w14:paraId="1CEAB86B" w14:textId="77777777" w:rsidR="005D2206" w:rsidRDefault="005D2206">
      <w:pPr>
        <w:spacing w:line="276" w:lineRule="auto"/>
        <w:ind w:right="4"/>
        <w:jc w:val="both"/>
        <w:rPr>
          <w:rFonts w:ascii="Open Sans" w:eastAsia="Open Sans" w:hAnsi="Open Sans" w:cs="Open Sans"/>
          <w:b/>
          <w:sz w:val="22"/>
          <w:szCs w:val="22"/>
        </w:rPr>
      </w:pPr>
    </w:p>
    <w:p w14:paraId="58A1C20D" w14:textId="77777777" w:rsidR="00F67CB0" w:rsidRDefault="00F67CB0">
      <w:pPr>
        <w:spacing w:line="276" w:lineRule="auto"/>
        <w:ind w:right="4"/>
        <w:jc w:val="both"/>
        <w:rPr>
          <w:rFonts w:ascii="Open Sans" w:eastAsia="Open Sans" w:hAnsi="Open Sans" w:cs="Open Sans"/>
          <w:b/>
          <w:sz w:val="22"/>
          <w:szCs w:val="22"/>
        </w:rPr>
      </w:pPr>
    </w:p>
    <w:p w14:paraId="73B19834" w14:textId="77777777" w:rsidR="005D2206" w:rsidRDefault="005D2206">
      <w:pPr>
        <w:spacing w:line="276" w:lineRule="auto"/>
        <w:ind w:right="4"/>
        <w:jc w:val="both"/>
        <w:rPr>
          <w:rFonts w:ascii="Open Sans" w:eastAsia="Open Sans" w:hAnsi="Open Sans" w:cs="Open Sans"/>
        </w:rPr>
      </w:pPr>
    </w:p>
    <w:p w14:paraId="7F28F557" w14:textId="77777777" w:rsidR="005D2206"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61590928" w14:textId="77777777" w:rsidR="005D220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2FC13BCB" w14:textId="77777777" w:rsidR="005D2206" w:rsidRDefault="00000000">
      <w:pPr>
        <w:shd w:val="clear" w:color="auto" w:fill="FFFFFF"/>
        <w:spacing w:before="280" w:after="280" w:line="276" w:lineRule="auto"/>
        <w:jc w:val="both"/>
        <w:rPr>
          <w:rFonts w:ascii="Open Sans" w:eastAsia="Open Sans" w:hAnsi="Open Sans" w:cs="Open Sans"/>
          <w:sz w:val="22"/>
          <w:szCs w:val="22"/>
        </w:rPr>
      </w:pPr>
      <w:r>
        <w:lastRenderedPageBreak/>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5">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231FA2AE" w14:textId="77777777" w:rsidR="005D2206" w:rsidRDefault="00000000">
      <w:pPr>
        <w:shd w:val="clear" w:color="auto" w:fill="FFFFFF"/>
        <w:spacing w:before="280" w:after="280" w:line="276" w:lineRule="auto"/>
        <w:jc w:val="both"/>
        <w:rPr>
          <w:rFonts w:ascii="Open Sans" w:eastAsia="Open Sans" w:hAnsi="Open Sans" w:cs="Open Sans"/>
          <w:sz w:val="22"/>
          <w:szCs w:val="22"/>
        </w:rPr>
      </w:pPr>
      <w:hyperlink r:id="rId16">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16441212" w14:textId="77777777" w:rsidR="005D2206"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4C7605F8" w14:textId="77777777" w:rsidR="005D2206" w:rsidRDefault="00000000">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2">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66CFD53B" w14:textId="77777777" w:rsidR="005D2206"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4E3425FA" w14:textId="77777777" w:rsidR="005D2206"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41A1D717" w14:textId="77777777" w:rsidR="005D2206"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78C55D13" w14:textId="77777777" w:rsidR="005D2206" w:rsidRDefault="005D2206">
      <w:pPr>
        <w:spacing w:line="276" w:lineRule="auto"/>
        <w:jc w:val="right"/>
        <w:rPr>
          <w:rFonts w:ascii="Open Sans" w:eastAsia="Open Sans" w:hAnsi="Open Sans" w:cs="Open Sans"/>
        </w:rPr>
      </w:pPr>
    </w:p>
    <w:p w14:paraId="4690AC4B" w14:textId="77777777" w:rsidR="005D2206"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72EA5F8" w14:textId="77777777" w:rsidR="005D2206"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3A1E414" w14:textId="77777777" w:rsidR="005D2206" w:rsidRDefault="00000000">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44B78398" w14:textId="77777777" w:rsidR="005D2206"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F403E20" w14:textId="77777777" w:rsidR="005D2206" w:rsidRDefault="005D2206">
      <w:pPr>
        <w:spacing w:line="276" w:lineRule="auto"/>
        <w:rPr>
          <w:rFonts w:ascii="Open Sans Light" w:eastAsia="Open Sans Light" w:hAnsi="Open Sans Light" w:cs="Open Sans Light"/>
          <w:b/>
          <w:color w:val="303AB2"/>
          <w:sz w:val="22"/>
          <w:szCs w:val="22"/>
        </w:rPr>
      </w:pPr>
    </w:p>
    <w:p w14:paraId="6E9C3EA5" w14:textId="77777777" w:rsidR="005D2206" w:rsidRDefault="005D2206">
      <w:pPr>
        <w:spacing w:line="276" w:lineRule="auto"/>
        <w:rPr>
          <w:rFonts w:ascii="Open Sans Light" w:eastAsia="Open Sans Light" w:hAnsi="Open Sans Light" w:cs="Open Sans Light"/>
          <w:b/>
          <w:color w:val="303AB2"/>
          <w:sz w:val="22"/>
          <w:szCs w:val="22"/>
        </w:rPr>
      </w:pPr>
    </w:p>
    <w:p w14:paraId="7B1C24CB" w14:textId="77777777" w:rsidR="005D2206"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01BC6C79" w14:textId="77777777" w:rsidR="005D2206"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349A00A6" w14:textId="77777777" w:rsidR="005D2206" w:rsidRDefault="00000000">
      <w:pPr>
        <w:shd w:val="clear" w:color="auto" w:fill="FFFFFF"/>
        <w:ind w:right="-433"/>
        <w:rPr>
          <w:rFonts w:ascii="Open Sans" w:eastAsia="Open Sans" w:hAnsi="Open Sans" w:cs="Open Sans"/>
          <w:b/>
          <w:sz w:val="22"/>
          <w:szCs w:val="22"/>
        </w:rPr>
      </w:pPr>
      <w:hyperlink r:id="rId25">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1317BDF8" w14:textId="77777777" w:rsidR="005D2206" w:rsidRPr="00F67CB0" w:rsidRDefault="00000000">
      <w:pPr>
        <w:shd w:val="clear" w:color="auto" w:fill="FFFFFF"/>
        <w:ind w:right="-433"/>
        <w:rPr>
          <w:rFonts w:ascii="Open Sans" w:eastAsia="Open Sans" w:hAnsi="Open Sans" w:cs="Open Sans"/>
          <w:sz w:val="22"/>
          <w:szCs w:val="22"/>
          <w:lang w:val="en-US"/>
        </w:rPr>
      </w:pPr>
      <w:r w:rsidRPr="00F67CB0">
        <w:rPr>
          <w:rFonts w:ascii="Open Sans" w:eastAsia="Open Sans" w:hAnsi="Open Sans" w:cs="Open Sans"/>
          <w:sz w:val="22"/>
          <w:szCs w:val="22"/>
          <w:lang w:val="en-US"/>
        </w:rPr>
        <w:t>663 35 69 75 </w:t>
      </w:r>
      <w:r w:rsidRPr="00F67CB0">
        <w:rPr>
          <w:rFonts w:ascii="Open Sans" w:eastAsia="Open Sans" w:hAnsi="Open Sans" w:cs="Open Sans"/>
          <w:sz w:val="22"/>
          <w:szCs w:val="22"/>
          <w:lang w:val="en-US"/>
        </w:rPr>
        <w:tab/>
      </w:r>
      <w:r w:rsidRPr="00F67CB0">
        <w:rPr>
          <w:rFonts w:ascii="Open Sans" w:eastAsia="Open Sans" w:hAnsi="Open Sans" w:cs="Open Sans"/>
          <w:sz w:val="22"/>
          <w:szCs w:val="22"/>
          <w:lang w:val="en-US"/>
        </w:rPr>
        <w:tab/>
      </w:r>
      <w:r w:rsidRPr="00F67CB0">
        <w:rPr>
          <w:rFonts w:ascii="Open Sans" w:eastAsia="Open Sans" w:hAnsi="Open Sans" w:cs="Open Sans"/>
          <w:sz w:val="22"/>
          <w:szCs w:val="22"/>
          <w:lang w:val="en-US"/>
        </w:rPr>
        <w:tab/>
      </w:r>
      <w:r w:rsidRPr="00F67CB0">
        <w:rPr>
          <w:rFonts w:ascii="Open Sans" w:eastAsia="Open Sans" w:hAnsi="Open Sans" w:cs="Open Sans"/>
          <w:sz w:val="22"/>
          <w:szCs w:val="22"/>
          <w:lang w:val="en-US"/>
        </w:rPr>
        <w:tab/>
      </w:r>
      <w:r w:rsidRPr="00F67CB0">
        <w:rPr>
          <w:rFonts w:ascii="Open Sans" w:eastAsia="Open Sans" w:hAnsi="Open Sans" w:cs="Open Sans"/>
          <w:sz w:val="22"/>
          <w:szCs w:val="22"/>
          <w:lang w:val="en-US"/>
        </w:rPr>
        <w:tab/>
      </w:r>
      <w:r w:rsidRPr="00F67CB0">
        <w:rPr>
          <w:rFonts w:ascii="Open Sans" w:eastAsia="Open Sans" w:hAnsi="Open Sans" w:cs="Open Sans"/>
          <w:sz w:val="22"/>
          <w:szCs w:val="22"/>
          <w:lang w:val="en-US"/>
        </w:rPr>
        <w:tab/>
      </w:r>
    </w:p>
    <w:p w14:paraId="10DF9F86" w14:textId="77777777" w:rsidR="005D2206" w:rsidRPr="00F67CB0" w:rsidRDefault="00000000">
      <w:pPr>
        <w:shd w:val="clear" w:color="auto" w:fill="FFFFFF"/>
        <w:ind w:right="-433"/>
        <w:rPr>
          <w:color w:val="222222"/>
          <w:sz w:val="22"/>
          <w:szCs w:val="22"/>
          <w:lang w:val="en-US"/>
        </w:rPr>
      </w:pPr>
      <w:r w:rsidRPr="00F67CB0">
        <w:rPr>
          <w:color w:val="222222"/>
          <w:sz w:val="22"/>
          <w:szCs w:val="22"/>
          <w:lang w:val="en-US"/>
        </w:rPr>
        <w:tab/>
      </w:r>
      <w:r w:rsidRPr="00F67CB0">
        <w:rPr>
          <w:color w:val="222222"/>
          <w:sz w:val="22"/>
          <w:szCs w:val="22"/>
          <w:lang w:val="en-US"/>
        </w:rPr>
        <w:tab/>
        <w:t xml:space="preserve">     </w:t>
      </w:r>
    </w:p>
    <w:p w14:paraId="6DF795A5" w14:textId="77777777" w:rsidR="005D2206" w:rsidRPr="00F67CB0" w:rsidRDefault="00000000">
      <w:pPr>
        <w:shd w:val="clear" w:color="auto" w:fill="FFFFFF"/>
        <w:ind w:right="-433"/>
        <w:rPr>
          <w:rFonts w:ascii="Open Sans" w:eastAsia="Open Sans" w:hAnsi="Open Sans" w:cs="Open Sans"/>
          <w:b/>
          <w:sz w:val="22"/>
          <w:szCs w:val="22"/>
          <w:lang w:val="en-US"/>
        </w:rPr>
      </w:pPr>
      <w:r w:rsidRPr="00F67CB0">
        <w:rPr>
          <w:rFonts w:ascii="Open Sans" w:eastAsia="Open Sans" w:hAnsi="Open Sans" w:cs="Open Sans"/>
          <w:b/>
          <w:sz w:val="22"/>
          <w:szCs w:val="22"/>
          <w:lang w:val="en-US"/>
        </w:rPr>
        <w:t>Judit Campillos</w:t>
      </w:r>
    </w:p>
    <w:p w14:paraId="4E34BD19" w14:textId="77777777" w:rsidR="005D2206" w:rsidRPr="00F67CB0" w:rsidRDefault="00000000">
      <w:pPr>
        <w:shd w:val="clear" w:color="auto" w:fill="FFFFFF"/>
        <w:ind w:right="-433"/>
        <w:rPr>
          <w:rFonts w:ascii="Open Sans" w:eastAsia="Open Sans" w:hAnsi="Open Sans" w:cs="Open Sans"/>
          <w:b/>
          <w:sz w:val="22"/>
          <w:szCs w:val="22"/>
          <w:lang w:val="en-US"/>
        </w:rPr>
      </w:pPr>
      <w:r w:rsidRPr="00F67CB0">
        <w:rPr>
          <w:rFonts w:ascii="Open Sans" w:eastAsia="Open Sans" w:hAnsi="Open Sans" w:cs="Open Sans"/>
          <w:color w:val="0000FF"/>
          <w:sz w:val="22"/>
          <w:szCs w:val="22"/>
          <w:u w:val="single"/>
          <w:lang w:val="en-US"/>
        </w:rPr>
        <w:t>jcampillos</w:t>
      </w:r>
      <w:hyperlink r:id="rId26">
        <w:r w:rsidRPr="00F67CB0">
          <w:rPr>
            <w:rFonts w:ascii="Open Sans" w:eastAsia="Open Sans" w:hAnsi="Open Sans" w:cs="Open Sans"/>
            <w:color w:val="0000FF"/>
            <w:sz w:val="22"/>
            <w:szCs w:val="22"/>
            <w:u w:val="single"/>
            <w:lang w:val="en-US"/>
          </w:rPr>
          <w:t>@ll</w:t>
        </w:r>
      </w:hyperlink>
      <w:r w:rsidRPr="00F67CB0">
        <w:rPr>
          <w:rFonts w:ascii="Open Sans" w:eastAsia="Open Sans" w:hAnsi="Open Sans" w:cs="Open Sans"/>
          <w:color w:val="0000FF"/>
          <w:sz w:val="22"/>
          <w:szCs w:val="22"/>
          <w:u w:val="single"/>
          <w:lang w:val="en-US"/>
        </w:rPr>
        <w:t>yc.global</w:t>
      </w:r>
      <w:r w:rsidRPr="00F67CB0">
        <w:rPr>
          <w:rFonts w:ascii="Open Sans" w:eastAsia="Open Sans" w:hAnsi="Open Sans" w:cs="Open Sans"/>
          <w:color w:val="0000FF"/>
          <w:sz w:val="22"/>
          <w:szCs w:val="22"/>
          <w:lang w:val="en-US"/>
        </w:rPr>
        <w:tab/>
      </w:r>
      <w:r w:rsidRPr="00F67CB0">
        <w:rPr>
          <w:rFonts w:ascii="Open Sans" w:eastAsia="Open Sans" w:hAnsi="Open Sans" w:cs="Open Sans"/>
          <w:color w:val="0000FF"/>
          <w:sz w:val="22"/>
          <w:szCs w:val="22"/>
          <w:lang w:val="en-US"/>
        </w:rPr>
        <w:tab/>
      </w:r>
    </w:p>
    <w:p w14:paraId="5847401F" w14:textId="77777777" w:rsidR="005D2206" w:rsidRDefault="00000000">
      <w:pPr>
        <w:shd w:val="clear" w:color="auto" w:fill="FFFFFF"/>
        <w:ind w:right="-433"/>
        <w:rPr>
          <w:rFonts w:ascii="Open Sans" w:eastAsia="Open Sans" w:hAnsi="Open Sans" w:cs="Open Sans"/>
          <w:sz w:val="22"/>
          <w:szCs w:val="22"/>
        </w:rPr>
      </w:pPr>
      <w:r>
        <w:rPr>
          <w:rFonts w:ascii="Open Sans" w:eastAsia="Open Sans" w:hAnsi="Open Sans" w:cs="Open Sans"/>
          <w:sz w:val="22"/>
          <w:szCs w:val="22"/>
        </w:rPr>
        <w:t>699 13 91 53</w:t>
      </w:r>
    </w:p>
    <w:p w14:paraId="4073CF83" w14:textId="77777777" w:rsidR="005D2206" w:rsidRDefault="005D2206">
      <w:pPr>
        <w:rPr>
          <w:rFonts w:ascii="Open Sans" w:eastAsia="Open Sans" w:hAnsi="Open Sans" w:cs="Open Sans"/>
          <w:color w:val="30302E"/>
          <w:sz w:val="22"/>
          <w:szCs w:val="22"/>
          <w:highlight w:val="white"/>
        </w:rPr>
      </w:pPr>
    </w:p>
    <w:p w14:paraId="35EC9DCC" w14:textId="77777777" w:rsidR="005D2206"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516E6058" w14:textId="77777777" w:rsidR="005D2206" w:rsidRDefault="00000000">
      <w:pPr>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alicia.salvatella@llyc.global</w:t>
        </w:r>
      </w:hyperlink>
    </w:p>
    <w:p w14:paraId="1272E384" w14:textId="77777777" w:rsidR="005D2206"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5C8F06BC" w14:textId="77777777" w:rsidR="005D2206" w:rsidRDefault="005D2206">
      <w:pPr>
        <w:shd w:val="clear" w:color="auto" w:fill="FFFFFF"/>
        <w:rPr>
          <w:rFonts w:ascii="Open Sans" w:eastAsia="Open Sans" w:hAnsi="Open Sans" w:cs="Open Sans"/>
          <w:color w:val="000000"/>
          <w:sz w:val="22"/>
          <w:szCs w:val="22"/>
        </w:rPr>
      </w:pPr>
    </w:p>
    <w:p w14:paraId="76023495" w14:textId="77777777" w:rsidR="005D2206" w:rsidRDefault="005D2206">
      <w:pPr>
        <w:shd w:val="clear" w:color="auto" w:fill="FFFFFF"/>
        <w:rPr>
          <w:rFonts w:ascii="Open Sans" w:eastAsia="Open Sans" w:hAnsi="Open Sans" w:cs="Open Sans"/>
          <w:color w:val="000000"/>
          <w:sz w:val="22"/>
          <w:szCs w:val="22"/>
        </w:rPr>
      </w:pPr>
    </w:p>
    <w:p w14:paraId="4DA8339C" w14:textId="77777777" w:rsidR="005D2206" w:rsidRDefault="005D2206">
      <w:pPr>
        <w:spacing w:line="276" w:lineRule="auto"/>
        <w:jc w:val="center"/>
        <w:rPr>
          <w:rFonts w:ascii="Open Sans" w:eastAsia="Open Sans" w:hAnsi="Open Sans" w:cs="Open Sans"/>
          <w:color w:val="000000"/>
          <w:sz w:val="21"/>
          <w:szCs w:val="21"/>
        </w:rPr>
      </w:pPr>
    </w:p>
    <w:sectPr w:rsidR="005D2206">
      <w:footerReference w:type="default" r:id="rId28"/>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EE563" w14:textId="77777777" w:rsidR="0066705F" w:rsidRDefault="0066705F">
      <w:r>
        <w:separator/>
      </w:r>
    </w:p>
  </w:endnote>
  <w:endnote w:type="continuationSeparator" w:id="0">
    <w:p w14:paraId="10BD8D19" w14:textId="77777777" w:rsidR="0066705F" w:rsidRDefault="00667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E027957-7BDB-4EC3-B220-ADB2FDB7489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1FA3E74-0A9F-4B25-BAA5-59429553B8B1}"/>
    <w:embedBold r:id="rId3" w:fontKey="{D3CD751E-1AE2-42D0-93AF-A1C7D350420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9700190-545D-457D-8AC9-16DD492C0C43}"/>
    <w:embedItalic r:id="rId5" w:fontKey="{928174B9-C084-40D9-B92A-FB2D28F4E1FD}"/>
  </w:font>
  <w:font w:name="Cambria">
    <w:panose1 w:val="02040503050406030204"/>
    <w:charset w:val="00"/>
    <w:family w:val="roman"/>
    <w:pitch w:val="variable"/>
    <w:sig w:usb0="E00006FF" w:usb1="420024FF" w:usb2="02000000" w:usb3="00000000" w:csb0="0000019F" w:csb1="00000000"/>
    <w:embedRegular r:id="rId6" w:fontKey="{178C9AAF-A123-4853-B958-381A8AF4FA2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9264982-139D-429A-A7E9-997BD5780F6A}"/>
    <w:embedBold r:id="rId8" w:fontKey="{75BF83EE-1FA3-4029-B9A3-895EA80634FF}"/>
    <w:embedBoldItalic r:id="rId9" w:fontKey="{D0776EB4-D68F-421A-A189-F0B92527159D}"/>
  </w:font>
  <w:font w:name="Open Sans Light">
    <w:charset w:val="00"/>
    <w:family w:val="swiss"/>
    <w:pitch w:val="variable"/>
    <w:sig w:usb0="E00002EF" w:usb1="4000205B" w:usb2="00000028" w:usb3="00000000" w:csb0="0000019F" w:csb1="00000000"/>
    <w:embedRegular r:id="rId10" w:fontKey="{70B09DEE-19CB-44B6-BF3B-CD91DAA27976}"/>
    <w:embedBold r:id="rId11" w:fontKey="{61D00B4C-1486-44F0-B439-500DD33E25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CDA8C" w14:textId="77777777" w:rsidR="005D220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07E5B85" wp14:editId="5A89B609">
          <wp:simplePos x="0" y="0"/>
          <wp:positionH relativeFrom="column">
            <wp:posOffset>-1068057</wp:posOffset>
          </wp:positionH>
          <wp:positionV relativeFrom="paragraph">
            <wp:posOffset>174608</wp:posOffset>
          </wp:positionV>
          <wp:extent cx="7670550" cy="451315"/>
          <wp:effectExtent l="0" t="0" r="0" b="0"/>
          <wp:wrapNone/>
          <wp:docPr id="20937902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720573" w14:textId="77777777" w:rsidR="0066705F" w:rsidRDefault="0066705F">
      <w:r>
        <w:separator/>
      </w:r>
    </w:p>
  </w:footnote>
  <w:footnote w:type="continuationSeparator" w:id="0">
    <w:p w14:paraId="01FF91BB" w14:textId="77777777" w:rsidR="0066705F" w:rsidRDefault="006670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9F4F1D"/>
    <w:multiLevelType w:val="multilevel"/>
    <w:tmpl w:val="8DA45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98019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206"/>
    <w:rsid w:val="005D2206"/>
    <w:rsid w:val="0066705F"/>
    <w:rsid w:val="00B56983"/>
    <w:rsid w:val="00F266DB"/>
    <w:rsid w:val="00F67C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C2F9C"/>
  <w15:docId w15:val="{2E46251D-DB01-4023-A0D5-9A0E7ADC5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habitaclia.com/"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fotocasa.es/es/" TargetMode="External"/><Relationship Id="rId25" Type="http://schemas.openxmlformats.org/officeDocument/2006/relationships/hyperlink" Target="mailto:emerino@llorenteycuenca.com" TargetMode="External"/><Relationship Id="rId2" Type="http://schemas.openxmlformats.org/officeDocument/2006/relationships/numbering" Target="numbering.xml"/><Relationship Id="rId16" Type="http://schemas.openxmlformats.org/officeDocument/2006/relationships/hyperlink" Target="https://www.fotocasa.es/es/quienes-somos/" TargetMode="External"/><Relationship Id="rId20" Type="http://schemas.openxmlformats.org/officeDocument/2006/relationships/hyperlink" Target="https://www.coches.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adevinta.com/" TargetMode="External"/><Relationship Id="rId23" Type="http://schemas.openxmlformats.org/officeDocument/2006/relationships/hyperlink" Target="http://adevinta.es"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prensa.fotocasa.es/informe-experiencia-en-alquiler-en-2024/" TargetMode="External"/><Relationship Id="rId14" Type="http://schemas.openxmlformats.org/officeDocument/2006/relationships/hyperlink" Target="http://prensa.fotocasa.es" TargetMode="External"/><Relationship Id="rId22" Type="http://schemas.openxmlformats.org/officeDocument/2006/relationships/hyperlink" Target="https://www.milanuncios.com/" TargetMode="External"/><Relationship Id="rId27" Type="http://schemas.openxmlformats.org/officeDocument/2006/relationships/hyperlink" Target="mailto:alicia.salvatella@llyc.global"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iUibyCHgwMF+V4LzsPHzdIGSTg==">CgMxLjAyCWguMnM4ZXlvMTgAciExSGZ5OUtlQ1FKMWlKOVRkSGFwQ3V2MlRqN0tPNDJHMS0=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1031</Words>
  <Characters>5676</Characters>
  <Application>Microsoft Office Word</Application>
  <DocSecurity>0</DocSecurity>
  <Lines>47</Lines>
  <Paragraphs>13</Paragraphs>
  <ScaleCrop>false</ScaleCrop>
  <Company/>
  <LinksUpToDate>false</LinksUpToDate>
  <CharactersWithSpaces>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2024-09-25T13:19:00Z</dcterms:modified>
</cp:coreProperties>
</file>