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929D6" w14:textId="77777777" w:rsidR="00557702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227961C" wp14:editId="13B67D47">
            <wp:simplePos x="0" y="0"/>
            <wp:positionH relativeFrom="column">
              <wp:posOffset>-1080132</wp:posOffset>
            </wp:positionH>
            <wp:positionV relativeFrom="paragraph">
              <wp:posOffset>-654683</wp:posOffset>
            </wp:positionV>
            <wp:extent cx="7581265" cy="1019175"/>
            <wp:effectExtent l="0" t="0" r="0" b="0"/>
            <wp:wrapNone/>
            <wp:docPr id="209379020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A6E7F6" w14:textId="77777777" w:rsidR="00557702" w:rsidRDefault="00557702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B1D8D74" w14:textId="77777777" w:rsidR="00557702" w:rsidRDefault="00557702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77C860BF" w14:textId="77777777" w:rsidR="00557702" w:rsidRDefault="00000000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  <w:r>
        <w:rPr>
          <w:rFonts w:ascii="National" w:eastAsia="National" w:hAnsi="National" w:cs="National"/>
          <w:b/>
          <w:color w:val="1DBDC5"/>
          <w:sz w:val="30"/>
          <w:szCs w:val="30"/>
        </w:rPr>
        <w:t>EXPERIENCIA EN ALQUILER EN 2024</w:t>
      </w:r>
    </w:p>
    <w:p w14:paraId="5D3475C6" w14:textId="77777777" w:rsidR="00557702" w:rsidRDefault="00000000">
      <w:pPr>
        <w:jc w:val="center"/>
        <w:rPr>
          <w:rFonts w:ascii="National" w:eastAsia="National" w:hAnsi="National" w:cs="National"/>
          <w:b/>
          <w:color w:val="303AB2"/>
          <w:sz w:val="50"/>
          <w:szCs w:val="50"/>
        </w:rPr>
      </w:pPr>
      <w:r>
        <w:rPr>
          <w:rFonts w:ascii="National" w:eastAsia="National" w:hAnsi="National" w:cs="National"/>
          <w:b/>
          <w:color w:val="303AB2"/>
          <w:sz w:val="50"/>
          <w:szCs w:val="50"/>
        </w:rPr>
        <w:t>Desciende el porcentaje de inquilinos que se plantea comprar una vivienda</w:t>
      </w:r>
    </w:p>
    <w:p w14:paraId="40970678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color w:val="303AB2"/>
        </w:rPr>
      </w:pPr>
    </w:p>
    <w:p w14:paraId="7CE005C1" w14:textId="77777777" w:rsidR="00557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 2023 el 52% de inquilinos se planteaba comprar en un plazo de cinco años y en 2024 esa cifra cae hasta el 48%</w:t>
      </w:r>
    </w:p>
    <w:p w14:paraId="3949A6FD" w14:textId="77777777" w:rsidR="00557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Los que quieren comprar en un plazo de dos años también se reduce del 20% al 16%</w:t>
      </w:r>
    </w:p>
    <w:p w14:paraId="599804B6" w14:textId="77777777" w:rsidR="005577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El 19% de inquilinos descartan la compra a corto y largo plazo</w:t>
      </w:r>
    </w:p>
    <w:p w14:paraId="37F99AED" w14:textId="0A55FCCA" w:rsidR="00557702" w:rsidRDefault="005B40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Nueve de cada diez inquilinos cree que el precio de la vivienda de compra es caro o muy caro</w:t>
      </w:r>
    </w:p>
    <w:p w14:paraId="7DB943A5" w14:textId="77777777" w:rsidR="00557702" w:rsidRDefault="005577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47651112" w14:textId="59F96062" w:rsidR="0055770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 w:rsidRPr="005B40C8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Madrid, </w:t>
      </w:r>
      <w:r w:rsidR="005B40C8" w:rsidRPr="005B40C8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30 de octubre</w:t>
      </w:r>
      <w:r w:rsidRPr="005B40C8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 de 2024</w:t>
      </w:r>
    </w:p>
    <w:p w14:paraId="0B4CAA65" w14:textId="77777777" w:rsidR="00557702" w:rsidRDefault="005577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731A9C7" w14:textId="3C6FA0CC" w:rsidR="00557702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inquilinos perciben que los precios del alquiler de vivienda son cada vez más caros y que continúan subiendo. Este hecho empuja a muchos de ellos a plantearse la adquisición de una vivienda propia. De esta manera, en 2023 </w:t>
      </w:r>
      <w:r>
        <w:rPr>
          <w:rFonts w:ascii="Open Sans" w:eastAsia="Open Sans" w:hAnsi="Open Sans" w:cs="Open Sans"/>
          <w:b/>
          <w:sz w:val="22"/>
          <w:szCs w:val="22"/>
        </w:rPr>
        <w:t>la cifra de inquilinos que se planteaban comprar un inmueble en un plazo máximo de cinco años alcanzaba ya el 52%, la cifra más alta de los últimos cinco años. Sin embargo, tan solo un año después este porcentaje se ha reducido hasta el 48%,</w:t>
      </w:r>
      <w:r>
        <w:rPr>
          <w:rFonts w:ascii="Open Sans" w:eastAsia="Open Sans" w:hAnsi="Open Sans" w:cs="Open Sans"/>
          <w:sz w:val="22"/>
          <w:szCs w:val="22"/>
        </w:rPr>
        <w:t xml:space="preserve"> cuatro puntos porcentuales menos. La cifra también está un punto por debajo del registro de 2022, aunque se mantiene aún por encima del 44% de 2021 y el 41% de 2020. Así lo muestra el informe </w:t>
      </w:r>
      <w:r w:rsidR="005B40C8">
        <w:rPr>
          <w:rFonts w:ascii="Open Sans" w:eastAsia="Open Sans" w:hAnsi="Open Sans" w:cs="Open Sans"/>
          <w:sz w:val="22"/>
          <w:szCs w:val="22"/>
        </w:rPr>
        <w:t>“</w:t>
      </w:r>
      <w:hyperlink r:id="rId9" w:history="1">
        <w:r w:rsidR="005B40C8" w:rsidRPr="00703971">
          <w:rPr>
            <w:rStyle w:val="Hipervnculo"/>
            <w:rFonts w:ascii="Open Sans" w:eastAsia="Open Sans" w:hAnsi="Open Sans" w:cs="Open Sans"/>
            <w:b/>
            <w:i/>
            <w:sz w:val="22"/>
            <w:szCs w:val="22"/>
          </w:rPr>
          <w:t>Experiencia en alquiler en 2024</w:t>
        </w:r>
      </w:hyperlink>
      <w:r w:rsidR="005B40C8">
        <w:rPr>
          <w:rFonts w:ascii="Open Sans" w:eastAsia="Open Sans" w:hAnsi="Open Sans" w:cs="Open Sans"/>
          <w:sz w:val="22"/>
          <w:szCs w:val="22"/>
        </w:rPr>
        <w:t>”</w:t>
      </w:r>
      <w:r>
        <w:rPr>
          <w:rFonts w:ascii="Open Sans" w:eastAsia="Open Sans" w:hAnsi="Open Sans" w:cs="Open Sans"/>
          <w:sz w:val="22"/>
          <w:szCs w:val="22"/>
        </w:rPr>
        <w:t xml:space="preserve"> que pretende trazar una exhaustiva radiografía del mercado inmobiliario en alquiler.</w:t>
      </w:r>
    </w:p>
    <w:p w14:paraId="674AFCE6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2D4F9F1" w14:textId="77777777" w:rsidR="00557702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Este descenso de cuatro puntos entre 2023 y 2024 entre los inquilinos que muestran intención de comprar vivienda propia tiene su raíz en el grupo de los que lo pretenden cumplir este objetivo en </w:t>
      </w:r>
      <w:r>
        <w:rPr>
          <w:rFonts w:ascii="Open Sans" w:eastAsia="Open Sans" w:hAnsi="Open Sans" w:cs="Open Sans"/>
          <w:b/>
          <w:sz w:val="22"/>
          <w:szCs w:val="22"/>
        </w:rPr>
        <w:t>el plazo de dos años, ya que se reducen del 20% al 16%, mientras que los que lo pretenden en un periodo comprendido entre los dos y los cinco años se mantienen en el 32%.</w:t>
      </w:r>
    </w:p>
    <w:p w14:paraId="7F856C16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C908A85" w14:textId="77777777" w:rsidR="00557702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Por el contrario, este descenso en el deseo de compra provoca que aumente el porcentaje de demandantes de vivienda de alquiler que, </w:t>
      </w:r>
      <w:r>
        <w:rPr>
          <w:rFonts w:ascii="Open Sans" w:eastAsia="Open Sans" w:hAnsi="Open Sans" w:cs="Open Sans"/>
          <w:b/>
          <w:sz w:val="22"/>
          <w:szCs w:val="22"/>
        </w:rPr>
        <w:t>aunque no prevén comprar a medio plazo, no descartan hacerlo más adelante. Actualmente son el 33%,</w:t>
      </w:r>
      <w:r>
        <w:rPr>
          <w:rFonts w:ascii="Open Sans" w:eastAsia="Open Sans" w:hAnsi="Open Sans" w:cs="Open Sans"/>
          <w:sz w:val="22"/>
          <w:szCs w:val="22"/>
        </w:rPr>
        <w:t xml:space="preserve"> mientras que en 2023 eran el 31%. El porcentaje actual, por lo tanto, se acerca al 34% de 2022. </w:t>
      </w:r>
    </w:p>
    <w:p w14:paraId="101ED3FB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9B6F87D" w14:textId="77777777" w:rsidR="00557702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>También se incrementa el grupo de los que descartan la compra tanto a medio como a largo plazo, ascendiendo al 19%, frente al 17% de 2023.</w:t>
      </w:r>
    </w:p>
    <w:p w14:paraId="4B677EA5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6E2BFBB" w14:textId="48BAC642" w:rsidR="00557702" w:rsidRDefault="001C703F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inline distT="0" distB="0" distL="0" distR="0" wp14:anchorId="4054B9D4" wp14:editId="134C90B9">
            <wp:extent cx="5760720" cy="2697480"/>
            <wp:effectExtent l="0" t="0" r="0" b="7620"/>
            <wp:docPr id="529896062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96062" name="Imagen 1" descr="Gráfic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9D11" w14:textId="77777777" w:rsidR="00994193" w:rsidRDefault="00994193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3E2386F" w14:textId="551C43B0" w:rsidR="00557702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“Las capacidades económicas de los inquilinos han descendido en los últimos años a medida que ha ido aumentando el precio de la vivienda y al mismo tiempo que lo ha hecho la temporalidad, inestabilidad y precariedad en sus contratos laborales. Quienes más lo sufren son los jóvenes, menores de 35 años, que son quienes más interactúan con el alquiler, que se ven obligados a destinar una parte considerable de sus ingresos para cubrir este coste y esto les dificulta ahorrar para el futuro, reduciendo significativamente sus posibilidades de convertirse en propietarios algún día. De hecho, sabemos que el 43% de los inquilinos vive de alquiler por la imposibilidad de comprar una vivienda, un dato que se ha incrementado cinco puntos en tan solo un año”, </w:t>
      </w:r>
      <w:r w:rsidRPr="005B40C8">
        <w:rPr>
          <w:rFonts w:ascii="Open Sans" w:eastAsia="Open Sans" w:hAnsi="Open Sans" w:cs="Open Sans"/>
          <w:b/>
          <w:bCs/>
          <w:sz w:val="22"/>
          <w:szCs w:val="22"/>
        </w:rPr>
        <w:t xml:space="preserve">comenta María Matos, directora de Estudios y portavoz </w:t>
      </w:r>
      <w:r w:rsidR="005B40C8" w:rsidRPr="005B40C8">
        <w:rPr>
          <w:rFonts w:ascii="Open Sans" w:eastAsia="Open Sans" w:hAnsi="Open Sans" w:cs="Open Sans"/>
          <w:b/>
          <w:bCs/>
          <w:sz w:val="22"/>
          <w:szCs w:val="22"/>
        </w:rPr>
        <w:t xml:space="preserve">de </w:t>
      </w:r>
      <w:hyperlink r:id="rId11" w:history="1">
        <w:r w:rsidR="005B40C8" w:rsidRPr="005B40C8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Fotocasa</w:t>
        </w:r>
      </w:hyperlink>
      <w:r w:rsidR="005B40C8" w:rsidRPr="005B40C8">
        <w:rPr>
          <w:rFonts w:ascii="Open Sans" w:eastAsia="Open Sans" w:hAnsi="Open Sans" w:cs="Open Sans"/>
          <w:b/>
          <w:bCs/>
          <w:sz w:val="22"/>
          <w:szCs w:val="22"/>
        </w:rPr>
        <w:t xml:space="preserve">. </w:t>
      </w:r>
      <w:r w:rsidRPr="005B40C8">
        <w:rPr>
          <w:rFonts w:ascii="Open Sans" w:eastAsia="Open Sans" w:hAnsi="Open Sans" w:cs="Open Sans"/>
          <w:b/>
          <w:bCs/>
          <w:sz w:val="22"/>
          <w:szCs w:val="22"/>
        </w:rPr>
        <w:t xml:space="preserve"> </w:t>
      </w:r>
    </w:p>
    <w:p w14:paraId="689BC972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58BD2C8" w14:textId="77777777" w:rsidR="005B40C8" w:rsidRDefault="005B40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7D1FD7D" w14:textId="276C6C84" w:rsidR="0055770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Los inquilinos y los precios de la vivienda en propiedad</w:t>
      </w:r>
    </w:p>
    <w:p w14:paraId="1DF6636D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0511D39" w14:textId="77777777" w:rsidR="00557702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Existen muchos particulares que alquilan porque no pueden comprar. Surge, por lo tanto, </w:t>
      </w:r>
      <w:r>
        <w:rPr>
          <w:rFonts w:ascii="Open Sans" w:eastAsia="Open Sans" w:hAnsi="Open Sans" w:cs="Open Sans"/>
          <w:b/>
          <w:sz w:val="22"/>
          <w:szCs w:val="22"/>
        </w:rPr>
        <w:t>la pregunta acerca de la percepción del precio del mercado de compraventa que tienen los demandantes de alquiler</w:t>
      </w:r>
      <w:r>
        <w:rPr>
          <w:rFonts w:ascii="Open Sans" w:eastAsia="Open Sans" w:hAnsi="Open Sans" w:cs="Open Sans"/>
          <w:sz w:val="22"/>
          <w:szCs w:val="22"/>
        </w:rPr>
        <w:t xml:space="preserve">. En este sentido, el escenario es similar al que arroja su visión sobre los precios del arrendamiento. </w:t>
      </w:r>
    </w:p>
    <w:p w14:paraId="12DAD845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9048382" w14:textId="195D0488" w:rsidR="00994193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 este modo, </w:t>
      </w:r>
      <w:r>
        <w:rPr>
          <w:rFonts w:ascii="Open Sans" w:eastAsia="Open Sans" w:hAnsi="Open Sans" w:cs="Open Sans"/>
          <w:b/>
          <w:sz w:val="22"/>
          <w:szCs w:val="22"/>
        </w:rPr>
        <w:t>un 92% de los demandantes de alquiler creen que los precios de la vivienda en propiedad son caros o muy caros</w:t>
      </w:r>
      <w:r>
        <w:rPr>
          <w:rFonts w:ascii="Open Sans" w:eastAsia="Open Sans" w:hAnsi="Open Sans" w:cs="Open Sans"/>
          <w:sz w:val="22"/>
          <w:szCs w:val="22"/>
        </w:rPr>
        <w:t xml:space="preserve">. Un porcentaje que ha permanecido bastante estable a lo largo del tiempo (en 2023 era el 93%) pero en el que ha ganado peso la percepción ‘muy caro’, que representaba el 62% hace dos años, en 2023 subió hasta el </w:t>
      </w:r>
      <w:r>
        <w:rPr>
          <w:rFonts w:ascii="Open Sans" w:eastAsia="Open Sans" w:hAnsi="Open Sans" w:cs="Open Sans"/>
          <w:sz w:val="22"/>
          <w:szCs w:val="22"/>
        </w:rPr>
        <w:lastRenderedPageBreak/>
        <w:t xml:space="preserve">69% y en la actualidad se ha situado en el 74%. Es decir, un incremento de doce puntos en veinticuatro meses. </w:t>
      </w:r>
    </w:p>
    <w:p w14:paraId="72366456" w14:textId="5650BFCF" w:rsidR="00994193" w:rsidRDefault="001C703F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inline distT="0" distB="0" distL="0" distR="0" wp14:anchorId="72DB427C" wp14:editId="4C3065BC">
            <wp:extent cx="5784682" cy="2606040"/>
            <wp:effectExtent l="0" t="0" r="6985" b="3810"/>
            <wp:docPr id="1011211863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11863" name="Imagen 1" descr="Gráf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8721" cy="26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C246" w14:textId="77777777" w:rsidR="001C703F" w:rsidRDefault="001C703F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DA12726" w14:textId="77BBA9DF" w:rsidR="00557702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Este aumento se alimenta, lógicamente, del adelgazamiento del porcentaje de los que únicamente considera algo caro ese precio, ya que bajan del 24% de 2023 al 19% de doce meses después.</w:t>
      </w:r>
    </w:p>
    <w:p w14:paraId="3A67C628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A29AED8" w14:textId="77777777" w:rsidR="00557702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Respecto </w:t>
      </w:r>
      <w:r>
        <w:rPr>
          <w:rFonts w:ascii="Open Sans" w:eastAsia="Open Sans" w:hAnsi="Open Sans" w:cs="Open Sans"/>
          <w:b/>
          <w:sz w:val="22"/>
          <w:szCs w:val="22"/>
        </w:rPr>
        <w:t>a la tendencia de los precios de compra, existe igualmente en el colectivo este grupo de demandantes de alquiler la percepción de que seguirá siendo alcista hasta alcanzar</w:t>
      </w:r>
      <w:r>
        <w:rPr>
          <w:rFonts w:ascii="Open Sans" w:eastAsia="Open Sans" w:hAnsi="Open Sans" w:cs="Open Sans"/>
          <w:sz w:val="22"/>
          <w:szCs w:val="22"/>
        </w:rPr>
        <w:t>, en 2024, el 68%, si bien se trata de una cifra dos puntos porcentuales menor que la de la anterior encuesta.</w:t>
      </w:r>
    </w:p>
    <w:p w14:paraId="6C2564CA" w14:textId="77777777" w:rsidR="00557702" w:rsidRDefault="00557702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71988ECB" w14:textId="3F0C1D48" w:rsidR="00557702" w:rsidRDefault="001C703F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inline distT="0" distB="0" distL="0" distR="0" wp14:anchorId="4ECC1CCF" wp14:editId="08088258">
            <wp:extent cx="5730240" cy="3490444"/>
            <wp:effectExtent l="0" t="0" r="3810" b="0"/>
            <wp:docPr id="1442451134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51134" name="Imagen 1" descr="Gráfico, Gráfico de barras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1599" cy="34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3E3A" w14:textId="2BB43233" w:rsidR="00557702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Fotocasa</w:t>
      </w:r>
    </w:p>
    <w:p w14:paraId="32372584" w14:textId="77777777" w:rsidR="00557702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4">
        <w:r w:rsidR="00557702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5">
        <w:r w:rsidR="00557702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08A708C1" w14:textId="77777777" w:rsidR="00557702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Adevinta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una empresa 100% especializada en Marketplaces digitales y el único “pure player” del sector a nivel mundial. </w:t>
      </w:r>
    </w:p>
    <w:p w14:paraId="0B0798C0" w14:textId="77777777" w:rsidR="00557702" w:rsidRDefault="00557702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 w:rsidR="00000000"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3D7BBFEA" w14:textId="77777777" w:rsidR="00557702" w:rsidRDefault="00557702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4F7E3665" w14:textId="77777777" w:rsidR="00557702" w:rsidRDefault="00557702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E61DC87" w14:textId="77777777" w:rsidR="00994193" w:rsidRDefault="00994193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37F997FC" w14:textId="77777777" w:rsidR="00557702" w:rsidRDefault="00557702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7D486979" w14:textId="77777777" w:rsidR="00557702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Adevinta Spain</w:t>
      </w:r>
    </w:p>
    <w:p w14:paraId="5E03395F" w14:textId="77777777" w:rsidR="00557702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>Adevinta Spain es una compañía líder en marketplaces digitales y una de las principales empresas del sector tecnológico del país, con más de 18 millones de usuarios al mes en sus plataformas de los sectores inmobiliario (</w:t>
      </w:r>
      <w:hyperlink r:id="rId18">
        <w:r w:rsidR="00557702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9">
        <w:r w:rsidR="00557702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0">
        <w:r w:rsidR="00557702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1">
        <w:r w:rsidR="00557702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2">
        <w:r w:rsidR="00557702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hyperlink r:id="rId23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Milanuncios</w:t>
        </w:r>
      </w:hyperlink>
      <w:r>
        <w:rPr>
          <w:rFonts w:ascii="Open Sans" w:eastAsia="Open Sans" w:hAnsi="Open Sans" w:cs="Open Sans"/>
          <w:sz w:val="22"/>
          <w:szCs w:val="22"/>
        </w:rPr>
        <w:t>).</w:t>
      </w:r>
    </w:p>
    <w:p w14:paraId="3CBCD970" w14:textId="77777777" w:rsidR="00557702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Los negocios de Adevinta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33EE750E" w14:textId="77777777" w:rsidR="00557702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Adevinta tiene presencia mundial en 10 países. El conjunto de sus plataformas locales recibe un promedio de 3.000 millones de visitas cada mes. </w:t>
      </w:r>
    </w:p>
    <w:p w14:paraId="5E0D6BFB" w14:textId="77777777" w:rsidR="00557702" w:rsidRDefault="00000000">
      <w:pPr>
        <w:spacing w:line="276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4">
        <w:r w:rsidR="00557702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43F46A7A" w14:textId="77777777" w:rsidR="00557702" w:rsidRDefault="00557702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12A5B28C" w14:textId="77777777" w:rsidR="00557702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79BF71BC" w14:textId="77777777" w:rsidR="00557702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407B2113" w14:textId="77777777" w:rsidR="00557702" w:rsidRDefault="00557702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4EB09F68" w14:textId="77777777" w:rsidR="00557702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68E039E3" w14:textId="77777777" w:rsidR="00557702" w:rsidRDefault="00557702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7D19A2E3" w14:textId="77777777" w:rsidR="00557702" w:rsidRDefault="00557702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5B8ACE1B" w14:textId="77777777" w:rsidR="00557702" w:rsidRDefault="00000000">
      <w:pPr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7711D485" w14:textId="77777777" w:rsidR="00557702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0212F60B" w14:textId="77777777" w:rsidR="00557702" w:rsidRDefault="00557702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hyperlink r:id="rId2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 w:rsidR="00000000"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 w:rsidR="00000000">
        <w:rPr>
          <w:rFonts w:ascii="Open Sans" w:eastAsia="Open Sans" w:hAnsi="Open Sans" w:cs="Open Sans"/>
          <w:color w:val="0000FF"/>
          <w:sz w:val="22"/>
          <w:szCs w:val="22"/>
        </w:rPr>
        <w:tab/>
      </w:r>
      <w:r w:rsidR="00000000"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2C75C410" w14:textId="77777777" w:rsidR="00557702" w:rsidRPr="005B40C8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  <w:lang w:val="en-US"/>
        </w:rPr>
      </w:pPr>
      <w:r w:rsidRPr="005B40C8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5B40C8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5B40C8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5B40C8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5B40C8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5B40C8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5B40C8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3CEF58E8" w14:textId="77777777" w:rsidR="00557702" w:rsidRPr="005B40C8" w:rsidRDefault="00000000">
      <w:pPr>
        <w:shd w:val="clear" w:color="auto" w:fill="FFFFFF"/>
        <w:ind w:right="-433"/>
        <w:rPr>
          <w:color w:val="222222"/>
          <w:sz w:val="22"/>
          <w:szCs w:val="22"/>
          <w:lang w:val="en-US"/>
        </w:rPr>
      </w:pPr>
      <w:r w:rsidRPr="005B40C8">
        <w:rPr>
          <w:color w:val="222222"/>
          <w:sz w:val="22"/>
          <w:szCs w:val="22"/>
          <w:lang w:val="en-US"/>
        </w:rPr>
        <w:tab/>
      </w:r>
      <w:r w:rsidRPr="005B40C8">
        <w:rPr>
          <w:color w:val="222222"/>
          <w:sz w:val="22"/>
          <w:szCs w:val="22"/>
          <w:lang w:val="en-US"/>
        </w:rPr>
        <w:tab/>
        <w:t xml:space="preserve">     </w:t>
      </w:r>
    </w:p>
    <w:p w14:paraId="45328483" w14:textId="77777777" w:rsidR="00557702" w:rsidRPr="005B40C8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5B40C8">
        <w:rPr>
          <w:rFonts w:ascii="Open Sans" w:eastAsia="Open Sans" w:hAnsi="Open Sans" w:cs="Open Sans"/>
          <w:b/>
          <w:sz w:val="22"/>
          <w:szCs w:val="22"/>
          <w:lang w:val="en-US"/>
        </w:rPr>
        <w:t>Judit Campillos</w:t>
      </w:r>
    </w:p>
    <w:p w14:paraId="3E127353" w14:textId="77777777" w:rsidR="00557702" w:rsidRPr="005B40C8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5B40C8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27">
        <w:r w:rsidR="00557702" w:rsidRPr="005B40C8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r w:rsidRPr="005B40C8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r w:rsidRPr="005B40C8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5B40C8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64DF19E8" w14:textId="77777777" w:rsidR="00557702" w:rsidRPr="001C703F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  <w:lang w:val="en-US"/>
        </w:rPr>
      </w:pPr>
      <w:r w:rsidRPr="001C703F">
        <w:rPr>
          <w:rFonts w:ascii="Open Sans" w:eastAsia="Open Sans" w:hAnsi="Open Sans" w:cs="Open Sans"/>
          <w:sz w:val="22"/>
          <w:szCs w:val="22"/>
          <w:lang w:val="en-US"/>
        </w:rPr>
        <w:t>699 13 91 53</w:t>
      </w:r>
    </w:p>
    <w:p w14:paraId="5DF1C28E" w14:textId="77777777" w:rsidR="00557702" w:rsidRPr="001C703F" w:rsidRDefault="00557702">
      <w:pPr>
        <w:rPr>
          <w:rFonts w:ascii="Open Sans" w:eastAsia="Open Sans" w:hAnsi="Open Sans" w:cs="Open Sans"/>
          <w:color w:val="30302E"/>
          <w:sz w:val="22"/>
          <w:szCs w:val="22"/>
          <w:highlight w:val="white"/>
          <w:lang w:val="en-US"/>
        </w:rPr>
      </w:pPr>
    </w:p>
    <w:p w14:paraId="1EC1A34B" w14:textId="77777777" w:rsidR="00557702" w:rsidRDefault="00000000">
      <w:pP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Alicia Salvatella</w:t>
      </w:r>
    </w:p>
    <w:p w14:paraId="05A248B2" w14:textId="77777777" w:rsidR="00557702" w:rsidRDefault="00557702">
      <w:pPr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3DCB7CFA" w14:textId="77777777" w:rsidR="00557702" w:rsidRDefault="00000000">
      <w:pPr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42865205" w14:textId="77777777" w:rsidR="00557702" w:rsidRDefault="00557702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3605636E" w14:textId="77777777" w:rsidR="00557702" w:rsidRDefault="00557702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7C45618" w14:textId="77777777" w:rsidR="00557702" w:rsidRDefault="00557702">
      <w:pPr>
        <w:spacing w:line="276" w:lineRule="auto"/>
        <w:jc w:val="center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557702">
      <w:footerReference w:type="default" r:id="rId29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8B226E" w14:textId="77777777" w:rsidR="00AE2EDB" w:rsidRDefault="00AE2EDB">
      <w:r>
        <w:separator/>
      </w:r>
    </w:p>
  </w:endnote>
  <w:endnote w:type="continuationSeparator" w:id="0">
    <w:p w14:paraId="38F3B8AD" w14:textId="77777777" w:rsidR="00AE2EDB" w:rsidRDefault="00AE2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8A907BD-50EF-4D59-B91B-CA2DB999C5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6AA0E71-EF23-4870-B29D-058FDF5137E0}"/>
    <w:embedBold r:id="rId3" w:fontKey="{05689546-CFEA-4BB5-B494-A47A33837E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A3FC445-8415-4EE5-87EC-00329694AC22}"/>
    <w:embedItalic r:id="rId5" w:fontKey="{D33EDA79-AC8D-41D8-8AE3-D50A8C3C04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EEB5702-E282-4A3F-8659-5F9CC10EEAE3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9B3FC431-8ABB-4293-8574-12C509C3A143}"/>
    <w:embedBold r:id="rId8" w:fontKey="{288E77A3-5831-4064-B211-037F337C58D0}"/>
    <w:embedBoldItalic r:id="rId9" w:fontKey="{BA03F4BF-4B27-4965-A139-A7263B89A489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C20220C5-812A-4E70-A1E4-3D10EA04BB42}"/>
    <w:embedBold r:id="rId11" w:fontKey="{D2420EE8-55B2-4556-8925-0CA3CACE4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18D33" w14:textId="77777777" w:rsidR="005577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9FCB642" wp14:editId="0EE8CA10">
          <wp:simplePos x="0" y="0"/>
          <wp:positionH relativeFrom="column">
            <wp:posOffset>-1068057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937902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1A3859" w14:textId="77777777" w:rsidR="00AE2EDB" w:rsidRDefault="00AE2EDB">
      <w:r>
        <w:separator/>
      </w:r>
    </w:p>
  </w:footnote>
  <w:footnote w:type="continuationSeparator" w:id="0">
    <w:p w14:paraId="298812F3" w14:textId="77777777" w:rsidR="00AE2EDB" w:rsidRDefault="00AE2E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012919"/>
    <w:multiLevelType w:val="multilevel"/>
    <w:tmpl w:val="ABE295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0802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702"/>
    <w:rsid w:val="001C703F"/>
    <w:rsid w:val="00474A61"/>
    <w:rsid w:val="00557702"/>
    <w:rsid w:val="005B40C8"/>
    <w:rsid w:val="008945D0"/>
    <w:rsid w:val="00994193"/>
    <w:rsid w:val="00AE2EDB"/>
    <w:rsid w:val="00B6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168E2"/>
  <w15:docId w15:val="{A31B39BF-B33D-40D8-BC4C-D0378691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5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fotocasa.es/es/" TargetMode="External"/><Relationship Id="rId26" Type="http://schemas.openxmlformats.org/officeDocument/2006/relationships/hyperlink" Target="mailto:emerino@llorenteycuenca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ches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fotocasa.es/es/quienes-somos/" TargetMode="External"/><Relationship Id="rId25" Type="http://schemas.openxmlformats.org/officeDocument/2006/relationships/hyperlink" Target="mailto:comunicacion@fotocas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devinta.com/" TargetMode="External"/><Relationship Id="rId20" Type="http://schemas.openxmlformats.org/officeDocument/2006/relationships/hyperlink" Target="https://www.infojobs.net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" TargetMode="External"/><Relationship Id="rId24" Type="http://schemas.openxmlformats.org/officeDocument/2006/relationships/hyperlink" Target="http://adevint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ensa.fotocasa.es" TargetMode="External"/><Relationship Id="rId23" Type="http://schemas.openxmlformats.org/officeDocument/2006/relationships/hyperlink" Target="https://www.milanuncios.com/" TargetMode="External"/><Relationship Id="rId28" Type="http://schemas.openxmlformats.org/officeDocument/2006/relationships/hyperlink" Target="mailto:alicia.salvatella@llyc.globa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habitaclia.com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rensa.fotocasa.es/informe-experiencia-en-alquiler-en-2024/" TargetMode="External"/><Relationship Id="rId14" Type="http://schemas.openxmlformats.org/officeDocument/2006/relationships/hyperlink" Target="https://www.fotocasa.es/indice/" TargetMode="External"/><Relationship Id="rId22" Type="http://schemas.openxmlformats.org/officeDocument/2006/relationships/hyperlink" Target="https://motos.coches.net/" TargetMode="External"/><Relationship Id="rId27" Type="http://schemas.openxmlformats.org/officeDocument/2006/relationships/hyperlink" Target="mailto:emerino@llorenteycuenca.co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L1EVoB8HlDOUQtjiA38q6/Ce5g==">CgMxLjAyCWguMnM4ZXlvMTgAciExSHkydkVhS09pWUhDMFBsbGw3OGg4WWRLY0Zabm85MU0=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1084</Words>
  <Characters>5965</Characters>
  <Application>Microsoft Office Word</Application>
  <DocSecurity>0</DocSecurity>
  <Lines>49</Lines>
  <Paragraphs>14</Paragraphs>
  <ScaleCrop>false</ScaleCrop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4</cp:revision>
  <dcterms:created xsi:type="dcterms:W3CDTF">2024-02-06T13:46:00Z</dcterms:created>
  <dcterms:modified xsi:type="dcterms:W3CDTF">2024-10-22T14:34:00Z</dcterms:modified>
</cp:coreProperties>
</file>