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0AC84C" w14:textId="77777777" w:rsidR="00C01B5D" w:rsidRDefault="00000000">
      <w:pPr>
        <w:jc w:val="both"/>
      </w:pPr>
      <w:r>
        <w:rPr>
          <w:noProof/>
        </w:rPr>
        <w:drawing>
          <wp:anchor distT="0" distB="0" distL="114300" distR="114300" simplePos="0" relativeHeight="251658240" behindDoc="0" locked="0" layoutInCell="1" hidden="0" allowOverlap="1" wp14:anchorId="249B72EF" wp14:editId="7A950F44">
            <wp:simplePos x="0" y="0"/>
            <wp:positionH relativeFrom="column">
              <wp:posOffset>-1080129</wp:posOffset>
            </wp:positionH>
            <wp:positionV relativeFrom="paragraph">
              <wp:posOffset>-654680</wp:posOffset>
            </wp:positionV>
            <wp:extent cx="7581265" cy="1019175"/>
            <wp:effectExtent l="0" t="0" r="0" b="0"/>
            <wp:wrapNone/>
            <wp:docPr id="20937902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0B2F0B0" w14:textId="77777777" w:rsidR="00C01B5D" w:rsidRDefault="00C01B5D">
      <w:pPr>
        <w:jc w:val="both"/>
        <w:rPr>
          <w:rFonts w:ascii="National" w:eastAsia="National" w:hAnsi="National" w:cs="National"/>
          <w:color w:val="303AB2"/>
          <w:sz w:val="36"/>
          <w:szCs w:val="36"/>
        </w:rPr>
      </w:pPr>
    </w:p>
    <w:p w14:paraId="5BC86B0D" w14:textId="77777777" w:rsidR="00C01B5D" w:rsidRDefault="00C01B5D">
      <w:pPr>
        <w:jc w:val="both"/>
        <w:rPr>
          <w:rFonts w:ascii="National" w:eastAsia="National" w:hAnsi="National" w:cs="National"/>
          <w:color w:val="303AB2"/>
          <w:sz w:val="18"/>
          <w:szCs w:val="18"/>
        </w:rPr>
      </w:pPr>
    </w:p>
    <w:p w14:paraId="32BFA6C4" w14:textId="77777777" w:rsidR="00C01B5D"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 xml:space="preserve">COMPRADOR DE OBRA NUEVA EN ESPAÑA </w:t>
      </w:r>
    </w:p>
    <w:p w14:paraId="7D6D8D42" w14:textId="2322411B" w:rsidR="00C01B5D" w:rsidRDefault="00000000">
      <w:pPr>
        <w:jc w:val="center"/>
        <w:rPr>
          <w:rFonts w:ascii="National" w:eastAsia="National" w:hAnsi="National" w:cs="National"/>
          <w:b/>
          <w:color w:val="303AB2"/>
          <w:sz w:val="54"/>
          <w:szCs w:val="54"/>
        </w:rPr>
      </w:pPr>
      <w:r>
        <w:rPr>
          <w:rFonts w:ascii="National" w:eastAsia="National" w:hAnsi="National" w:cs="National"/>
          <w:b/>
          <w:color w:val="303AB2"/>
          <w:sz w:val="54"/>
          <w:szCs w:val="54"/>
        </w:rPr>
        <w:t>Crece el porcentaje de españoles que se plantea comprar obra nueva</w:t>
      </w:r>
      <w:r w:rsidR="00715C82">
        <w:rPr>
          <w:rFonts w:ascii="National" w:eastAsia="National" w:hAnsi="National" w:cs="National"/>
          <w:b/>
          <w:color w:val="303AB2"/>
          <w:sz w:val="54"/>
          <w:szCs w:val="54"/>
        </w:rPr>
        <w:t xml:space="preserve">: pasa </w:t>
      </w:r>
      <w:r>
        <w:rPr>
          <w:rFonts w:ascii="National" w:eastAsia="National" w:hAnsi="National" w:cs="National"/>
          <w:b/>
          <w:color w:val="303AB2"/>
          <w:sz w:val="54"/>
          <w:szCs w:val="54"/>
        </w:rPr>
        <w:t>del 61% en 2021 al 65% en 2024</w:t>
      </w:r>
    </w:p>
    <w:p w14:paraId="6ED117EE" w14:textId="77777777" w:rsidR="00C01B5D" w:rsidRDefault="00C01B5D">
      <w:pPr>
        <w:spacing w:line="276" w:lineRule="auto"/>
        <w:ind w:right="4"/>
        <w:jc w:val="both"/>
        <w:rPr>
          <w:rFonts w:ascii="Open Sans" w:eastAsia="Open Sans" w:hAnsi="Open Sans" w:cs="Open Sans"/>
          <w:color w:val="303AB2"/>
        </w:rPr>
      </w:pPr>
    </w:p>
    <w:p w14:paraId="66900882" w14:textId="1098C3D9" w:rsidR="00C01B5D" w:rsidRDefault="000F4EDF">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sz w:val="22"/>
          <w:szCs w:val="22"/>
        </w:rPr>
        <w:t>En 2024 el 65% de los compradores de vivienda han considerado la opción de comprar obra nueva, aunque finalmente un 31% la acabó comprando</w:t>
      </w:r>
    </w:p>
    <w:p w14:paraId="3EA35797" w14:textId="77777777" w:rsidR="00C01B5D"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El 20% de los compradores de vivienda buscan solo viviendas de obra nueva, cuatro puntos porcentuales más que en 2022 cuando eran el 16% de los buscadores de vivienda</w:t>
      </w:r>
    </w:p>
    <w:p w14:paraId="1B641912" w14:textId="77777777" w:rsidR="00C01B5D"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Existe un 35% de compradores que no se plantea adquirir obra nueva y es un punto menos que el año anterior</w:t>
      </w:r>
    </w:p>
    <w:p w14:paraId="6A227984" w14:textId="77777777" w:rsidR="00C01B5D"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Madrid es la comunidad en la que más se demanda obra nueva en exclusiva</w:t>
      </w:r>
    </w:p>
    <w:p w14:paraId="479C9CB6" w14:textId="77777777" w:rsidR="00C01B5D"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El perfil entre 35 y 44 años son los que más apuestan por la obra nueva</w:t>
      </w:r>
    </w:p>
    <w:p w14:paraId="5E34D133" w14:textId="77777777" w:rsidR="00C01B5D" w:rsidRDefault="00C01B5D">
      <w:pPr>
        <w:pBdr>
          <w:top w:val="nil"/>
          <w:left w:val="nil"/>
          <w:bottom w:val="nil"/>
          <w:right w:val="nil"/>
          <w:between w:val="nil"/>
        </w:pBdr>
        <w:spacing w:line="276" w:lineRule="auto"/>
        <w:ind w:left="720" w:right="283"/>
        <w:jc w:val="both"/>
        <w:rPr>
          <w:rFonts w:ascii="Open Sans" w:eastAsia="Open Sans" w:hAnsi="Open Sans" w:cs="Open Sans"/>
          <w:color w:val="303AB2"/>
        </w:rPr>
      </w:pPr>
    </w:p>
    <w:p w14:paraId="2B4A7EA0" w14:textId="77777777" w:rsidR="00C01B5D" w:rsidRDefault="00000000">
      <w:pPr>
        <w:pBdr>
          <w:top w:val="nil"/>
          <w:left w:val="nil"/>
          <w:bottom w:val="nil"/>
          <w:right w:val="nil"/>
          <w:between w:val="nil"/>
        </w:pBdr>
        <w:spacing w:line="276" w:lineRule="auto"/>
        <w:ind w:left="-426"/>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Madrid, 10 de octubre de 2024</w:t>
      </w:r>
    </w:p>
    <w:p w14:paraId="63E88595" w14:textId="77777777" w:rsidR="00C01B5D" w:rsidRDefault="00C01B5D">
      <w:pPr>
        <w:pBdr>
          <w:top w:val="nil"/>
          <w:left w:val="nil"/>
          <w:bottom w:val="nil"/>
          <w:right w:val="nil"/>
          <w:between w:val="nil"/>
        </w:pBdr>
        <w:spacing w:line="276" w:lineRule="auto"/>
        <w:ind w:left="-426"/>
        <w:jc w:val="both"/>
        <w:rPr>
          <w:rFonts w:ascii="Open Sans" w:eastAsia="Open Sans" w:hAnsi="Open Sans" w:cs="Open Sans"/>
        </w:rPr>
      </w:pPr>
    </w:p>
    <w:p w14:paraId="6A598D94" w14:textId="77777777" w:rsidR="00C01B5D" w:rsidRDefault="00000000">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t xml:space="preserve">El 65% de los particulares que han comprado una vivienda en los últimos doce meses ha considerado la opción de adquirir un inmueble de nueva construcción. Este porcentaje repunta levemente respecto al 2023, cuando alcanzó el 64%, con lo que aumenta la distancia con el dato de 2021, cuando eran un 61%. Es la principal conclusión que se extrae del análisis </w:t>
      </w:r>
      <w:r w:rsidRPr="009173E4">
        <w:rPr>
          <w:rFonts w:ascii="Open Sans" w:eastAsia="Open Sans" w:hAnsi="Open Sans" w:cs="Open Sans"/>
          <w:b/>
          <w:i/>
          <w:iCs/>
          <w:sz w:val="22"/>
          <w:szCs w:val="22"/>
        </w:rPr>
        <w:t>“La vivienda de obra nueva en 2024</w:t>
      </w:r>
      <w:r w:rsidRPr="009173E4">
        <w:rPr>
          <w:rFonts w:ascii="Open Sans" w:eastAsia="Open Sans" w:hAnsi="Open Sans" w:cs="Open Sans"/>
          <w:i/>
          <w:iCs/>
          <w:sz w:val="22"/>
          <w:szCs w:val="22"/>
        </w:rPr>
        <w:t>”</w:t>
      </w:r>
      <w:r>
        <w:rPr>
          <w:rFonts w:ascii="Open Sans" w:eastAsia="Open Sans" w:hAnsi="Open Sans" w:cs="Open Sans"/>
          <w:sz w:val="22"/>
          <w:szCs w:val="22"/>
        </w:rPr>
        <w:t xml:space="preserve"> que elabora </w:t>
      </w:r>
      <w:r>
        <w:rPr>
          <w:rFonts w:ascii="Open Sans" w:eastAsia="Open Sans" w:hAnsi="Open Sans" w:cs="Open Sans"/>
          <w:b/>
          <w:sz w:val="22"/>
          <w:szCs w:val="22"/>
        </w:rPr>
        <w:t xml:space="preserve">Fotocasa </w:t>
      </w:r>
      <w:proofErr w:type="spellStart"/>
      <w:r>
        <w:rPr>
          <w:rFonts w:ascii="Open Sans" w:eastAsia="Open Sans" w:hAnsi="Open Sans" w:cs="Open Sans"/>
          <w:b/>
          <w:sz w:val="22"/>
          <w:szCs w:val="22"/>
        </w:rPr>
        <w:t>Research</w:t>
      </w:r>
      <w:proofErr w:type="spellEnd"/>
      <w:r>
        <w:rPr>
          <w:rFonts w:ascii="Open Sans" w:eastAsia="Open Sans" w:hAnsi="Open Sans" w:cs="Open Sans"/>
          <w:sz w:val="22"/>
          <w:szCs w:val="22"/>
        </w:rPr>
        <w:t xml:space="preserve"> cada año. </w:t>
      </w:r>
    </w:p>
    <w:p w14:paraId="0899488D" w14:textId="77777777" w:rsidR="00C01B5D" w:rsidRDefault="00C01B5D">
      <w:pPr>
        <w:spacing w:line="276" w:lineRule="auto"/>
        <w:ind w:left="-426" w:right="4"/>
        <w:jc w:val="both"/>
        <w:rPr>
          <w:rFonts w:ascii="Open Sans" w:eastAsia="Open Sans" w:hAnsi="Open Sans" w:cs="Open Sans"/>
          <w:sz w:val="22"/>
          <w:szCs w:val="22"/>
        </w:rPr>
      </w:pPr>
    </w:p>
    <w:p w14:paraId="7B80FE45" w14:textId="77777777" w:rsidR="00C01B5D" w:rsidRDefault="00000000">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t xml:space="preserve">Por su parte, </w:t>
      </w:r>
      <w:r w:rsidRPr="009173E4">
        <w:rPr>
          <w:rFonts w:ascii="Open Sans" w:eastAsia="Open Sans" w:hAnsi="Open Sans" w:cs="Open Sans"/>
          <w:b/>
          <w:bCs/>
          <w:sz w:val="22"/>
          <w:szCs w:val="22"/>
        </w:rPr>
        <w:t>los que buscan vivienda indistintamente en obra nueva o en inmuebles de segunda mano constituyen el 45%</w:t>
      </w:r>
      <w:r>
        <w:rPr>
          <w:rFonts w:ascii="Open Sans" w:eastAsia="Open Sans" w:hAnsi="Open Sans" w:cs="Open Sans"/>
          <w:sz w:val="22"/>
          <w:szCs w:val="22"/>
        </w:rPr>
        <w:t>, también un punto porcentual más que la cifra del año anterior y cinco puntos porcentuales superior aún al de 2021, cuando era el 40%, pero todavía muy inferior al 49% alcanzado en 2022.</w:t>
      </w:r>
    </w:p>
    <w:p w14:paraId="1EA78DFC" w14:textId="77777777" w:rsidR="00C01B5D" w:rsidRDefault="00C01B5D">
      <w:pPr>
        <w:spacing w:line="276" w:lineRule="auto"/>
        <w:ind w:left="-426" w:right="4"/>
        <w:jc w:val="both"/>
        <w:rPr>
          <w:rFonts w:ascii="Open Sans" w:eastAsia="Open Sans" w:hAnsi="Open Sans" w:cs="Open Sans"/>
          <w:sz w:val="22"/>
          <w:szCs w:val="22"/>
        </w:rPr>
      </w:pPr>
    </w:p>
    <w:p w14:paraId="1CFECC33" w14:textId="77777777" w:rsidR="00C01B5D" w:rsidRDefault="00000000">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t xml:space="preserve">Las cifras de 2024 también dejan el porcentaje de </w:t>
      </w:r>
      <w:r w:rsidRPr="009173E4">
        <w:rPr>
          <w:rFonts w:ascii="Open Sans" w:eastAsia="Open Sans" w:hAnsi="Open Sans" w:cs="Open Sans"/>
          <w:b/>
          <w:bCs/>
          <w:sz w:val="22"/>
          <w:szCs w:val="22"/>
        </w:rPr>
        <w:t xml:space="preserve">los compradores que contemplan adquirir exclusivamente obra nueva en el mismo 20% </w:t>
      </w:r>
      <w:r>
        <w:rPr>
          <w:rFonts w:ascii="Open Sans" w:eastAsia="Open Sans" w:hAnsi="Open Sans" w:cs="Open Sans"/>
          <w:sz w:val="22"/>
          <w:szCs w:val="22"/>
        </w:rPr>
        <w:t>del año anterior, después de que en 2022 fueran únicamente el 16%.</w:t>
      </w:r>
    </w:p>
    <w:p w14:paraId="75EC7739" w14:textId="77777777" w:rsidR="00C01B5D" w:rsidRDefault="00C01B5D">
      <w:pPr>
        <w:spacing w:line="276" w:lineRule="auto"/>
        <w:ind w:left="-426" w:right="4"/>
        <w:jc w:val="both"/>
        <w:rPr>
          <w:rFonts w:ascii="Open Sans" w:eastAsia="Open Sans" w:hAnsi="Open Sans" w:cs="Open Sans"/>
          <w:sz w:val="22"/>
          <w:szCs w:val="22"/>
        </w:rPr>
      </w:pPr>
    </w:p>
    <w:p w14:paraId="0BA6B67A" w14:textId="77777777" w:rsidR="00C01B5D" w:rsidRDefault="00C01B5D">
      <w:pPr>
        <w:spacing w:line="276" w:lineRule="auto"/>
        <w:ind w:left="-426" w:right="4"/>
        <w:jc w:val="both"/>
        <w:rPr>
          <w:rFonts w:ascii="Open Sans" w:eastAsia="Open Sans" w:hAnsi="Open Sans" w:cs="Open Sans"/>
          <w:sz w:val="22"/>
          <w:szCs w:val="22"/>
        </w:rPr>
      </w:pPr>
    </w:p>
    <w:p w14:paraId="15B32809" w14:textId="77777777" w:rsidR="00C01B5D" w:rsidRDefault="00C01B5D">
      <w:pPr>
        <w:spacing w:line="276" w:lineRule="auto"/>
        <w:ind w:left="-426" w:right="4"/>
        <w:jc w:val="both"/>
        <w:rPr>
          <w:rFonts w:ascii="Open Sans" w:eastAsia="Open Sans" w:hAnsi="Open Sans" w:cs="Open Sans"/>
          <w:sz w:val="22"/>
          <w:szCs w:val="22"/>
        </w:rPr>
      </w:pPr>
    </w:p>
    <w:p w14:paraId="1513A036" w14:textId="77777777" w:rsidR="00C01B5D" w:rsidRDefault="00000000">
      <w:pPr>
        <w:spacing w:line="276" w:lineRule="auto"/>
        <w:ind w:left="-426" w:right="4"/>
        <w:jc w:val="both"/>
        <w:rPr>
          <w:rFonts w:ascii="Open Sans" w:eastAsia="Open Sans" w:hAnsi="Open Sans" w:cs="Open Sans"/>
          <w:sz w:val="22"/>
          <w:szCs w:val="22"/>
        </w:rPr>
      </w:pPr>
      <w:r>
        <w:rPr>
          <w:rFonts w:ascii="Open Sans" w:eastAsia="Open Sans" w:hAnsi="Open Sans" w:cs="Open Sans"/>
          <w:noProof/>
          <w:sz w:val="22"/>
          <w:szCs w:val="22"/>
        </w:rPr>
        <w:lastRenderedPageBreak/>
        <w:drawing>
          <wp:inline distT="0" distB="0" distL="0" distR="0" wp14:anchorId="437798BE" wp14:editId="5E2B805F">
            <wp:extent cx="5989548" cy="3592937"/>
            <wp:effectExtent l="0" t="0" r="0" b="0"/>
            <wp:docPr id="2093790231" name="image7.jp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jpg" descr="Gráfico, Gráfico de barras&#10;&#10;Descripción generada automáticamente"/>
                    <pic:cNvPicPr preferRelativeResize="0"/>
                  </pic:nvPicPr>
                  <pic:blipFill>
                    <a:blip r:embed="rId9"/>
                    <a:srcRect/>
                    <a:stretch>
                      <a:fillRect/>
                    </a:stretch>
                  </pic:blipFill>
                  <pic:spPr>
                    <a:xfrm>
                      <a:off x="0" y="0"/>
                      <a:ext cx="5989548" cy="3592937"/>
                    </a:xfrm>
                    <a:prstGeom prst="rect">
                      <a:avLst/>
                    </a:prstGeom>
                    <a:ln/>
                  </pic:spPr>
                </pic:pic>
              </a:graphicData>
            </a:graphic>
          </wp:inline>
        </w:drawing>
      </w:r>
    </w:p>
    <w:p w14:paraId="40E25C49" w14:textId="77777777" w:rsidR="009173E4" w:rsidRDefault="009173E4">
      <w:pPr>
        <w:spacing w:line="276" w:lineRule="auto"/>
        <w:ind w:left="-426" w:right="4"/>
        <w:jc w:val="both"/>
        <w:rPr>
          <w:rFonts w:ascii="Open Sans" w:eastAsia="Open Sans" w:hAnsi="Open Sans" w:cs="Open Sans"/>
          <w:sz w:val="22"/>
          <w:szCs w:val="22"/>
        </w:rPr>
      </w:pPr>
    </w:p>
    <w:p w14:paraId="2CF60146" w14:textId="1F32E9BC" w:rsidR="00C01B5D" w:rsidRPr="009173E4" w:rsidRDefault="00000000">
      <w:pPr>
        <w:spacing w:line="276" w:lineRule="auto"/>
        <w:ind w:left="-426" w:right="4"/>
        <w:jc w:val="both"/>
        <w:rPr>
          <w:rFonts w:ascii="Open Sans" w:eastAsia="Open Sans" w:hAnsi="Open Sans" w:cs="Open Sans"/>
          <w:b/>
          <w:bCs/>
          <w:sz w:val="22"/>
          <w:szCs w:val="22"/>
        </w:rPr>
      </w:pPr>
      <w:r>
        <w:rPr>
          <w:rFonts w:ascii="Open Sans" w:eastAsia="Open Sans" w:hAnsi="Open Sans" w:cs="Open Sans"/>
          <w:sz w:val="22"/>
          <w:szCs w:val="22"/>
        </w:rPr>
        <w:t xml:space="preserve">“Aumenta el interés por comprar vivienda a estrenar. Algo lógico al tener en cuenta que la obra nueva cumple con todos los requisitos de confort, zonas verdes y comunes o sostenibilidad, que en estos momentos son los más buscados por los compradores. Aunque el precio sigue siendo el principal motivo que lleva a estos demandantes a desechar la idea de adquirir una vivienda nueva, el porcentaje de quienes se decantan por esta tipología va en aumento. En estos momentos, la industria atraviesa una etapa complicada para poder ajustar el precio de la obra nueva, ya que la escasez y precio del suelo, la excesiva burocracia, el aumento del coste de los materiales o la falta de mano de obra en este sector hacen que producir vivienda nueva sea difícil. El mercado necesitaría construir una vivienda por cada 4 habitantes, sin embargo, tan solo se llegan a las 100.000 unidades anuales”, </w:t>
      </w:r>
      <w:r w:rsidRPr="009173E4">
        <w:rPr>
          <w:rFonts w:ascii="Open Sans" w:eastAsia="Open Sans" w:hAnsi="Open Sans" w:cs="Open Sans"/>
          <w:b/>
          <w:bCs/>
          <w:sz w:val="22"/>
          <w:szCs w:val="22"/>
        </w:rPr>
        <w:t xml:space="preserve">explica María Matos, directora de Estudios y portavoz de </w:t>
      </w:r>
      <w:hyperlink r:id="rId10" w:history="1">
        <w:r w:rsidRPr="009173E4">
          <w:rPr>
            <w:rStyle w:val="Hipervnculo"/>
            <w:rFonts w:ascii="Open Sans" w:eastAsia="Open Sans" w:hAnsi="Open Sans" w:cs="Open Sans"/>
            <w:b/>
            <w:bCs/>
            <w:sz w:val="22"/>
            <w:szCs w:val="22"/>
          </w:rPr>
          <w:t>Fotocasa</w:t>
        </w:r>
      </w:hyperlink>
      <w:r w:rsidRPr="009173E4">
        <w:rPr>
          <w:rFonts w:ascii="Open Sans" w:eastAsia="Open Sans" w:hAnsi="Open Sans" w:cs="Open Sans"/>
          <w:b/>
          <w:bCs/>
          <w:sz w:val="22"/>
          <w:szCs w:val="22"/>
        </w:rPr>
        <w:t xml:space="preserve">. </w:t>
      </w:r>
    </w:p>
    <w:p w14:paraId="749BA31B" w14:textId="77777777" w:rsidR="00C01B5D" w:rsidRDefault="00C01B5D">
      <w:pPr>
        <w:spacing w:line="276" w:lineRule="auto"/>
        <w:ind w:left="-426" w:right="4"/>
        <w:jc w:val="both"/>
        <w:rPr>
          <w:rFonts w:ascii="Open Sans" w:eastAsia="Open Sans" w:hAnsi="Open Sans" w:cs="Open Sans"/>
          <w:sz w:val="22"/>
          <w:szCs w:val="22"/>
        </w:rPr>
      </w:pPr>
    </w:p>
    <w:p w14:paraId="11CD4A5B" w14:textId="77777777" w:rsidR="00C01B5D" w:rsidRDefault="00000000">
      <w:pPr>
        <w:spacing w:line="276" w:lineRule="auto"/>
        <w:ind w:left="-426" w:right="4"/>
        <w:jc w:val="both"/>
        <w:rPr>
          <w:rFonts w:ascii="Open Sans" w:eastAsia="Open Sans" w:hAnsi="Open Sans" w:cs="Open Sans"/>
          <w:b/>
          <w:sz w:val="22"/>
          <w:szCs w:val="22"/>
        </w:rPr>
      </w:pPr>
      <w:r>
        <w:rPr>
          <w:rFonts w:ascii="Open Sans" w:eastAsia="Open Sans" w:hAnsi="Open Sans" w:cs="Open Sans"/>
          <w:sz w:val="22"/>
          <w:szCs w:val="22"/>
        </w:rPr>
        <w:t xml:space="preserve">Dado que el interés por adquirir obra nueva se mantiene, e incluso repunta levemente, la compra efectiva de este tipo de inmuebles también repite porcentaje: de este modo, finalmente </w:t>
      </w:r>
      <w:r>
        <w:rPr>
          <w:rFonts w:ascii="Open Sans" w:eastAsia="Open Sans" w:hAnsi="Open Sans" w:cs="Open Sans"/>
          <w:b/>
          <w:sz w:val="22"/>
          <w:szCs w:val="22"/>
        </w:rPr>
        <w:t>un 31% de los compradores de vivienda en los últimos doce meses adquirió obra nueva.</w:t>
      </w:r>
    </w:p>
    <w:p w14:paraId="0BAA4F2B" w14:textId="77777777" w:rsidR="00C01B5D" w:rsidRDefault="00C01B5D">
      <w:pPr>
        <w:spacing w:line="276" w:lineRule="auto"/>
        <w:ind w:left="-426" w:right="4"/>
        <w:jc w:val="both"/>
        <w:rPr>
          <w:rFonts w:ascii="Open Sans" w:eastAsia="Open Sans" w:hAnsi="Open Sans" w:cs="Open Sans"/>
          <w:b/>
          <w:sz w:val="22"/>
          <w:szCs w:val="22"/>
        </w:rPr>
      </w:pPr>
    </w:p>
    <w:p w14:paraId="1FABCA63" w14:textId="77777777" w:rsidR="00C01B5D" w:rsidRDefault="00000000">
      <w:pPr>
        <w:spacing w:line="276" w:lineRule="auto"/>
        <w:ind w:left="-426" w:right="4"/>
        <w:jc w:val="both"/>
        <w:rPr>
          <w:rFonts w:ascii="Open Sans" w:eastAsia="Open Sans" w:hAnsi="Open Sans" w:cs="Open Sans"/>
          <w:b/>
          <w:sz w:val="22"/>
          <w:szCs w:val="22"/>
        </w:rPr>
      </w:pPr>
      <w:r>
        <w:rPr>
          <w:rFonts w:ascii="Open Sans" w:eastAsia="Open Sans" w:hAnsi="Open Sans" w:cs="Open Sans"/>
          <w:sz w:val="22"/>
          <w:szCs w:val="22"/>
        </w:rPr>
        <w:t xml:space="preserve">Cabe recordar que en 2022 este porcentaje se quedó en el 27%. Y, si retrocedemos hasta el 2021 y el 2020 fueron el 30% y el 32% respectivamente. Puede afirmarse, por tanto, que en 2024 se sigue registrando casi el mismo porcentaje en que se encontraba el mercado al inicio de la crisis sanitaria derivada de la covid-19. Sin embargo, </w:t>
      </w:r>
      <w:r>
        <w:rPr>
          <w:rFonts w:ascii="Open Sans" w:eastAsia="Open Sans" w:hAnsi="Open Sans" w:cs="Open Sans"/>
          <w:b/>
          <w:sz w:val="22"/>
          <w:szCs w:val="22"/>
        </w:rPr>
        <w:t>queda todavía muy lejos del 37% recogido en 2019.</w:t>
      </w:r>
    </w:p>
    <w:p w14:paraId="1C80006C" w14:textId="77777777" w:rsidR="00C01B5D" w:rsidRDefault="00C01B5D">
      <w:pPr>
        <w:spacing w:line="276" w:lineRule="auto"/>
        <w:ind w:left="-426" w:right="4"/>
        <w:jc w:val="both"/>
        <w:rPr>
          <w:rFonts w:ascii="Open Sans" w:eastAsia="Open Sans" w:hAnsi="Open Sans" w:cs="Open Sans"/>
          <w:sz w:val="22"/>
          <w:szCs w:val="22"/>
        </w:rPr>
      </w:pPr>
    </w:p>
    <w:p w14:paraId="759CFB82" w14:textId="77777777" w:rsidR="00C01B5D" w:rsidRDefault="00000000">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lastRenderedPageBreak/>
        <w:t>Y es que la participación de particulares en el segmento de obra nueva permanece este año estable debido a un doble motivo: por un lado, como se ha dicho, se mantiene la consideración de los que solo se plantean obra nueva (20%). Y, por otro lado, aumenta ligeramente la predisposición de aquellos que compran tanto obra nueva como segunda mano.</w:t>
      </w:r>
    </w:p>
    <w:p w14:paraId="5B0C6C24" w14:textId="77777777" w:rsidR="00C01B5D" w:rsidRDefault="00000000">
      <w:pPr>
        <w:spacing w:line="276" w:lineRule="auto"/>
        <w:ind w:left="-426" w:right="4"/>
        <w:jc w:val="center"/>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45E8A410" wp14:editId="1A55AC1E">
            <wp:extent cx="6065520" cy="3733800"/>
            <wp:effectExtent l="0" t="0" r="0" b="0"/>
            <wp:docPr id="2093790230" name="image5.jp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Gráfico, Gráfico de barras&#10;&#10;Descripción generada automáticamente"/>
                    <pic:cNvPicPr preferRelativeResize="0"/>
                  </pic:nvPicPr>
                  <pic:blipFill>
                    <a:blip r:embed="rId11"/>
                    <a:srcRect/>
                    <a:stretch>
                      <a:fillRect/>
                    </a:stretch>
                  </pic:blipFill>
                  <pic:spPr>
                    <a:xfrm>
                      <a:off x="0" y="0"/>
                      <a:ext cx="6066164" cy="3734196"/>
                    </a:xfrm>
                    <a:prstGeom prst="rect">
                      <a:avLst/>
                    </a:prstGeom>
                    <a:ln/>
                  </pic:spPr>
                </pic:pic>
              </a:graphicData>
            </a:graphic>
          </wp:inline>
        </w:drawing>
      </w:r>
    </w:p>
    <w:p w14:paraId="160C3D1B" w14:textId="77777777" w:rsidR="00370372" w:rsidRDefault="00370372">
      <w:pPr>
        <w:pBdr>
          <w:top w:val="nil"/>
          <w:left w:val="nil"/>
          <w:bottom w:val="nil"/>
          <w:right w:val="nil"/>
          <w:between w:val="nil"/>
        </w:pBdr>
        <w:spacing w:line="276" w:lineRule="auto"/>
        <w:ind w:left="-426"/>
        <w:jc w:val="both"/>
        <w:rPr>
          <w:rFonts w:ascii="Open Sans Light" w:eastAsia="Open Sans Light" w:hAnsi="Open Sans Light" w:cs="Open Sans Light"/>
          <w:b/>
          <w:color w:val="303AB2"/>
        </w:rPr>
      </w:pPr>
    </w:p>
    <w:p w14:paraId="069D8051" w14:textId="27A09519" w:rsidR="00C01B5D" w:rsidRDefault="00000000">
      <w:pPr>
        <w:pBdr>
          <w:top w:val="nil"/>
          <w:left w:val="nil"/>
          <w:bottom w:val="nil"/>
          <w:right w:val="nil"/>
          <w:between w:val="nil"/>
        </w:pBdr>
        <w:spacing w:line="276" w:lineRule="auto"/>
        <w:ind w:left="-426"/>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donde más se demanda en exclusiva obra nueva</w:t>
      </w:r>
    </w:p>
    <w:p w14:paraId="635051BB" w14:textId="77777777" w:rsidR="00C01B5D" w:rsidRDefault="00C01B5D">
      <w:pPr>
        <w:spacing w:line="276" w:lineRule="auto"/>
        <w:ind w:left="-426" w:right="4"/>
        <w:rPr>
          <w:rFonts w:ascii="Open Sans" w:eastAsia="Open Sans" w:hAnsi="Open Sans" w:cs="Open Sans"/>
          <w:sz w:val="22"/>
          <w:szCs w:val="22"/>
        </w:rPr>
      </w:pPr>
    </w:p>
    <w:p w14:paraId="1B5C5684" w14:textId="77777777" w:rsidR="00C01B5D" w:rsidRDefault="00000000">
      <w:pPr>
        <w:spacing w:line="276" w:lineRule="auto"/>
        <w:ind w:left="-426" w:right="4"/>
        <w:jc w:val="both"/>
        <w:rPr>
          <w:rFonts w:ascii="Open Sans" w:eastAsia="Open Sans" w:hAnsi="Open Sans" w:cs="Open Sans"/>
          <w:b/>
          <w:sz w:val="22"/>
          <w:szCs w:val="22"/>
        </w:rPr>
      </w:pPr>
      <w:r>
        <w:rPr>
          <w:rFonts w:ascii="Open Sans" w:eastAsia="Open Sans" w:hAnsi="Open Sans" w:cs="Open Sans"/>
          <w:sz w:val="22"/>
          <w:szCs w:val="22"/>
        </w:rPr>
        <w:t xml:space="preserve">Al considerar la búsqueda por comunidades autónomas, se comprueba que la penetración de obra nueva permanece constante, con un predominio de aquellos que buscan tanto obra nueva como segunda mano. </w:t>
      </w:r>
      <w:r>
        <w:rPr>
          <w:rFonts w:ascii="Open Sans" w:eastAsia="Open Sans" w:hAnsi="Open Sans" w:cs="Open Sans"/>
          <w:b/>
          <w:sz w:val="22"/>
          <w:szCs w:val="22"/>
        </w:rPr>
        <w:t>Madrid es donde se apuesta más por la vivienda de obra nueva de manera exclusiva, aglutinando este aspecto el 22%.</w:t>
      </w:r>
    </w:p>
    <w:p w14:paraId="406FC8CA" w14:textId="77777777" w:rsidR="00C01B5D" w:rsidRDefault="00C01B5D">
      <w:pPr>
        <w:spacing w:line="276" w:lineRule="auto"/>
        <w:ind w:left="-426" w:right="4"/>
        <w:jc w:val="both"/>
        <w:rPr>
          <w:rFonts w:ascii="Open Sans" w:eastAsia="Open Sans" w:hAnsi="Open Sans" w:cs="Open Sans"/>
          <w:sz w:val="22"/>
          <w:szCs w:val="22"/>
        </w:rPr>
      </w:pPr>
    </w:p>
    <w:p w14:paraId="1B76C820" w14:textId="77777777" w:rsidR="00C01B5D" w:rsidRDefault="00000000">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t xml:space="preserve">Por su parte, </w:t>
      </w:r>
      <w:r w:rsidRPr="00370372">
        <w:rPr>
          <w:rFonts w:ascii="Open Sans" w:eastAsia="Open Sans" w:hAnsi="Open Sans" w:cs="Open Sans"/>
          <w:b/>
          <w:bCs/>
          <w:sz w:val="22"/>
          <w:szCs w:val="22"/>
        </w:rPr>
        <w:t>la Comunidad Valenciana</w:t>
      </w:r>
      <w:r>
        <w:rPr>
          <w:rFonts w:ascii="Open Sans" w:eastAsia="Open Sans" w:hAnsi="Open Sans" w:cs="Open Sans"/>
          <w:sz w:val="22"/>
          <w:szCs w:val="22"/>
        </w:rPr>
        <w:t xml:space="preserve"> es el territorio donde se registra un porcentaje más alto de consideración conjunta de la opción exclusiva de obra nueva (18%) y simultaneándola con la segunda mano (52%): un 69%.</w:t>
      </w:r>
    </w:p>
    <w:p w14:paraId="36E825D4" w14:textId="77777777" w:rsidR="00C01B5D" w:rsidRDefault="00C01B5D">
      <w:pPr>
        <w:spacing w:line="276" w:lineRule="auto"/>
        <w:ind w:left="-426" w:right="4"/>
        <w:jc w:val="both"/>
        <w:rPr>
          <w:rFonts w:ascii="Open Sans" w:eastAsia="Open Sans" w:hAnsi="Open Sans" w:cs="Open Sans"/>
          <w:sz w:val="22"/>
          <w:szCs w:val="22"/>
        </w:rPr>
      </w:pPr>
    </w:p>
    <w:p w14:paraId="3FB21BD1" w14:textId="77777777" w:rsidR="00370372" w:rsidRDefault="00370372" w:rsidP="00370372">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t xml:space="preserve">Llama la atención, en el otro polo, </w:t>
      </w:r>
      <w:r w:rsidRPr="00370372">
        <w:rPr>
          <w:rFonts w:ascii="Open Sans" w:eastAsia="Open Sans" w:hAnsi="Open Sans" w:cs="Open Sans"/>
          <w:b/>
          <w:bCs/>
          <w:sz w:val="22"/>
          <w:szCs w:val="22"/>
        </w:rPr>
        <w:t>el descenso que se aprecia en Andalucía</w:t>
      </w:r>
      <w:r>
        <w:rPr>
          <w:rFonts w:ascii="Open Sans" w:eastAsia="Open Sans" w:hAnsi="Open Sans" w:cs="Open Sans"/>
          <w:sz w:val="22"/>
          <w:szCs w:val="22"/>
        </w:rPr>
        <w:t>, que ha pasado de liderar la consideración conjunta de obra nueva en 2023, con el 72%, a quedarse doce meses después en el 62%, lo que supone un retroceso de diez puntos porcentuales. Esta pérdida se debe, fundamentalmente, a la disminución del porcentaje de los que únicamente contempla obra nueva, que pasa del 24% al 16%.</w:t>
      </w:r>
    </w:p>
    <w:p w14:paraId="33487199" w14:textId="235DD445" w:rsidR="00370372" w:rsidRPr="00370372" w:rsidRDefault="00370372" w:rsidP="00370372">
      <w:pPr>
        <w:spacing w:line="276" w:lineRule="auto"/>
        <w:ind w:left="-426" w:right="4"/>
        <w:rPr>
          <w:rFonts w:ascii="Open Sans" w:eastAsia="Open Sans" w:hAnsi="Open Sans" w:cs="Open Sans"/>
          <w:sz w:val="22"/>
          <w:szCs w:val="22"/>
          <w:lang w:val="es-ES"/>
        </w:rPr>
      </w:pPr>
      <w:r w:rsidRPr="00370372">
        <w:rPr>
          <w:rFonts w:ascii="Open Sans" w:eastAsia="Open Sans" w:hAnsi="Open Sans" w:cs="Open Sans"/>
          <w:sz w:val="22"/>
          <w:szCs w:val="22"/>
          <w:lang w:val="es-ES"/>
        </w:rPr>
        <w:lastRenderedPageBreak/>
        <w:drawing>
          <wp:inline distT="0" distB="0" distL="0" distR="0" wp14:anchorId="0ABA973B" wp14:editId="65FCFCB5">
            <wp:extent cx="6149340" cy="9101321"/>
            <wp:effectExtent l="0" t="0" r="3810" b="5080"/>
            <wp:docPr id="477031026"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31026" name="Imagen 2" descr="Interfaz de usuario gráfica, Aplicación&#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5831" cy="9110928"/>
                    </a:xfrm>
                    <a:prstGeom prst="rect">
                      <a:avLst/>
                    </a:prstGeom>
                    <a:noFill/>
                    <a:ln>
                      <a:noFill/>
                    </a:ln>
                  </pic:spPr>
                </pic:pic>
              </a:graphicData>
            </a:graphic>
          </wp:inline>
        </w:drawing>
      </w:r>
    </w:p>
    <w:p w14:paraId="303DE74F" w14:textId="77777777" w:rsidR="00C01B5D" w:rsidRDefault="00000000">
      <w:pPr>
        <w:pBdr>
          <w:top w:val="nil"/>
          <w:left w:val="nil"/>
          <w:bottom w:val="nil"/>
          <w:right w:val="nil"/>
          <w:between w:val="nil"/>
        </w:pBdr>
        <w:spacing w:line="276" w:lineRule="auto"/>
        <w:ind w:left="-426"/>
        <w:jc w:val="both"/>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Quienes tienen entre 35 y 44 años, los que más apuestan por la obra nueva</w:t>
      </w:r>
    </w:p>
    <w:p w14:paraId="51DF98C4" w14:textId="77777777" w:rsidR="00C01B5D" w:rsidRDefault="00C01B5D">
      <w:pPr>
        <w:spacing w:line="276" w:lineRule="auto"/>
        <w:ind w:left="-426" w:right="4"/>
        <w:jc w:val="both"/>
        <w:rPr>
          <w:rFonts w:ascii="Open Sans" w:eastAsia="Open Sans" w:hAnsi="Open Sans" w:cs="Open Sans"/>
          <w:sz w:val="22"/>
          <w:szCs w:val="22"/>
        </w:rPr>
      </w:pPr>
    </w:p>
    <w:p w14:paraId="09F47398" w14:textId="77777777" w:rsidR="00C01B5D" w:rsidRDefault="00000000">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t>Cuando se pone el foco de la compra de obra nueva en los grupos por edad, vemos que, un año más, son las personas entre los 35 y los 44 años los que más predisposición muestran, en un 73% de los casos, cinco puntos porcentuales más que el año anterior. Les siguen los del grupo inmediatamente más joven, entre los 25 y los 34 años, con un 63% de valoración, en este caso dos puntos por debajo que en 2023.</w:t>
      </w:r>
    </w:p>
    <w:p w14:paraId="2F2FD96F" w14:textId="77777777" w:rsidR="00370372" w:rsidRDefault="00370372">
      <w:pPr>
        <w:spacing w:line="276" w:lineRule="auto"/>
        <w:ind w:left="-426" w:right="4"/>
        <w:jc w:val="both"/>
        <w:rPr>
          <w:rFonts w:ascii="Open Sans" w:eastAsia="Open Sans" w:hAnsi="Open Sans" w:cs="Open Sans"/>
          <w:sz w:val="22"/>
          <w:szCs w:val="22"/>
        </w:rPr>
      </w:pPr>
    </w:p>
    <w:p w14:paraId="1CCF203C" w14:textId="5ED71E1E" w:rsidR="00370372" w:rsidRDefault="00370372">
      <w:pPr>
        <w:spacing w:line="276" w:lineRule="auto"/>
        <w:ind w:left="-426" w:right="4"/>
        <w:jc w:val="both"/>
        <w:rPr>
          <w:rFonts w:ascii="Open Sans" w:eastAsia="Open Sans" w:hAnsi="Open Sans" w:cs="Open Sans"/>
          <w:sz w:val="22"/>
          <w:szCs w:val="22"/>
        </w:rPr>
      </w:pPr>
      <w:r>
        <w:rPr>
          <w:noProof/>
        </w:rPr>
        <w:drawing>
          <wp:inline distT="0" distB="0" distL="0" distR="0" wp14:anchorId="7DAB3DC3" wp14:editId="1BB7A29A">
            <wp:extent cx="6073140" cy="6680990"/>
            <wp:effectExtent l="0" t="0" r="3810" b="5715"/>
            <wp:docPr id="1596402822"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02822" name="Imagen 1" descr="Interfaz de usuario gráfica&#10;&#10;Descripción generada automáticamente"/>
                    <pic:cNvPicPr/>
                  </pic:nvPicPr>
                  <pic:blipFill>
                    <a:blip r:embed="rId13"/>
                    <a:stretch>
                      <a:fillRect/>
                    </a:stretch>
                  </pic:blipFill>
                  <pic:spPr>
                    <a:xfrm>
                      <a:off x="0" y="0"/>
                      <a:ext cx="6075850" cy="6683971"/>
                    </a:xfrm>
                    <a:prstGeom prst="rect">
                      <a:avLst/>
                    </a:prstGeom>
                  </pic:spPr>
                </pic:pic>
              </a:graphicData>
            </a:graphic>
          </wp:inline>
        </w:drawing>
      </w:r>
    </w:p>
    <w:p w14:paraId="3313CA52" w14:textId="77777777" w:rsidR="00370372" w:rsidRDefault="00370372">
      <w:pPr>
        <w:spacing w:line="276" w:lineRule="auto"/>
        <w:ind w:left="-426" w:right="4"/>
        <w:jc w:val="both"/>
        <w:rPr>
          <w:rFonts w:ascii="Open Sans" w:eastAsia="Open Sans" w:hAnsi="Open Sans" w:cs="Open Sans"/>
          <w:sz w:val="22"/>
          <w:szCs w:val="22"/>
        </w:rPr>
      </w:pPr>
    </w:p>
    <w:p w14:paraId="070E7EE9" w14:textId="77777777" w:rsidR="00370372" w:rsidRDefault="00370372">
      <w:pPr>
        <w:spacing w:line="276" w:lineRule="auto"/>
        <w:ind w:left="-426" w:right="4"/>
        <w:jc w:val="both"/>
        <w:rPr>
          <w:rFonts w:ascii="Open Sans" w:eastAsia="Open Sans" w:hAnsi="Open Sans" w:cs="Open Sans"/>
          <w:sz w:val="22"/>
          <w:szCs w:val="22"/>
        </w:rPr>
      </w:pPr>
    </w:p>
    <w:p w14:paraId="4E74D132" w14:textId="22A3D554" w:rsidR="00370372" w:rsidRDefault="00370372">
      <w:pPr>
        <w:spacing w:line="276" w:lineRule="auto"/>
        <w:ind w:left="-426" w:right="4"/>
        <w:jc w:val="both"/>
        <w:rPr>
          <w:rFonts w:ascii="Open Sans" w:eastAsia="Open Sans" w:hAnsi="Open Sans" w:cs="Open Sans"/>
          <w:sz w:val="22"/>
          <w:szCs w:val="22"/>
        </w:rPr>
      </w:pPr>
      <w:r>
        <w:rPr>
          <w:noProof/>
        </w:rPr>
        <w:lastRenderedPageBreak/>
        <w:drawing>
          <wp:inline distT="0" distB="0" distL="0" distR="0" wp14:anchorId="023BB8EF" wp14:editId="6BD1CB53">
            <wp:extent cx="6088380" cy="2237508"/>
            <wp:effectExtent l="0" t="0" r="7620" b="0"/>
            <wp:docPr id="114356736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67360" name="Imagen 1" descr="Tabla&#10;&#10;Descripción generada automáticamente"/>
                    <pic:cNvPicPr/>
                  </pic:nvPicPr>
                  <pic:blipFill>
                    <a:blip r:embed="rId14"/>
                    <a:stretch>
                      <a:fillRect/>
                    </a:stretch>
                  </pic:blipFill>
                  <pic:spPr>
                    <a:xfrm>
                      <a:off x="0" y="0"/>
                      <a:ext cx="6127559" cy="2251907"/>
                    </a:xfrm>
                    <a:prstGeom prst="rect">
                      <a:avLst/>
                    </a:prstGeom>
                  </pic:spPr>
                </pic:pic>
              </a:graphicData>
            </a:graphic>
          </wp:inline>
        </w:drawing>
      </w:r>
    </w:p>
    <w:p w14:paraId="02034046" w14:textId="6EE59F05" w:rsidR="00C01B5D" w:rsidRDefault="00C01B5D">
      <w:pPr>
        <w:spacing w:line="276" w:lineRule="auto"/>
        <w:ind w:left="-426" w:right="4"/>
        <w:jc w:val="both"/>
        <w:rPr>
          <w:rFonts w:ascii="Open Sans" w:eastAsia="Open Sans" w:hAnsi="Open Sans" w:cs="Open Sans"/>
          <w:sz w:val="22"/>
          <w:szCs w:val="22"/>
        </w:rPr>
      </w:pPr>
    </w:p>
    <w:p w14:paraId="51C57DCB" w14:textId="77777777" w:rsidR="00C01B5D" w:rsidRDefault="00C01B5D">
      <w:pPr>
        <w:spacing w:line="276" w:lineRule="auto"/>
        <w:ind w:left="-426" w:right="4"/>
        <w:jc w:val="both"/>
      </w:pPr>
      <w:bookmarkStart w:id="0" w:name="_heading=h.ioar11cnmj7v" w:colFirst="0" w:colLast="0"/>
      <w:bookmarkEnd w:id="0"/>
    </w:p>
    <w:p w14:paraId="2077AFB7" w14:textId="77777777" w:rsidR="00C01B5D" w:rsidRDefault="00000000">
      <w:pPr>
        <w:spacing w:line="276" w:lineRule="auto"/>
        <w:ind w:left="-426" w:right="4"/>
        <w:jc w:val="right"/>
        <w:rPr>
          <w:rFonts w:ascii="Open Sans Light" w:eastAsia="Open Sans Light" w:hAnsi="Open Sans Light" w:cs="Open Sans Light"/>
          <w:b/>
          <w:color w:val="303AB2"/>
        </w:rPr>
      </w:pPr>
      <w:bookmarkStart w:id="1" w:name="_heading=h.nimy3c5eed53" w:colFirst="0" w:colLast="0"/>
      <w:bookmarkEnd w:id="1"/>
      <w:r>
        <w:rPr>
          <w:rFonts w:ascii="Open Sans Light" w:eastAsia="Open Sans Light" w:hAnsi="Open Sans Light" w:cs="Open Sans Light"/>
          <w:b/>
          <w:color w:val="303AB2"/>
        </w:rPr>
        <w:t>Sobre Fotocasa</w:t>
      </w:r>
    </w:p>
    <w:p w14:paraId="2A9CB73B" w14:textId="77777777" w:rsidR="00C01B5D" w:rsidRDefault="00000000">
      <w:pPr>
        <w:shd w:val="clear" w:color="auto" w:fill="FFFFFF"/>
        <w:spacing w:before="280" w:after="280" w:line="276" w:lineRule="auto"/>
        <w:ind w:left="-426"/>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sidR="00C01B5D">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6">
        <w:r w:rsidR="00C01B5D">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2" w:name="_heading=h.2s8eyo1" w:colFirst="0" w:colLast="0"/>
    <w:bookmarkEnd w:id="2"/>
    <w:p w14:paraId="592E0B4E" w14:textId="77777777" w:rsidR="00C01B5D" w:rsidRDefault="00000000">
      <w:pPr>
        <w:shd w:val="clear" w:color="auto" w:fill="FFFFFF"/>
        <w:spacing w:before="280" w:after="280" w:line="276" w:lineRule="auto"/>
        <w:ind w:left="-426"/>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rsidR="00C01B5D">
        <w:fldChar w:fldCharType="begin"/>
      </w:r>
      <w:r w:rsidR="00C01B5D">
        <w:instrText>HYPERLINK "https://www.adevinta.com/" \h</w:instrText>
      </w:r>
      <w:r w:rsidR="00C01B5D">
        <w:fldChar w:fldCharType="separate"/>
      </w:r>
      <w:r w:rsidR="00C01B5D">
        <w:rPr>
          <w:rFonts w:ascii="Open Sans" w:eastAsia="Open Sans" w:hAnsi="Open Sans" w:cs="Open Sans"/>
          <w:color w:val="0000FF"/>
          <w:sz w:val="22"/>
          <w:szCs w:val="22"/>
          <w:u w:val="single"/>
        </w:rPr>
        <w:t>Adevinta</w:t>
      </w:r>
      <w:proofErr w:type="spellEnd"/>
      <w:r w:rsidR="00C01B5D">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56748401" w14:textId="77777777" w:rsidR="00C01B5D" w:rsidRDefault="00C01B5D">
      <w:pPr>
        <w:shd w:val="clear" w:color="auto" w:fill="FFFFFF"/>
        <w:spacing w:before="280" w:after="280" w:line="276" w:lineRule="auto"/>
        <w:ind w:left="-426"/>
        <w:jc w:val="both"/>
        <w:rPr>
          <w:rFonts w:ascii="Open Sans" w:eastAsia="Open Sans" w:hAnsi="Open Sans" w:cs="Open Sans"/>
          <w:sz w:val="22"/>
          <w:szCs w:val="22"/>
        </w:rPr>
      </w:pPr>
      <w:hyperlink r:id="rId17">
        <w:r>
          <w:rPr>
            <w:rFonts w:ascii="Open Sans" w:eastAsia="Open Sans" w:hAnsi="Open Sans" w:cs="Open Sans"/>
            <w:color w:val="0000FF"/>
            <w:sz w:val="22"/>
            <w:szCs w:val="22"/>
            <w:u w:val="single"/>
          </w:rPr>
          <w:t>Más información sobre Fotocasa</w:t>
        </w:r>
      </w:hyperlink>
      <w:r w:rsidR="00000000">
        <w:rPr>
          <w:rFonts w:ascii="Open Sans" w:eastAsia="Open Sans" w:hAnsi="Open Sans" w:cs="Open Sans"/>
          <w:sz w:val="22"/>
          <w:szCs w:val="22"/>
        </w:rPr>
        <w:t xml:space="preserve">. </w:t>
      </w:r>
    </w:p>
    <w:p w14:paraId="4EF8FDF1" w14:textId="77777777" w:rsidR="00C01B5D" w:rsidRDefault="00C01B5D">
      <w:pPr>
        <w:spacing w:line="276" w:lineRule="auto"/>
        <w:ind w:left="-426"/>
        <w:jc w:val="both"/>
        <w:rPr>
          <w:rFonts w:ascii="Open Sans Light" w:eastAsia="Open Sans Light" w:hAnsi="Open Sans Light" w:cs="Open Sans Light"/>
          <w:b/>
          <w:color w:val="303AB2"/>
        </w:rPr>
      </w:pPr>
    </w:p>
    <w:p w14:paraId="4132EFC0" w14:textId="77777777" w:rsidR="00C01B5D" w:rsidRDefault="00000000">
      <w:pPr>
        <w:spacing w:line="276" w:lineRule="auto"/>
        <w:ind w:left="-42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5A24737D" w14:textId="77777777" w:rsidR="00C01B5D" w:rsidRDefault="00000000">
      <w:pPr>
        <w:spacing w:before="143" w:after="200"/>
        <w:ind w:left="-426"/>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8">
        <w:r w:rsidR="00C01B5D">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proofErr w:type="spellStart"/>
        <w:r w:rsidR="00C01B5D">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0">
        <w:r w:rsidR="00C01B5D">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sidR="00C01B5D">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sidR="00C01B5D">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rsidR="00C01B5D">
        <w:fldChar w:fldCharType="begin"/>
      </w:r>
      <w:r w:rsidR="00C01B5D">
        <w:instrText>HYPERLINK "https://www.milanuncios.com/" \h</w:instrText>
      </w:r>
      <w:r w:rsidR="00C01B5D">
        <w:fldChar w:fldCharType="separate"/>
      </w:r>
      <w:r w:rsidR="00C01B5D">
        <w:rPr>
          <w:rFonts w:ascii="Open Sans" w:eastAsia="Open Sans" w:hAnsi="Open Sans" w:cs="Open Sans"/>
          <w:color w:val="1155CC"/>
          <w:sz w:val="22"/>
          <w:szCs w:val="22"/>
          <w:u w:val="single"/>
        </w:rPr>
        <w:t>Milanuncios</w:t>
      </w:r>
      <w:proofErr w:type="spellEnd"/>
      <w:r w:rsidR="00C01B5D">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436F5AFA" w14:textId="77777777" w:rsidR="00C01B5D" w:rsidRDefault="00000000">
      <w:pPr>
        <w:spacing w:before="143" w:after="200"/>
        <w:ind w:left="-426"/>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2201F71F" w14:textId="77777777" w:rsidR="00C01B5D" w:rsidRDefault="00000000">
      <w:pPr>
        <w:spacing w:before="143" w:after="200"/>
        <w:ind w:left="-426"/>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407232FC" w14:textId="77777777" w:rsidR="00C01B5D" w:rsidRDefault="00000000">
      <w:pPr>
        <w:spacing w:line="276" w:lineRule="auto"/>
        <w:ind w:left="-426"/>
        <w:jc w:val="both"/>
        <w:rPr>
          <w:rFonts w:ascii="Open Sans" w:eastAsia="Open Sans" w:hAnsi="Open Sans" w:cs="Open Sans"/>
        </w:rPr>
      </w:pPr>
      <w:r>
        <w:rPr>
          <w:rFonts w:ascii="Open Sans" w:eastAsia="Open Sans" w:hAnsi="Open Sans" w:cs="Open Sans"/>
          <w:sz w:val="22"/>
          <w:szCs w:val="22"/>
        </w:rPr>
        <w:t xml:space="preserve">Más información en </w:t>
      </w:r>
      <w:hyperlink r:id="rId23">
        <w:r w:rsidR="00C01B5D">
          <w:rPr>
            <w:rFonts w:ascii="Open Sans" w:eastAsia="Open Sans" w:hAnsi="Open Sans" w:cs="Open Sans"/>
            <w:color w:val="1155CC"/>
            <w:sz w:val="22"/>
            <w:szCs w:val="22"/>
            <w:u w:val="single"/>
          </w:rPr>
          <w:t>adevinta.es</w:t>
        </w:r>
      </w:hyperlink>
    </w:p>
    <w:p w14:paraId="781AB566" w14:textId="77777777" w:rsidR="00C01B5D" w:rsidRDefault="00C01B5D">
      <w:pPr>
        <w:spacing w:line="276" w:lineRule="auto"/>
        <w:ind w:left="-426"/>
        <w:jc w:val="both"/>
        <w:rPr>
          <w:rFonts w:ascii="Open Sans" w:eastAsia="Open Sans" w:hAnsi="Open Sans" w:cs="Open Sans"/>
        </w:rPr>
      </w:pPr>
    </w:p>
    <w:p w14:paraId="37E8EAFF" w14:textId="77777777" w:rsidR="00C01B5D" w:rsidRDefault="00000000">
      <w:pPr>
        <w:spacing w:line="276" w:lineRule="auto"/>
        <w:ind w:left="-426"/>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Departamento Comunicación Fotocasa</w:t>
      </w:r>
    </w:p>
    <w:p w14:paraId="7D8C079C" w14:textId="77777777" w:rsidR="00C01B5D" w:rsidRDefault="00000000">
      <w:pPr>
        <w:shd w:val="clear" w:color="auto" w:fill="FFFFFF"/>
        <w:spacing w:line="276" w:lineRule="auto"/>
        <w:ind w:left="-426"/>
        <w:jc w:val="both"/>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00CD6C0" w14:textId="77777777" w:rsidR="00C01B5D" w:rsidRDefault="00C01B5D">
      <w:pPr>
        <w:shd w:val="clear" w:color="auto" w:fill="FFFFFF"/>
        <w:spacing w:line="276" w:lineRule="auto"/>
        <w:ind w:left="-426"/>
        <w:jc w:val="both"/>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07972698" w14:textId="77777777" w:rsidR="00C01B5D" w:rsidRDefault="00000000">
      <w:pPr>
        <w:shd w:val="clear" w:color="auto" w:fill="FFFFFF"/>
        <w:spacing w:line="276" w:lineRule="auto"/>
        <w:ind w:left="-426"/>
        <w:jc w:val="both"/>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4CB05A74" w14:textId="77777777" w:rsidR="00C01B5D" w:rsidRDefault="00C01B5D">
      <w:pPr>
        <w:spacing w:line="276" w:lineRule="auto"/>
        <w:ind w:left="-426"/>
        <w:jc w:val="both"/>
        <w:rPr>
          <w:rFonts w:ascii="Open Sans Light" w:eastAsia="Open Sans Light" w:hAnsi="Open Sans Light" w:cs="Open Sans Light"/>
          <w:b/>
          <w:color w:val="303AB2"/>
          <w:sz w:val="22"/>
          <w:szCs w:val="22"/>
        </w:rPr>
      </w:pPr>
    </w:p>
    <w:p w14:paraId="248AF558" w14:textId="77777777" w:rsidR="00C01B5D" w:rsidRDefault="00C01B5D">
      <w:pPr>
        <w:spacing w:line="276" w:lineRule="auto"/>
        <w:ind w:left="-426"/>
        <w:jc w:val="both"/>
        <w:rPr>
          <w:rFonts w:ascii="Open Sans Light" w:eastAsia="Open Sans Light" w:hAnsi="Open Sans Light" w:cs="Open Sans Light"/>
          <w:b/>
          <w:color w:val="303AB2"/>
          <w:sz w:val="22"/>
          <w:szCs w:val="22"/>
        </w:rPr>
      </w:pPr>
    </w:p>
    <w:p w14:paraId="01F2F322" w14:textId="77777777" w:rsidR="00C01B5D" w:rsidRDefault="00000000">
      <w:pPr>
        <w:ind w:left="-426" w:right="-433"/>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606621BD" w14:textId="77777777" w:rsidR="00C01B5D" w:rsidRDefault="00000000">
      <w:pPr>
        <w:shd w:val="clear" w:color="auto" w:fill="FFFFFF"/>
        <w:ind w:left="-426" w:right="-433"/>
        <w:jc w:val="both"/>
        <w:rPr>
          <w:rFonts w:ascii="Open Sans" w:eastAsia="Open Sans" w:hAnsi="Open Sans" w:cs="Open Sans"/>
          <w:b/>
          <w:sz w:val="22"/>
          <w:szCs w:val="22"/>
        </w:rPr>
      </w:pPr>
      <w:r>
        <w:rPr>
          <w:rFonts w:ascii="Open Sans" w:eastAsia="Open Sans" w:hAnsi="Open Sans" w:cs="Open Sans"/>
          <w:b/>
          <w:sz w:val="22"/>
          <w:szCs w:val="22"/>
        </w:rPr>
        <w:t>Fanny Merino</w:t>
      </w:r>
    </w:p>
    <w:p w14:paraId="492926F4" w14:textId="77777777" w:rsidR="00C01B5D" w:rsidRDefault="00C01B5D">
      <w:pPr>
        <w:shd w:val="clear" w:color="auto" w:fill="FFFFFF"/>
        <w:ind w:left="-426" w:right="-433"/>
        <w:jc w:val="both"/>
        <w:rPr>
          <w:rFonts w:ascii="Open Sans" w:eastAsia="Open Sans" w:hAnsi="Open Sans" w:cs="Open Sans"/>
          <w:b/>
          <w:sz w:val="22"/>
          <w:szCs w:val="22"/>
        </w:rPr>
      </w:pPr>
      <w:hyperlink r:id="rId25">
        <w:r>
          <w:rPr>
            <w:rFonts w:ascii="Open Sans" w:eastAsia="Open Sans" w:hAnsi="Open Sans" w:cs="Open Sans"/>
            <w:color w:val="0000FF"/>
            <w:sz w:val="22"/>
            <w:szCs w:val="22"/>
            <w:u w:val="single"/>
          </w:rPr>
          <w:t>emerino@</w:t>
        </w:r>
      </w:hyperlink>
      <w:r w:rsidR="00000000">
        <w:rPr>
          <w:rFonts w:ascii="Open Sans" w:eastAsia="Open Sans" w:hAnsi="Open Sans" w:cs="Open Sans"/>
          <w:color w:val="0000FF"/>
          <w:sz w:val="22"/>
          <w:szCs w:val="22"/>
          <w:u w:val="single"/>
        </w:rPr>
        <w:t>llyc.global</w:t>
      </w:r>
      <w:r w:rsidR="00000000">
        <w:rPr>
          <w:rFonts w:ascii="Open Sans" w:eastAsia="Open Sans" w:hAnsi="Open Sans" w:cs="Open Sans"/>
          <w:color w:val="0000FF"/>
          <w:sz w:val="22"/>
          <w:szCs w:val="22"/>
        </w:rPr>
        <w:tab/>
      </w:r>
      <w:r w:rsidR="00000000">
        <w:rPr>
          <w:rFonts w:ascii="Open Sans" w:eastAsia="Open Sans" w:hAnsi="Open Sans" w:cs="Open Sans"/>
          <w:color w:val="0000FF"/>
          <w:sz w:val="22"/>
          <w:szCs w:val="22"/>
        </w:rPr>
        <w:tab/>
      </w:r>
    </w:p>
    <w:p w14:paraId="36DDA6D8" w14:textId="77777777" w:rsidR="00370372" w:rsidRDefault="00000000">
      <w:pPr>
        <w:shd w:val="clear" w:color="auto" w:fill="FFFFFF"/>
        <w:ind w:left="-426" w:right="-433"/>
        <w:jc w:val="both"/>
        <w:rPr>
          <w:rFonts w:ascii="Open Sans" w:eastAsia="Open Sans" w:hAnsi="Open Sans" w:cs="Open Sans"/>
          <w:sz w:val="22"/>
          <w:szCs w:val="22"/>
          <w:lang w:val="en-US"/>
        </w:rPr>
      </w:pPr>
      <w:r w:rsidRPr="00715C82">
        <w:rPr>
          <w:rFonts w:ascii="Open Sans" w:eastAsia="Open Sans" w:hAnsi="Open Sans" w:cs="Open Sans"/>
          <w:sz w:val="22"/>
          <w:szCs w:val="22"/>
          <w:lang w:val="en-US"/>
        </w:rPr>
        <w:t>663 35 69 75 </w:t>
      </w:r>
      <w:r w:rsidRPr="00715C82">
        <w:rPr>
          <w:rFonts w:ascii="Open Sans" w:eastAsia="Open Sans" w:hAnsi="Open Sans" w:cs="Open Sans"/>
          <w:sz w:val="22"/>
          <w:szCs w:val="22"/>
          <w:lang w:val="en-US"/>
        </w:rPr>
        <w:tab/>
      </w:r>
      <w:r w:rsidRPr="00715C82">
        <w:rPr>
          <w:rFonts w:ascii="Open Sans" w:eastAsia="Open Sans" w:hAnsi="Open Sans" w:cs="Open Sans"/>
          <w:sz w:val="22"/>
          <w:szCs w:val="22"/>
          <w:lang w:val="en-US"/>
        </w:rPr>
        <w:tab/>
      </w:r>
    </w:p>
    <w:p w14:paraId="4AC84092" w14:textId="7056846F" w:rsidR="00C01B5D" w:rsidRPr="00715C82" w:rsidRDefault="00000000">
      <w:pPr>
        <w:shd w:val="clear" w:color="auto" w:fill="FFFFFF"/>
        <w:ind w:left="-426" w:right="-433"/>
        <w:jc w:val="both"/>
        <w:rPr>
          <w:rFonts w:ascii="Open Sans" w:eastAsia="Open Sans" w:hAnsi="Open Sans" w:cs="Open Sans"/>
          <w:sz w:val="22"/>
          <w:szCs w:val="22"/>
          <w:lang w:val="en-US"/>
        </w:rPr>
      </w:pPr>
      <w:r w:rsidRPr="00715C82">
        <w:rPr>
          <w:rFonts w:ascii="Open Sans" w:eastAsia="Open Sans" w:hAnsi="Open Sans" w:cs="Open Sans"/>
          <w:sz w:val="22"/>
          <w:szCs w:val="22"/>
          <w:lang w:val="en-US"/>
        </w:rPr>
        <w:tab/>
      </w:r>
      <w:r w:rsidRPr="00715C82">
        <w:rPr>
          <w:rFonts w:ascii="Open Sans" w:eastAsia="Open Sans" w:hAnsi="Open Sans" w:cs="Open Sans"/>
          <w:sz w:val="22"/>
          <w:szCs w:val="22"/>
          <w:lang w:val="en-US"/>
        </w:rPr>
        <w:tab/>
      </w:r>
      <w:r w:rsidRPr="00715C82">
        <w:rPr>
          <w:rFonts w:ascii="Open Sans" w:eastAsia="Open Sans" w:hAnsi="Open Sans" w:cs="Open Sans"/>
          <w:sz w:val="22"/>
          <w:szCs w:val="22"/>
          <w:lang w:val="en-US"/>
        </w:rPr>
        <w:tab/>
      </w:r>
    </w:p>
    <w:p w14:paraId="7F620A62" w14:textId="77777777" w:rsidR="00C01B5D" w:rsidRPr="00715C82" w:rsidRDefault="00000000">
      <w:pPr>
        <w:shd w:val="clear" w:color="auto" w:fill="FFFFFF"/>
        <w:ind w:left="-426" w:right="-433"/>
        <w:jc w:val="both"/>
        <w:rPr>
          <w:rFonts w:ascii="Open Sans" w:eastAsia="Open Sans" w:hAnsi="Open Sans" w:cs="Open Sans"/>
          <w:sz w:val="22"/>
          <w:szCs w:val="22"/>
          <w:lang w:val="en-US"/>
        </w:rPr>
      </w:pPr>
      <w:r w:rsidRPr="00715C82">
        <w:rPr>
          <w:rFonts w:ascii="Open Sans" w:eastAsia="Open Sans" w:hAnsi="Open Sans" w:cs="Open Sans"/>
          <w:b/>
          <w:sz w:val="22"/>
          <w:szCs w:val="22"/>
          <w:lang w:val="en-US"/>
        </w:rPr>
        <w:t xml:space="preserve">Judit </w:t>
      </w:r>
      <w:proofErr w:type="spellStart"/>
      <w:r w:rsidRPr="00715C82">
        <w:rPr>
          <w:rFonts w:ascii="Open Sans" w:eastAsia="Open Sans" w:hAnsi="Open Sans" w:cs="Open Sans"/>
          <w:b/>
          <w:sz w:val="22"/>
          <w:szCs w:val="22"/>
          <w:lang w:val="en-US"/>
        </w:rPr>
        <w:t>Campillos</w:t>
      </w:r>
      <w:proofErr w:type="spellEnd"/>
    </w:p>
    <w:p w14:paraId="6F3560A3" w14:textId="77777777" w:rsidR="00C01B5D" w:rsidRPr="00715C82" w:rsidRDefault="00000000">
      <w:pPr>
        <w:shd w:val="clear" w:color="auto" w:fill="FFFFFF"/>
        <w:ind w:left="-426" w:right="-433"/>
        <w:jc w:val="both"/>
        <w:rPr>
          <w:rFonts w:ascii="Open Sans" w:eastAsia="Open Sans" w:hAnsi="Open Sans" w:cs="Open Sans"/>
          <w:b/>
          <w:sz w:val="22"/>
          <w:szCs w:val="22"/>
          <w:lang w:val="en-US"/>
        </w:rPr>
      </w:pPr>
      <w:proofErr w:type="spellStart"/>
      <w:r w:rsidRPr="00715C82">
        <w:rPr>
          <w:rFonts w:ascii="Open Sans" w:eastAsia="Open Sans" w:hAnsi="Open Sans" w:cs="Open Sans"/>
          <w:color w:val="0000FF"/>
          <w:sz w:val="22"/>
          <w:szCs w:val="22"/>
          <w:u w:val="single"/>
          <w:lang w:val="en-US"/>
        </w:rPr>
        <w:t>jcampillos</w:t>
      </w:r>
      <w:hyperlink r:id="rId26">
        <w:r w:rsidR="00C01B5D" w:rsidRPr="00715C82">
          <w:rPr>
            <w:rFonts w:ascii="Open Sans" w:eastAsia="Open Sans" w:hAnsi="Open Sans" w:cs="Open Sans"/>
            <w:color w:val="0000FF"/>
            <w:sz w:val="22"/>
            <w:szCs w:val="22"/>
            <w:u w:val="single"/>
            <w:lang w:val="en-US"/>
          </w:rPr>
          <w:t>@ll</w:t>
        </w:r>
      </w:hyperlink>
      <w:r w:rsidRPr="00715C82">
        <w:rPr>
          <w:rFonts w:ascii="Open Sans" w:eastAsia="Open Sans" w:hAnsi="Open Sans" w:cs="Open Sans"/>
          <w:color w:val="0000FF"/>
          <w:sz w:val="22"/>
          <w:szCs w:val="22"/>
          <w:u w:val="single"/>
          <w:lang w:val="en-US"/>
        </w:rPr>
        <w:t>yc.global</w:t>
      </w:r>
      <w:proofErr w:type="spellEnd"/>
      <w:r w:rsidRPr="00715C82">
        <w:rPr>
          <w:rFonts w:ascii="Open Sans" w:eastAsia="Open Sans" w:hAnsi="Open Sans" w:cs="Open Sans"/>
          <w:color w:val="0000FF"/>
          <w:sz w:val="22"/>
          <w:szCs w:val="22"/>
          <w:lang w:val="en-US"/>
        </w:rPr>
        <w:tab/>
      </w:r>
      <w:r w:rsidRPr="00715C82">
        <w:rPr>
          <w:rFonts w:ascii="Open Sans" w:eastAsia="Open Sans" w:hAnsi="Open Sans" w:cs="Open Sans"/>
          <w:color w:val="0000FF"/>
          <w:sz w:val="22"/>
          <w:szCs w:val="22"/>
          <w:lang w:val="en-US"/>
        </w:rPr>
        <w:tab/>
      </w:r>
    </w:p>
    <w:p w14:paraId="6DC943F9" w14:textId="77777777" w:rsidR="00C01B5D" w:rsidRDefault="00000000">
      <w:pPr>
        <w:shd w:val="clear" w:color="auto" w:fill="FFFFFF"/>
        <w:ind w:left="-426" w:right="-433"/>
        <w:jc w:val="both"/>
        <w:rPr>
          <w:rFonts w:ascii="Open Sans" w:eastAsia="Open Sans" w:hAnsi="Open Sans" w:cs="Open Sans"/>
          <w:sz w:val="22"/>
          <w:szCs w:val="22"/>
        </w:rPr>
      </w:pPr>
      <w:r>
        <w:rPr>
          <w:rFonts w:ascii="Open Sans" w:eastAsia="Open Sans" w:hAnsi="Open Sans" w:cs="Open Sans"/>
          <w:sz w:val="22"/>
          <w:szCs w:val="22"/>
        </w:rPr>
        <w:t>699 13 91 53</w:t>
      </w:r>
    </w:p>
    <w:p w14:paraId="5D41A3E9" w14:textId="77777777" w:rsidR="00C01B5D" w:rsidRDefault="00C01B5D">
      <w:pPr>
        <w:ind w:left="-426"/>
        <w:jc w:val="both"/>
        <w:rPr>
          <w:rFonts w:ascii="Open Sans" w:eastAsia="Open Sans" w:hAnsi="Open Sans" w:cs="Open Sans"/>
          <w:color w:val="30302E"/>
          <w:sz w:val="22"/>
          <w:szCs w:val="22"/>
          <w:highlight w:val="white"/>
        </w:rPr>
      </w:pPr>
    </w:p>
    <w:p w14:paraId="3A3A169C" w14:textId="77777777" w:rsidR="00C01B5D" w:rsidRDefault="00000000">
      <w:pPr>
        <w:ind w:left="-426"/>
        <w:jc w:val="both"/>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 xml:space="preserve">Alicia </w:t>
      </w:r>
      <w:proofErr w:type="spellStart"/>
      <w:r>
        <w:rPr>
          <w:rFonts w:ascii="Open Sans" w:eastAsia="Open Sans" w:hAnsi="Open Sans" w:cs="Open Sans"/>
          <w:b/>
          <w:color w:val="30302E"/>
          <w:sz w:val="22"/>
          <w:szCs w:val="22"/>
          <w:highlight w:val="white"/>
        </w:rPr>
        <w:t>Salvatella</w:t>
      </w:r>
      <w:proofErr w:type="spellEnd"/>
    </w:p>
    <w:p w14:paraId="618226E7" w14:textId="77777777" w:rsidR="00C01B5D" w:rsidRDefault="00C01B5D">
      <w:pPr>
        <w:ind w:left="-426"/>
        <w:jc w:val="both"/>
        <w:rPr>
          <w:rFonts w:ascii="Open Sans" w:eastAsia="Open Sans" w:hAnsi="Open Sans" w:cs="Open Sans"/>
          <w:color w:val="0000FF"/>
          <w:sz w:val="22"/>
          <w:szCs w:val="22"/>
          <w:u w:val="single"/>
        </w:rPr>
      </w:pPr>
      <w:hyperlink r:id="rId27">
        <w:r>
          <w:rPr>
            <w:rFonts w:ascii="Open Sans" w:eastAsia="Open Sans" w:hAnsi="Open Sans" w:cs="Open Sans"/>
            <w:color w:val="0000FF"/>
            <w:sz w:val="22"/>
            <w:szCs w:val="22"/>
            <w:u w:val="single"/>
          </w:rPr>
          <w:t>alicia.salvatella@llyc.global</w:t>
        </w:r>
      </w:hyperlink>
    </w:p>
    <w:p w14:paraId="591B49A7" w14:textId="77777777" w:rsidR="00C01B5D" w:rsidRDefault="00000000">
      <w:pPr>
        <w:ind w:left="-426"/>
        <w:jc w:val="both"/>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06E56E6D" w14:textId="77777777" w:rsidR="00C01B5D" w:rsidRDefault="00C01B5D">
      <w:pPr>
        <w:shd w:val="clear" w:color="auto" w:fill="FFFFFF"/>
        <w:ind w:left="-426"/>
        <w:jc w:val="both"/>
        <w:rPr>
          <w:rFonts w:ascii="Open Sans" w:eastAsia="Open Sans" w:hAnsi="Open Sans" w:cs="Open Sans"/>
          <w:color w:val="000000"/>
          <w:sz w:val="22"/>
          <w:szCs w:val="22"/>
        </w:rPr>
      </w:pPr>
    </w:p>
    <w:p w14:paraId="2ACA0E83" w14:textId="77777777" w:rsidR="00C01B5D" w:rsidRDefault="00C01B5D">
      <w:pPr>
        <w:spacing w:line="276" w:lineRule="auto"/>
        <w:jc w:val="both"/>
        <w:rPr>
          <w:rFonts w:ascii="Open Sans" w:eastAsia="Open Sans" w:hAnsi="Open Sans" w:cs="Open Sans"/>
          <w:color w:val="000000"/>
          <w:sz w:val="21"/>
          <w:szCs w:val="21"/>
        </w:rPr>
      </w:pPr>
    </w:p>
    <w:sectPr w:rsidR="00C01B5D">
      <w:footerReference w:type="default" r:id="rId28"/>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71FCDE" w14:textId="77777777" w:rsidR="00590DDE" w:rsidRDefault="00590DDE">
      <w:r>
        <w:separator/>
      </w:r>
    </w:p>
  </w:endnote>
  <w:endnote w:type="continuationSeparator" w:id="0">
    <w:p w14:paraId="7020E9A6" w14:textId="77777777" w:rsidR="00590DDE" w:rsidRDefault="00590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37945B0-C3EF-4903-B153-38256820DEA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4D703A8-A15A-41DF-AF5A-F90860C44021}"/>
    <w:embedBold r:id="rId3" w:fontKey="{737BC7C0-8D88-4D74-9830-8044226A824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41B704B-BC9B-4A46-A079-C2D3B3CC521E}"/>
    <w:embedItalic r:id="rId5" w:fontKey="{6148E87B-67C4-4F0C-A150-EFEAD17A76C6}"/>
  </w:font>
  <w:font w:name="Cambria">
    <w:panose1 w:val="02040503050406030204"/>
    <w:charset w:val="00"/>
    <w:family w:val="roman"/>
    <w:pitch w:val="variable"/>
    <w:sig w:usb0="E00006FF" w:usb1="420024FF" w:usb2="02000000" w:usb3="00000000" w:csb0="0000019F" w:csb1="00000000"/>
    <w:embedRegular r:id="rId6" w:fontKey="{80B25C59-7454-41B5-9FE3-0F96D0622C0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E38781D6-6575-4141-85F1-F7F392A780BF}"/>
    <w:embedBold r:id="rId8" w:fontKey="{CACDE2E2-88BF-452A-B1A1-A57D8D33FDEC}"/>
    <w:embedItalic r:id="rId9" w:fontKey="{CC6AB453-3319-4596-9295-68D912CBABF2}"/>
    <w:embedBoldItalic r:id="rId10" w:fontKey="{4BFE3821-B4A3-4D14-BC97-391C3910D4D4}"/>
  </w:font>
  <w:font w:name="Open Sans Light">
    <w:charset w:val="00"/>
    <w:family w:val="swiss"/>
    <w:pitch w:val="variable"/>
    <w:sig w:usb0="E00002EF" w:usb1="4000205B" w:usb2="00000028" w:usb3="00000000" w:csb0="0000019F" w:csb1="00000000"/>
    <w:embedRegular r:id="rId11" w:fontKey="{6A93C84F-87D7-4CCF-9530-923769758C97}"/>
    <w:embedBold r:id="rId12" w:fontKey="{4780A2F9-FDB7-478D-9880-E91801FC40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EF70D" w14:textId="77777777" w:rsidR="00C01B5D"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0954F54" wp14:editId="2B11490C">
          <wp:simplePos x="0" y="0"/>
          <wp:positionH relativeFrom="column">
            <wp:posOffset>-1068054</wp:posOffset>
          </wp:positionH>
          <wp:positionV relativeFrom="paragraph">
            <wp:posOffset>174608</wp:posOffset>
          </wp:positionV>
          <wp:extent cx="7670550" cy="451315"/>
          <wp:effectExtent l="0" t="0" r="0" b="0"/>
          <wp:wrapNone/>
          <wp:docPr id="20937902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BB850E" w14:textId="77777777" w:rsidR="00590DDE" w:rsidRDefault="00590DDE">
      <w:r>
        <w:separator/>
      </w:r>
    </w:p>
  </w:footnote>
  <w:footnote w:type="continuationSeparator" w:id="0">
    <w:p w14:paraId="0380FD96" w14:textId="77777777" w:rsidR="00590DDE" w:rsidRDefault="00590D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73066"/>
    <w:multiLevelType w:val="multilevel"/>
    <w:tmpl w:val="F32C6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10674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B5D"/>
    <w:rsid w:val="000121D7"/>
    <w:rsid w:val="000F4EDF"/>
    <w:rsid w:val="0013057A"/>
    <w:rsid w:val="00370372"/>
    <w:rsid w:val="00590DDE"/>
    <w:rsid w:val="00715C82"/>
    <w:rsid w:val="008A422F"/>
    <w:rsid w:val="009173E4"/>
    <w:rsid w:val="00C01B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7E57F"/>
  <w15:docId w15:val="{6CCB44C5-4673-4CCA-BD3E-AFF6F2359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b"/>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b"/>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8886205">
      <w:bodyDiv w:val="1"/>
      <w:marLeft w:val="0"/>
      <w:marRight w:val="0"/>
      <w:marTop w:val="0"/>
      <w:marBottom w:val="0"/>
      <w:divBdr>
        <w:top w:val="none" w:sz="0" w:space="0" w:color="auto"/>
        <w:left w:val="none" w:sz="0" w:space="0" w:color="auto"/>
        <w:bottom w:val="none" w:sz="0" w:space="0" w:color="auto"/>
        <w:right w:val="none" w:sz="0" w:space="0" w:color="auto"/>
      </w:divBdr>
    </w:div>
    <w:div w:id="799998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fotocasa.es/es/" TargetMode="External"/><Relationship Id="rId26" Type="http://schemas.openxmlformats.org/officeDocument/2006/relationships/hyperlink" Target="mailto:emerino@llorenteycuenca.com" TargetMode="Externa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fotocasa.es/es/quienes-somos/" TargetMode="External"/><Relationship Id="rId25" Type="http://schemas.openxmlformats.org/officeDocument/2006/relationships/hyperlink" Target="mailto:emerino@llorenteycuenca.com" TargetMode="Externa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infojobs.n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adevinta.es" TargetMode="External"/><Relationship Id="rId28" Type="http://schemas.openxmlformats.org/officeDocument/2006/relationships/footer" Target="footer1.xml"/><Relationship Id="rId10" Type="http://schemas.openxmlformats.org/officeDocument/2006/relationships/hyperlink" Target="https://www.fotocasa.es" TargetMode="Externa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https://motos.coches.net/" TargetMode="External"/><Relationship Id="rId27" Type="http://schemas.openxmlformats.org/officeDocument/2006/relationships/hyperlink" Target="mailto:alicia.salvatella@llyc.global"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ppKpV5+yCcEMgy5AmLt4UCxRCA==">CgMxLjAyDmguaW9hcjExY25tajd2Mg5oLm5pbXkzYzVlZWQ1MzIJaC4yczhleW8xOAByITEwQUFRSXdfeDZrV0daUG01WXV5OWlDY1FHWFFaMEVOSQ==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1205</Words>
  <Characters>6632</Characters>
  <Application>Microsoft Office Word</Application>
  <DocSecurity>0</DocSecurity>
  <Lines>55</Lines>
  <Paragraphs>15</Paragraphs>
  <ScaleCrop>false</ScaleCrop>
  <Company/>
  <LinksUpToDate>false</LinksUpToDate>
  <CharactersWithSpaces>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5</cp:revision>
  <dcterms:created xsi:type="dcterms:W3CDTF">2024-02-06T13:46:00Z</dcterms:created>
  <dcterms:modified xsi:type="dcterms:W3CDTF">2024-10-07T17:34:00Z</dcterms:modified>
</cp:coreProperties>
</file>