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A6AFE" w14:textId="77777777" w:rsidR="000B5457" w:rsidRDefault="00000000">
      <w:r>
        <w:rPr>
          <w:noProof/>
        </w:rPr>
        <w:drawing>
          <wp:anchor distT="0" distB="0" distL="114300" distR="114300" simplePos="0" relativeHeight="251658240" behindDoc="0" locked="0" layoutInCell="1" hidden="0" allowOverlap="1" wp14:anchorId="600C94A9" wp14:editId="5DB00E3B">
            <wp:simplePos x="0" y="0"/>
            <wp:positionH relativeFrom="column">
              <wp:posOffset>-1080131</wp:posOffset>
            </wp:positionH>
            <wp:positionV relativeFrom="paragraph">
              <wp:posOffset>-654682</wp:posOffset>
            </wp:positionV>
            <wp:extent cx="7581265" cy="1019175"/>
            <wp:effectExtent l="0" t="0" r="0" b="0"/>
            <wp:wrapNone/>
            <wp:docPr id="2093790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1C73B55" w14:textId="77777777" w:rsidR="000B5457" w:rsidRDefault="000B5457">
      <w:pPr>
        <w:jc w:val="right"/>
        <w:rPr>
          <w:rFonts w:ascii="National" w:eastAsia="National" w:hAnsi="National" w:cs="National"/>
          <w:color w:val="303AB2"/>
          <w:sz w:val="36"/>
          <w:szCs w:val="36"/>
        </w:rPr>
      </w:pPr>
    </w:p>
    <w:p w14:paraId="333C1A67" w14:textId="77777777" w:rsidR="000B5457" w:rsidRDefault="000B5457">
      <w:pPr>
        <w:rPr>
          <w:rFonts w:ascii="National" w:eastAsia="National" w:hAnsi="National" w:cs="National"/>
          <w:color w:val="303AB2"/>
          <w:sz w:val="18"/>
          <w:szCs w:val="18"/>
        </w:rPr>
      </w:pPr>
    </w:p>
    <w:p w14:paraId="23CDA8D4" w14:textId="77777777" w:rsidR="000B5457"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23D28477" w14:textId="77777777" w:rsidR="000B5457" w:rsidRPr="00930B91" w:rsidRDefault="00000000">
      <w:pPr>
        <w:jc w:val="center"/>
        <w:rPr>
          <w:rFonts w:ascii="National" w:eastAsia="National" w:hAnsi="National" w:cs="National"/>
          <w:b/>
          <w:color w:val="303AB2"/>
          <w:sz w:val="48"/>
          <w:szCs w:val="48"/>
        </w:rPr>
      </w:pPr>
      <w:r w:rsidRPr="00930B91">
        <w:rPr>
          <w:rFonts w:ascii="National" w:eastAsia="National" w:hAnsi="National" w:cs="National"/>
          <w:b/>
          <w:color w:val="303AB2"/>
          <w:sz w:val="48"/>
          <w:szCs w:val="48"/>
        </w:rPr>
        <w:t>Se incrementan las mujeres que se hipotecan en 2024, representan el 58% del total</w:t>
      </w:r>
    </w:p>
    <w:p w14:paraId="5E308C97" w14:textId="77777777" w:rsidR="000B5457" w:rsidRDefault="000B5457">
      <w:p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p>
    <w:p w14:paraId="078E6203" w14:textId="77777777" w:rsidR="000B545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La edad media de los hipotecados sube hasta los 42 años, mientras que en 2022 era de 39 años</w:t>
      </w:r>
    </w:p>
    <w:p w14:paraId="7C52C8CE" w14:textId="77777777" w:rsidR="000B545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sz w:val="22"/>
          <w:szCs w:val="22"/>
        </w:rPr>
        <w:t>n el</w:t>
      </w:r>
      <w:r>
        <w:rPr>
          <w:rFonts w:ascii="Open Sans" w:eastAsia="Open Sans" w:hAnsi="Open Sans" w:cs="Open Sans"/>
          <w:color w:val="000000"/>
          <w:sz w:val="22"/>
          <w:szCs w:val="22"/>
        </w:rPr>
        <w:t xml:space="preserve"> 36% de los casos los hipotecados viven con su pareja e hijos</w:t>
      </w:r>
    </w:p>
    <w:p w14:paraId="0EEE7E20" w14:textId="77777777" w:rsidR="000B5457"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Se incrementan los hipotecados que viven solos: pasan de representar el 9% en 2021 al 13% en 2024</w:t>
      </w:r>
    </w:p>
    <w:p w14:paraId="6E694BB1" w14:textId="77777777" w:rsidR="000B5457" w:rsidRDefault="00000000">
      <w:pPr>
        <w:pBdr>
          <w:top w:val="nil"/>
          <w:left w:val="nil"/>
          <w:bottom w:val="nil"/>
          <w:right w:val="nil"/>
          <w:between w:val="nil"/>
        </w:pBdr>
        <w:spacing w:line="276" w:lineRule="auto"/>
        <w:ind w:left="720" w:right="283"/>
        <w:jc w:val="both"/>
        <w:rPr>
          <w:rFonts w:ascii="Open Sans" w:eastAsia="Open Sans" w:hAnsi="Open Sans" w:cs="Open Sans"/>
          <w:color w:val="303AB2"/>
        </w:rPr>
      </w:pPr>
      <w:r>
        <w:rPr>
          <w:rFonts w:ascii="Open Sans" w:eastAsia="Open Sans" w:hAnsi="Open Sans" w:cs="Open Sans"/>
          <w:color w:val="000000"/>
          <w:sz w:val="22"/>
          <w:szCs w:val="22"/>
        </w:rPr>
        <w:t xml:space="preserve"> </w:t>
      </w:r>
    </w:p>
    <w:p w14:paraId="764CFBAF" w14:textId="77777777" w:rsidR="00930B91" w:rsidRDefault="00930B91">
      <w:pPr>
        <w:pBdr>
          <w:top w:val="nil"/>
          <w:left w:val="nil"/>
          <w:bottom w:val="nil"/>
          <w:right w:val="nil"/>
          <w:between w:val="nil"/>
        </w:pBdr>
        <w:spacing w:line="276" w:lineRule="auto"/>
        <w:ind w:left="-567"/>
        <w:jc w:val="both"/>
        <w:rPr>
          <w:rFonts w:ascii="Open Sans Light" w:eastAsia="Open Sans Light" w:hAnsi="Open Sans Light" w:cs="Open Sans Light"/>
          <w:b/>
          <w:color w:val="303AB2"/>
          <w:sz w:val="22"/>
          <w:szCs w:val="22"/>
        </w:rPr>
      </w:pPr>
    </w:p>
    <w:p w14:paraId="5889BCBC" w14:textId="4104F58D" w:rsidR="000B5457" w:rsidRDefault="00000000">
      <w:pPr>
        <w:pBdr>
          <w:top w:val="nil"/>
          <w:left w:val="nil"/>
          <w:bottom w:val="nil"/>
          <w:right w:val="nil"/>
          <w:between w:val="nil"/>
        </w:pBdr>
        <w:spacing w:line="276" w:lineRule="auto"/>
        <w:ind w:left="-567"/>
        <w:jc w:val="both"/>
        <w:rPr>
          <w:rFonts w:ascii="Open Sans Light" w:eastAsia="Open Sans Light" w:hAnsi="Open Sans Light" w:cs="Open Sans Light"/>
          <w:b/>
          <w:color w:val="303AB2"/>
          <w:sz w:val="22"/>
          <w:szCs w:val="22"/>
        </w:rPr>
      </w:pPr>
      <w:r w:rsidRPr="00930B91">
        <w:rPr>
          <w:rFonts w:ascii="Open Sans Light" w:eastAsia="Open Sans Light" w:hAnsi="Open Sans Light" w:cs="Open Sans Light"/>
          <w:b/>
          <w:color w:val="303AB2"/>
          <w:sz w:val="22"/>
          <w:szCs w:val="22"/>
        </w:rPr>
        <w:t xml:space="preserve">Madrid, </w:t>
      </w:r>
      <w:r w:rsidR="00930B91" w:rsidRPr="00930B91">
        <w:rPr>
          <w:rFonts w:ascii="Open Sans Light" w:eastAsia="Open Sans Light" w:hAnsi="Open Sans Light" w:cs="Open Sans Light"/>
          <w:b/>
          <w:color w:val="303AB2"/>
          <w:sz w:val="22"/>
          <w:szCs w:val="22"/>
        </w:rPr>
        <w:t>25</w:t>
      </w:r>
      <w:r w:rsidRPr="00930B91">
        <w:rPr>
          <w:rFonts w:ascii="Open Sans Light" w:eastAsia="Open Sans Light" w:hAnsi="Open Sans Light" w:cs="Open Sans Light"/>
          <w:b/>
          <w:color w:val="303AB2"/>
          <w:sz w:val="22"/>
          <w:szCs w:val="22"/>
        </w:rPr>
        <w:t xml:space="preserve"> de octubre de 2024</w:t>
      </w:r>
    </w:p>
    <w:p w14:paraId="371A66D1" w14:textId="77777777" w:rsidR="000B5457" w:rsidRDefault="000B5457">
      <w:pPr>
        <w:pBdr>
          <w:top w:val="nil"/>
          <w:left w:val="nil"/>
          <w:bottom w:val="nil"/>
          <w:right w:val="nil"/>
          <w:between w:val="nil"/>
        </w:pBdr>
        <w:spacing w:line="276" w:lineRule="auto"/>
        <w:ind w:left="-567"/>
        <w:jc w:val="both"/>
        <w:rPr>
          <w:rFonts w:ascii="Open Sans" w:eastAsia="Open Sans" w:hAnsi="Open Sans" w:cs="Open Sans"/>
        </w:rPr>
      </w:pPr>
    </w:p>
    <w:p w14:paraId="0AE736B2" w14:textId="77777777" w:rsidR="000B5457" w:rsidRDefault="00000000">
      <w:pPr>
        <w:spacing w:line="276" w:lineRule="auto"/>
        <w:ind w:left="-567" w:right="4"/>
        <w:jc w:val="both"/>
        <w:rPr>
          <w:rFonts w:ascii="Open Sans" w:eastAsia="Open Sans" w:hAnsi="Open Sans" w:cs="Open Sans"/>
          <w:sz w:val="22"/>
          <w:szCs w:val="22"/>
        </w:rPr>
      </w:pPr>
      <w:r>
        <w:rPr>
          <w:rFonts w:ascii="Open Sans" w:eastAsia="Open Sans" w:hAnsi="Open Sans" w:cs="Open Sans"/>
          <w:sz w:val="22"/>
          <w:szCs w:val="22"/>
        </w:rPr>
        <w:t xml:space="preserve">A la hora de trazar el retrato tipo de los españoles que recurren a una hipoteca para comprar una vivienda, lo primero que llama la atención en 2024 es la quiebra del equilibrio entre la proporción de hombres y mujeres, en favor de éstas. De este modo, tras un 2023 en el que el peso de ambos géneros se había compensado, con un 52% femenino y un 48% de hombres, doce meses después la diferencia se ha acentuado significativamente, con </w:t>
      </w:r>
      <w:r>
        <w:rPr>
          <w:rFonts w:ascii="Open Sans" w:eastAsia="Open Sans" w:hAnsi="Open Sans" w:cs="Open Sans"/>
          <w:b/>
          <w:sz w:val="22"/>
          <w:szCs w:val="22"/>
        </w:rPr>
        <w:t>las mujeres alcanzando el 58%, por un 42% de los hombres.</w:t>
      </w:r>
      <w:r>
        <w:rPr>
          <w:rFonts w:ascii="Open Sans" w:eastAsia="Open Sans" w:hAnsi="Open Sans" w:cs="Open Sans"/>
          <w:sz w:val="22"/>
          <w:szCs w:val="22"/>
        </w:rPr>
        <w:t xml:space="preserve"> Es una de las conclusiones del informe “</w:t>
      </w:r>
      <w:hyperlink r:id="rId9">
        <w:r>
          <w:rPr>
            <w:rFonts w:ascii="Open Sans" w:eastAsia="Open Sans" w:hAnsi="Open Sans" w:cs="Open Sans"/>
            <w:b/>
            <w:i/>
            <w:color w:val="0000FF"/>
            <w:sz w:val="22"/>
            <w:szCs w:val="22"/>
            <w:u w:val="single"/>
          </w:rPr>
          <w:t>Perfil del hipotecado español en 2024</w:t>
        </w:r>
      </w:hyperlink>
      <w:r>
        <w:rPr>
          <w:rFonts w:ascii="Open Sans" w:eastAsia="Open Sans" w:hAnsi="Open Sans" w:cs="Open Sans"/>
          <w:sz w:val="22"/>
          <w:szCs w:val="22"/>
        </w:rPr>
        <w:t>”, que traza, un año más, una radiografía de cómo se hipotecan los españoles.</w:t>
      </w:r>
    </w:p>
    <w:p w14:paraId="632A0B2D" w14:textId="77777777" w:rsidR="000B5457" w:rsidRDefault="000B5457">
      <w:pPr>
        <w:spacing w:line="276" w:lineRule="auto"/>
        <w:ind w:left="-567" w:right="4"/>
        <w:jc w:val="both"/>
        <w:rPr>
          <w:rFonts w:ascii="Open Sans" w:eastAsia="Open Sans" w:hAnsi="Open Sans" w:cs="Open Sans"/>
          <w:sz w:val="22"/>
          <w:szCs w:val="22"/>
        </w:rPr>
      </w:pPr>
    </w:p>
    <w:p w14:paraId="5EFBA63F" w14:textId="77777777" w:rsidR="000B5457" w:rsidRDefault="00000000">
      <w:pPr>
        <w:spacing w:line="276" w:lineRule="auto"/>
        <w:ind w:left="-567" w:right="4"/>
        <w:jc w:val="both"/>
        <w:rPr>
          <w:rFonts w:ascii="Open Sans" w:eastAsia="Open Sans" w:hAnsi="Open Sans" w:cs="Open Sans"/>
          <w:sz w:val="22"/>
          <w:szCs w:val="22"/>
        </w:rPr>
      </w:pPr>
      <w:r>
        <w:rPr>
          <w:rFonts w:ascii="Open Sans" w:eastAsia="Open Sans" w:hAnsi="Open Sans" w:cs="Open Sans"/>
          <w:sz w:val="22"/>
          <w:szCs w:val="22"/>
        </w:rPr>
        <w:t xml:space="preserve">En cuanto </w:t>
      </w:r>
      <w:r>
        <w:rPr>
          <w:rFonts w:ascii="Open Sans" w:eastAsia="Open Sans" w:hAnsi="Open Sans" w:cs="Open Sans"/>
          <w:b/>
          <w:sz w:val="22"/>
          <w:szCs w:val="22"/>
        </w:rPr>
        <w:t>a la edad promedio de los compradores que se hipotecan, se observa que ésta continúa subiendo, al pasar de los 40 de 2023 a los 42</w:t>
      </w:r>
      <w:r>
        <w:rPr>
          <w:rFonts w:ascii="Open Sans" w:eastAsia="Open Sans" w:hAnsi="Open Sans" w:cs="Open Sans"/>
          <w:sz w:val="22"/>
          <w:szCs w:val="22"/>
        </w:rPr>
        <w:t xml:space="preserve"> años doce meses después (en 2022 era de 39 años). Por otra parte, la mitad de los compradores se ubica en los estratos socioeconómicos intermedios, cuestión hacia la que confluye la reducción respecto al año anterior del peso de las clases altas, que se repliegan desde el 52% al 47%, mientras que las clases medias pasan del 19% al 22%.</w:t>
      </w:r>
    </w:p>
    <w:p w14:paraId="7725A41D" w14:textId="77777777" w:rsidR="000B5457" w:rsidRDefault="000B5457">
      <w:pPr>
        <w:spacing w:line="276" w:lineRule="auto"/>
        <w:ind w:left="-567" w:right="4"/>
        <w:jc w:val="both"/>
        <w:rPr>
          <w:rFonts w:ascii="Open Sans" w:eastAsia="Open Sans" w:hAnsi="Open Sans" w:cs="Open Sans"/>
          <w:sz w:val="22"/>
          <w:szCs w:val="22"/>
        </w:rPr>
      </w:pPr>
    </w:p>
    <w:p w14:paraId="7A15D595" w14:textId="77777777" w:rsidR="000B5457" w:rsidRDefault="00000000">
      <w:pPr>
        <w:spacing w:line="276" w:lineRule="auto"/>
        <w:ind w:left="-567" w:right="4"/>
        <w:jc w:val="both"/>
        <w:rPr>
          <w:rFonts w:ascii="Open Sans" w:eastAsia="Open Sans" w:hAnsi="Open Sans" w:cs="Open Sans"/>
          <w:sz w:val="22"/>
          <w:szCs w:val="22"/>
        </w:rPr>
      </w:pPr>
      <w:r>
        <w:rPr>
          <w:rFonts w:ascii="Open Sans" w:eastAsia="Open Sans" w:hAnsi="Open Sans" w:cs="Open Sans"/>
          <w:sz w:val="22"/>
          <w:szCs w:val="22"/>
        </w:rPr>
        <w:t xml:space="preserve">Respecto al uso que se le va a dar a la vivienda, sigue destacando con mucha distancia el de </w:t>
      </w:r>
      <w:r>
        <w:rPr>
          <w:rFonts w:ascii="Open Sans" w:eastAsia="Open Sans" w:hAnsi="Open Sans" w:cs="Open Sans"/>
          <w:b/>
          <w:sz w:val="22"/>
          <w:szCs w:val="22"/>
        </w:rPr>
        <w:t>residencia habitual, en un 89% de los casos</w:t>
      </w:r>
      <w:r>
        <w:rPr>
          <w:rFonts w:ascii="Open Sans" w:eastAsia="Open Sans" w:hAnsi="Open Sans" w:cs="Open Sans"/>
          <w:sz w:val="22"/>
          <w:szCs w:val="22"/>
        </w:rPr>
        <w:t xml:space="preserve">, tres puntos porcentuales más que en 2023. Por el contrario, quienes compran como </w:t>
      </w:r>
      <w:r>
        <w:rPr>
          <w:rFonts w:ascii="Open Sans" w:eastAsia="Open Sans" w:hAnsi="Open Sans" w:cs="Open Sans"/>
          <w:b/>
          <w:sz w:val="22"/>
          <w:szCs w:val="22"/>
        </w:rPr>
        <w:t>segunda residencia bajan del 9% al 7%.</w:t>
      </w:r>
      <w:r>
        <w:rPr>
          <w:rFonts w:ascii="Open Sans" w:eastAsia="Open Sans" w:hAnsi="Open Sans" w:cs="Open Sans"/>
          <w:sz w:val="22"/>
          <w:szCs w:val="22"/>
        </w:rPr>
        <w:t xml:space="preserve"> Por su parte, los que se hipotecan para adquirir la vivienda como inversión continúan en el 3%, aunque con una leve tendencia a la baja.</w:t>
      </w:r>
    </w:p>
    <w:p w14:paraId="32AFA872" w14:textId="77777777" w:rsidR="000B5457" w:rsidRDefault="000B5457">
      <w:pPr>
        <w:spacing w:line="276" w:lineRule="auto"/>
        <w:ind w:left="-567" w:right="4"/>
        <w:jc w:val="both"/>
        <w:rPr>
          <w:rFonts w:ascii="Open Sans" w:eastAsia="Open Sans" w:hAnsi="Open Sans" w:cs="Open Sans"/>
          <w:sz w:val="22"/>
          <w:szCs w:val="22"/>
        </w:rPr>
      </w:pPr>
    </w:p>
    <w:p w14:paraId="17DDE5DF" w14:textId="4ED953EF" w:rsidR="000B5457" w:rsidRPr="00930B91" w:rsidRDefault="00000000">
      <w:pPr>
        <w:spacing w:line="276" w:lineRule="auto"/>
        <w:ind w:left="-567" w:right="4"/>
        <w:jc w:val="both"/>
        <w:rPr>
          <w:rFonts w:ascii="Open Sans" w:eastAsia="Open Sans" w:hAnsi="Open Sans" w:cs="Open Sans"/>
          <w:b/>
          <w:bCs/>
          <w:sz w:val="22"/>
          <w:szCs w:val="22"/>
        </w:rPr>
      </w:pPr>
      <w:r>
        <w:rPr>
          <w:rFonts w:ascii="Open Sans" w:eastAsia="Open Sans" w:hAnsi="Open Sans" w:cs="Open Sans"/>
          <w:sz w:val="22"/>
          <w:szCs w:val="22"/>
        </w:rPr>
        <w:lastRenderedPageBreak/>
        <w:t xml:space="preserve">“Se detecta una variación significativa en el perfil de quien se hipoteca, ya que se retrasa la edad de quienes compran. También llama la atención que se eleva el porcentaje de quienes se hipotecan individualmente cuatro puntos en los últimos cuatro años. Es un claro cambio generacional, </w:t>
      </w:r>
      <w:r w:rsidR="00930B91">
        <w:rPr>
          <w:rFonts w:ascii="Open Sans" w:eastAsia="Open Sans" w:hAnsi="Open Sans" w:cs="Open Sans"/>
          <w:sz w:val="22"/>
          <w:szCs w:val="22"/>
        </w:rPr>
        <w:t>ya que,</w:t>
      </w:r>
      <w:r>
        <w:rPr>
          <w:rFonts w:ascii="Open Sans" w:eastAsia="Open Sans" w:hAnsi="Open Sans" w:cs="Open Sans"/>
          <w:sz w:val="22"/>
          <w:szCs w:val="22"/>
        </w:rPr>
        <w:t xml:space="preserve"> por cuestión de solvencia económica, las entidades financieras suelen preferir a parejas. Esta cuestión tiene que ver con la transformación del modelo de sociedad, de hecho, se estima </w:t>
      </w:r>
      <w:r w:rsidR="00930B91">
        <w:rPr>
          <w:rFonts w:ascii="Open Sans" w:eastAsia="Open Sans" w:hAnsi="Open Sans" w:cs="Open Sans"/>
          <w:sz w:val="22"/>
          <w:szCs w:val="22"/>
        </w:rPr>
        <w:t>que,</w:t>
      </w:r>
      <w:r>
        <w:rPr>
          <w:rFonts w:ascii="Open Sans" w:eastAsia="Open Sans" w:hAnsi="Open Sans" w:cs="Open Sans"/>
          <w:sz w:val="22"/>
          <w:szCs w:val="22"/>
        </w:rPr>
        <w:t xml:space="preserve"> en los próximos 20 años, el 30% de los hogares sean unipersonales y que el 50% de las familias sean monoparentales o no tengan hijos”, </w:t>
      </w:r>
      <w:r w:rsidRPr="00930B91">
        <w:rPr>
          <w:rFonts w:ascii="Open Sans" w:eastAsia="Open Sans" w:hAnsi="Open Sans" w:cs="Open Sans"/>
          <w:b/>
          <w:bCs/>
          <w:sz w:val="22"/>
          <w:szCs w:val="22"/>
        </w:rPr>
        <w:t xml:space="preserve">comenta María Matos, directora de Estudios y portavoz de </w:t>
      </w:r>
      <w:hyperlink r:id="rId10">
        <w:r w:rsidRPr="00930B91">
          <w:rPr>
            <w:rFonts w:ascii="Open Sans" w:eastAsia="Open Sans" w:hAnsi="Open Sans" w:cs="Open Sans"/>
            <w:b/>
            <w:bCs/>
            <w:color w:val="1155CC"/>
            <w:sz w:val="22"/>
            <w:szCs w:val="22"/>
            <w:u w:val="single"/>
          </w:rPr>
          <w:t>Fotocasa</w:t>
        </w:r>
      </w:hyperlink>
      <w:r w:rsidRPr="00930B91">
        <w:rPr>
          <w:rFonts w:ascii="Open Sans" w:eastAsia="Open Sans" w:hAnsi="Open Sans" w:cs="Open Sans"/>
          <w:b/>
          <w:bCs/>
          <w:sz w:val="22"/>
          <w:szCs w:val="22"/>
        </w:rPr>
        <w:t>.</w:t>
      </w:r>
    </w:p>
    <w:p w14:paraId="36C8684A" w14:textId="77777777" w:rsidR="000B5457" w:rsidRDefault="000B5457">
      <w:pPr>
        <w:spacing w:line="276" w:lineRule="auto"/>
        <w:ind w:left="-567" w:right="4"/>
        <w:jc w:val="both"/>
        <w:rPr>
          <w:rFonts w:ascii="Open Sans" w:eastAsia="Open Sans" w:hAnsi="Open Sans" w:cs="Open Sans"/>
          <w:sz w:val="22"/>
          <w:szCs w:val="22"/>
        </w:rPr>
      </w:pPr>
    </w:p>
    <w:p w14:paraId="4155B546" w14:textId="77777777" w:rsidR="000B5457" w:rsidRDefault="00000000">
      <w:pPr>
        <w:spacing w:line="276" w:lineRule="auto"/>
        <w:ind w:left="-567" w:right="4"/>
        <w:jc w:val="both"/>
        <w:rPr>
          <w:rFonts w:ascii="Open Sans" w:eastAsia="Open Sans" w:hAnsi="Open Sans" w:cs="Open Sans"/>
          <w:sz w:val="22"/>
          <w:szCs w:val="22"/>
        </w:rPr>
      </w:pPr>
      <w:r>
        <w:rPr>
          <w:noProof/>
        </w:rPr>
        <w:drawing>
          <wp:inline distT="0" distB="0" distL="0" distR="0" wp14:anchorId="461ECA6B" wp14:editId="264854AC">
            <wp:extent cx="6122923" cy="5447997"/>
            <wp:effectExtent l="0" t="0" r="0" b="0"/>
            <wp:docPr id="2093790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22923" cy="5447997"/>
                    </a:xfrm>
                    <a:prstGeom prst="rect">
                      <a:avLst/>
                    </a:prstGeom>
                    <a:ln/>
                  </pic:spPr>
                </pic:pic>
              </a:graphicData>
            </a:graphic>
          </wp:inline>
        </w:drawing>
      </w:r>
    </w:p>
    <w:p w14:paraId="101828D5" w14:textId="77777777" w:rsidR="000B5457" w:rsidRDefault="00000000">
      <w:pPr>
        <w:spacing w:line="276" w:lineRule="auto"/>
        <w:ind w:left="-567" w:right="4"/>
        <w:jc w:val="both"/>
        <w:rPr>
          <w:rFonts w:ascii="Open Sans" w:eastAsia="Open Sans" w:hAnsi="Open Sans" w:cs="Open Sans"/>
          <w:sz w:val="22"/>
          <w:szCs w:val="22"/>
        </w:rPr>
      </w:pPr>
      <w:r>
        <w:rPr>
          <w:rFonts w:ascii="Open Sans" w:eastAsia="Open Sans" w:hAnsi="Open Sans" w:cs="Open Sans"/>
          <w:sz w:val="22"/>
          <w:szCs w:val="22"/>
        </w:rPr>
        <w:t xml:space="preserve">Si ponemos el foco en la forma en la que conviven los compradores hipotecados, se observa que la situación más frecuente es la de </w:t>
      </w:r>
      <w:r>
        <w:rPr>
          <w:rFonts w:ascii="Open Sans" w:eastAsia="Open Sans" w:hAnsi="Open Sans" w:cs="Open Sans"/>
          <w:b/>
          <w:sz w:val="22"/>
          <w:szCs w:val="22"/>
        </w:rPr>
        <w:t>personas que viven con su pareja e hijos</w:t>
      </w:r>
      <w:r>
        <w:rPr>
          <w:rFonts w:ascii="Open Sans" w:eastAsia="Open Sans" w:hAnsi="Open Sans" w:cs="Open Sans"/>
          <w:sz w:val="22"/>
          <w:szCs w:val="22"/>
        </w:rPr>
        <w:t xml:space="preserve">, </w:t>
      </w:r>
      <w:r>
        <w:rPr>
          <w:rFonts w:ascii="Open Sans" w:eastAsia="Open Sans" w:hAnsi="Open Sans" w:cs="Open Sans"/>
          <w:b/>
          <w:sz w:val="22"/>
          <w:szCs w:val="22"/>
        </w:rPr>
        <w:t>la cual se da en el 36% de los casos</w:t>
      </w:r>
      <w:r>
        <w:rPr>
          <w:rFonts w:ascii="Open Sans" w:eastAsia="Open Sans" w:hAnsi="Open Sans" w:cs="Open Sans"/>
          <w:sz w:val="22"/>
          <w:szCs w:val="22"/>
        </w:rPr>
        <w:t>. Con el mismo porcentaje, les siguen los que viven simplemente en pareja, Ambos grupos se mantienen en valores iguales o similares a los de un año antes, si bien los de pareja e hijos eran el 37 % el año anterior.</w:t>
      </w:r>
    </w:p>
    <w:p w14:paraId="09E32429" w14:textId="77777777" w:rsidR="000B5457" w:rsidRDefault="000B5457">
      <w:pPr>
        <w:spacing w:line="276" w:lineRule="auto"/>
        <w:ind w:left="-567" w:right="4"/>
        <w:jc w:val="both"/>
        <w:rPr>
          <w:rFonts w:ascii="Open Sans" w:eastAsia="Open Sans" w:hAnsi="Open Sans" w:cs="Open Sans"/>
          <w:sz w:val="22"/>
          <w:szCs w:val="22"/>
        </w:rPr>
      </w:pPr>
    </w:p>
    <w:p w14:paraId="69EEF5E2" w14:textId="77777777" w:rsidR="000B5457" w:rsidRDefault="00000000">
      <w:pPr>
        <w:spacing w:line="276" w:lineRule="auto"/>
        <w:ind w:left="-567" w:right="4"/>
        <w:jc w:val="both"/>
        <w:rPr>
          <w:rFonts w:ascii="Open Sans" w:eastAsia="Open Sans" w:hAnsi="Open Sans" w:cs="Open Sans"/>
          <w:sz w:val="22"/>
          <w:szCs w:val="22"/>
        </w:rPr>
      </w:pPr>
      <w:r>
        <w:rPr>
          <w:rFonts w:ascii="Open Sans" w:eastAsia="Open Sans" w:hAnsi="Open Sans" w:cs="Open Sans"/>
          <w:sz w:val="22"/>
          <w:szCs w:val="22"/>
        </w:rPr>
        <w:lastRenderedPageBreak/>
        <w:t xml:space="preserve">Muy lejos de estos dos grupos está </w:t>
      </w:r>
      <w:r>
        <w:rPr>
          <w:rFonts w:ascii="Open Sans" w:eastAsia="Open Sans" w:hAnsi="Open Sans" w:cs="Open Sans"/>
          <w:b/>
          <w:sz w:val="22"/>
          <w:szCs w:val="22"/>
        </w:rPr>
        <w:t xml:space="preserve">el porcentaje de los/as que viven solos/as, que suponen el 13%, </w:t>
      </w:r>
      <w:r>
        <w:rPr>
          <w:rFonts w:ascii="Open Sans" w:eastAsia="Open Sans" w:hAnsi="Open Sans" w:cs="Open Sans"/>
          <w:sz w:val="22"/>
          <w:szCs w:val="22"/>
        </w:rPr>
        <w:t>si bien este colectivo, que sube un punto porcentual en un año, continúa incrementándose (en 2021 eran solo el 9%). Por el contrario, se reduce la cifra de los que viven con sus padres, regresando al 7% que ya se recogió en 2022, tras haber subido al 8% en 2023.</w:t>
      </w:r>
    </w:p>
    <w:p w14:paraId="0F5BD9C3" w14:textId="77777777" w:rsidR="000B5457" w:rsidRDefault="000B5457">
      <w:pPr>
        <w:spacing w:line="276" w:lineRule="auto"/>
        <w:ind w:left="-567" w:right="4"/>
        <w:jc w:val="both"/>
        <w:rPr>
          <w:rFonts w:ascii="Open Sans" w:eastAsia="Open Sans" w:hAnsi="Open Sans" w:cs="Open Sans"/>
          <w:sz w:val="22"/>
          <w:szCs w:val="22"/>
        </w:rPr>
      </w:pPr>
    </w:p>
    <w:p w14:paraId="51BDCE94" w14:textId="77777777" w:rsidR="000B5457" w:rsidRDefault="00000000">
      <w:pPr>
        <w:spacing w:line="276" w:lineRule="auto"/>
        <w:ind w:left="-567" w:right="4"/>
        <w:jc w:val="both"/>
        <w:rPr>
          <w:rFonts w:ascii="Open Sans" w:eastAsia="Open Sans" w:hAnsi="Open Sans" w:cs="Open Sans"/>
          <w:b/>
          <w:sz w:val="22"/>
          <w:szCs w:val="22"/>
        </w:rPr>
      </w:pPr>
      <w:r>
        <w:rPr>
          <w:rFonts w:ascii="Open Sans" w:eastAsia="Open Sans" w:hAnsi="Open Sans" w:cs="Open Sans"/>
          <w:sz w:val="22"/>
          <w:szCs w:val="22"/>
        </w:rPr>
        <w:t xml:space="preserve">El rasgo que sí permanece estable es el relativo al estado civil de quien compra mediante hipoteca. </w:t>
      </w:r>
      <w:r>
        <w:rPr>
          <w:rFonts w:ascii="Open Sans" w:eastAsia="Open Sans" w:hAnsi="Open Sans" w:cs="Open Sans"/>
          <w:b/>
          <w:sz w:val="22"/>
          <w:szCs w:val="22"/>
        </w:rPr>
        <w:t>La mayoría son personas casadas, parejas de hecho o conviviendo en pareja</w:t>
      </w:r>
      <w:r>
        <w:rPr>
          <w:rFonts w:ascii="Open Sans" w:eastAsia="Open Sans" w:hAnsi="Open Sans" w:cs="Open Sans"/>
          <w:sz w:val="22"/>
          <w:szCs w:val="22"/>
        </w:rPr>
        <w:t xml:space="preserve">. Este grupo supone el 66% del total (el mismo porcentaje que el año anterior). Hay que recordar que se trata de una cifra muy inferior que el 74% de 2021. </w:t>
      </w:r>
      <w:r>
        <w:rPr>
          <w:rFonts w:ascii="Open Sans" w:eastAsia="Open Sans" w:hAnsi="Open Sans" w:cs="Open Sans"/>
          <w:b/>
          <w:sz w:val="22"/>
          <w:szCs w:val="22"/>
        </w:rPr>
        <w:t>Por su parte, los compradores solteros son el 25%.</w:t>
      </w:r>
    </w:p>
    <w:p w14:paraId="79AADB34" w14:textId="77777777" w:rsidR="000B5457" w:rsidRDefault="000B5457">
      <w:pPr>
        <w:spacing w:line="276" w:lineRule="auto"/>
        <w:ind w:left="-567"/>
        <w:jc w:val="right"/>
        <w:rPr>
          <w:rFonts w:ascii="Open Sans Light" w:eastAsia="Open Sans Light" w:hAnsi="Open Sans Light" w:cs="Open Sans Light"/>
          <w:b/>
          <w:color w:val="303AB2"/>
        </w:rPr>
      </w:pPr>
    </w:p>
    <w:p w14:paraId="2AA8591F" w14:textId="77777777" w:rsidR="000B5457" w:rsidRDefault="000B5457">
      <w:pPr>
        <w:spacing w:line="276" w:lineRule="auto"/>
        <w:ind w:left="-567"/>
        <w:jc w:val="right"/>
        <w:rPr>
          <w:rFonts w:ascii="Open Sans Light" w:eastAsia="Open Sans Light" w:hAnsi="Open Sans Light" w:cs="Open Sans Light"/>
          <w:b/>
          <w:color w:val="303AB2"/>
        </w:rPr>
      </w:pPr>
    </w:p>
    <w:p w14:paraId="176FBE39" w14:textId="77777777" w:rsidR="000B5457" w:rsidRDefault="00000000">
      <w:pPr>
        <w:spacing w:line="276" w:lineRule="auto"/>
        <w:ind w:lef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4E160E2" w14:textId="77777777" w:rsidR="000B5457" w:rsidRDefault="00000000">
      <w:pPr>
        <w:shd w:val="clear" w:color="auto" w:fill="FFFFFF"/>
        <w:spacing w:before="280" w:after="280" w:line="276" w:lineRule="auto"/>
        <w:ind w:lef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54E7F37" w14:textId="77777777" w:rsidR="000B5457" w:rsidRDefault="00000000">
      <w:pPr>
        <w:shd w:val="clear" w:color="auto" w:fill="FFFFFF"/>
        <w:spacing w:before="280" w:after="280" w:line="276" w:lineRule="auto"/>
        <w:ind w:left="-567"/>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F7334E6" w14:textId="77777777" w:rsidR="000B5457" w:rsidRDefault="00000000">
      <w:pPr>
        <w:shd w:val="clear" w:color="auto" w:fill="FFFFFF"/>
        <w:spacing w:before="280" w:after="280" w:line="276" w:lineRule="auto"/>
        <w:ind w:left="-567"/>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1C1462E" w14:textId="77777777" w:rsidR="000B5457" w:rsidRDefault="000B5457">
      <w:pPr>
        <w:spacing w:line="276" w:lineRule="auto"/>
        <w:ind w:left="-567"/>
        <w:jc w:val="right"/>
        <w:rPr>
          <w:rFonts w:ascii="Open Sans Light" w:eastAsia="Open Sans Light" w:hAnsi="Open Sans Light" w:cs="Open Sans Light"/>
          <w:b/>
          <w:color w:val="303AB2"/>
        </w:rPr>
      </w:pPr>
    </w:p>
    <w:p w14:paraId="5EAE1878" w14:textId="77777777" w:rsidR="000B5457" w:rsidRDefault="00000000">
      <w:pPr>
        <w:spacing w:line="276" w:lineRule="auto"/>
        <w:ind w:lef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7ED918D" w14:textId="77777777" w:rsidR="000B5457" w:rsidRDefault="00000000">
      <w:pPr>
        <w:spacing w:before="143" w:after="200"/>
        <w:ind w:left="-567"/>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FF5C5E2" w14:textId="77777777" w:rsidR="000B5457" w:rsidRDefault="00000000">
      <w:pPr>
        <w:spacing w:before="143" w:after="200"/>
        <w:ind w:left="-567"/>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2B54C04" w14:textId="77777777" w:rsidR="000B5457" w:rsidRDefault="00000000">
      <w:pPr>
        <w:spacing w:before="143" w:after="200"/>
        <w:ind w:left="-567"/>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2031F1EC" w14:textId="77777777" w:rsidR="000B5457" w:rsidRDefault="00000000">
      <w:pPr>
        <w:spacing w:line="276" w:lineRule="auto"/>
        <w:ind w:left="-567"/>
        <w:jc w:val="right"/>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371AB49D" w14:textId="77777777" w:rsidR="000B5457" w:rsidRDefault="000B5457">
      <w:pPr>
        <w:spacing w:line="276" w:lineRule="auto"/>
        <w:ind w:left="-567"/>
        <w:jc w:val="right"/>
        <w:rPr>
          <w:rFonts w:ascii="Open Sans" w:eastAsia="Open Sans" w:hAnsi="Open Sans" w:cs="Open Sans"/>
        </w:rPr>
      </w:pPr>
    </w:p>
    <w:p w14:paraId="168FC8A0" w14:textId="77777777" w:rsidR="000B5457" w:rsidRDefault="00000000">
      <w:pPr>
        <w:spacing w:line="276" w:lineRule="auto"/>
        <w:ind w:lef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25105095" w14:textId="77777777" w:rsidR="000B5457" w:rsidRDefault="00000000">
      <w:pPr>
        <w:shd w:val="clear" w:color="auto" w:fill="FFFFFF"/>
        <w:spacing w:line="276" w:lineRule="auto"/>
        <w:ind w:lef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DF02F47" w14:textId="77777777" w:rsidR="000B5457" w:rsidRDefault="00000000">
      <w:pPr>
        <w:shd w:val="clear" w:color="auto" w:fill="FFFFFF"/>
        <w:spacing w:line="276" w:lineRule="auto"/>
        <w:ind w:left="-567"/>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252BE1E" w14:textId="77777777" w:rsidR="000B5457" w:rsidRDefault="00000000">
      <w:pPr>
        <w:shd w:val="clear" w:color="auto" w:fill="FFFFFF"/>
        <w:spacing w:line="276" w:lineRule="auto"/>
        <w:ind w:lef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B543A2C" w14:textId="77777777" w:rsidR="000B5457" w:rsidRDefault="000B5457">
      <w:pPr>
        <w:spacing w:line="276" w:lineRule="auto"/>
        <w:ind w:left="-567"/>
        <w:rPr>
          <w:rFonts w:ascii="Open Sans Light" w:eastAsia="Open Sans Light" w:hAnsi="Open Sans Light" w:cs="Open Sans Light"/>
          <w:b/>
          <w:color w:val="303AB2"/>
          <w:sz w:val="22"/>
          <w:szCs w:val="22"/>
        </w:rPr>
      </w:pPr>
    </w:p>
    <w:p w14:paraId="29488972" w14:textId="77777777" w:rsidR="000B5457" w:rsidRDefault="00000000">
      <w:pPr>
        <w:ind w:left="-567"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ECDB4A0" w14:textId="77777777" w:rsidR="000B5457" w:rsidRDefault="00000000">
      <w:pPr>
        <w:shd w:val="clear" w:color="auto" w:fill="FFFFFF"/>
        <w:ind w:left="-567" w:right="-433"/>
        <w:rPr>
          <w:rFonts w:ascii="Open Sans" w:eastAsia="Open Sans" w:hAnsi="Open Sans" w:cs="Open Sans"/>
          <w:b/>
          <w:sz w:val="22"/>
          <w:szCs w:val="22"/>
        </w:rPr>
      </w:pPr>
      <w:r>
        <w:rPr>
          <w:rFonts w:ascii="Open Sans" w:eastAsia="Open Sans" w:hAnsi="Open Sans" w:cs="Open Sans"/>
          <w:b/>
          <w:sz w:val="22"/>
          <w:szCs w:val="22"/>
        </w:rPr>
        <w:t>Fanny Merino</w:t>
      </w:r>
    </w:p>
    <w:p w14:paraId="149752A4" w14:textId="77777777" w:rsidR="000B5457" w:rsidRDefault="00000000">
      <w:pPr>
        <w:shd w:val="clear" w:color="auto" w:fill="FFFFFF"/>
        <w:ind w:left="-567" w:right="-433"/>
        <w:rPr>
          <w:rFonts w:ascii="Open Sans" w:eastAsia="Open Sans" w:hAnsi="Open Sans" w:cs="Open Sans"/>
          <w:b/>
          <w:sz w:val="22"/>
          <w:szCs w:val="22"/>
        </w:rPr>
      </w:pPr>
      <w:hyperlink r:id="rId22">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0C4A225E" w14:textId="77777777" w:rsidR="000B5457" w:rsidRPr="00930B91" w:rsidRDefault="00000000">
      <w:pPr>
        <w:shd w:val="clear" w:color="auto" w:fill="FFFFFF"/>
        <w:ind w:left="-567" w:right="-433"/>
        <w:rPr>
          <w:rFonts w:ascii="Open Sans" w:eastAsia="Open Sans" w:hAnsi="Open Sans" w:cs="Open Sans"/>
          <w:sz w:val="22"/>
          <w:szCs w:val="22"/>
          <w:lang w:val="en-US"/>
        </w:rPr>
      </w:pPr>
      <w:r w:rsidRPr="00930B91">
        <w:rPr>
          <w:rFonts w:ascii="Open Sans" w:eastAsia="Open Sans" w:hAnsi="Open Sans" w:cs="Open Sans"/>
          <w:sz w:val="22"/>
          <w:szCs w:val="22"/>
          <w:lang w:val="en-US"/>
        </w:rPr>
        <w:t>663 35 69 75 </w:t>
      </w:r>
      <w:r w:rsidRPr="00930B91">
        <w:rPr>
          <w:rFonts w:ascii="Open Sans" w:eastAsia="Open Sans" w:hAnsi="Open Sans" w:cs="Open Sans"/>
          <w:sz w:val="22"/>
          <w:szCs w:val="22"/>
          <w:lang w:val="en-US"/>
        </w:rPr>
        <w:tab/>
      </w:r>
      <w:r w:rsidRPr="00930B91">
        <w:rPr>
          <w:rFonts w:ascii="Open Sans" w:eastAsia="Open Sans" w:hAnsi="Open Sans" w:cs="Open Sans"/>
          <w:sz w:val="22"/>
          <w:szCs w:val="22"/>
          <w:lang w:val="en-US"/>
        </w:rPr>
        <w:tab/>
      </w:r>
      <w:r w:rsidRPr="00930B91">
        <w:rPr>
          <w:rFonts w:ascii="Open Sans" w:eastAsia="Open Sans" w:hAnsi="Open Sans" w:cs="Open Sans"/>
          <w:sz w:val="22"/>
          <w:szCs w:val="22"/>
          <w:lang w:val="en-US"/>
        </w:rPr>
        <w:tab/>
      </w:r>
      <w:r w:rsidRPr="00930B91">
        <w:rPr>
          <w:rFonts w:ascii="Open Sans" w:eastAsia="Open Sans" w:hAnsi="Open Sans" w:cs="Open Sans"/>
          <w:sz w:val="22"/>
          <w:szCs w:val="22"/>
          <w:lang w:val="en-US"/>
        </w:rPr>
        <w:tab/>
      </w:r>
      <w:r w:rsidRPr="00930B91">
        <w:rPr>
          <w:rFonts w:ascii="Open Sans" w:eastAsia="Open Sans" w:hAnsi="Open Sans" w:cs="Open Sans"/>
          <w:sz w:val="22"/>
          <w:szCs w:val="22"/>
          <w:lang w:val="en-US"/>
        </w:rPr>
        <w:tab/>
      </w:r>
      <w:r w:rsidRPr="00930B91">
        <w:rPr>
          <w:rFonts w:ascii="Open Sans" w:eastAsia="Open Sans" w:hAnsi="Open Sans" w:cs="Open Sans"/>
          <w:sz w:val="22"/>
          <w:szCs w:val="22"/>
          <w:lang w:val="en-US"/>
        </w:rPr>
        <w:tab/>
      </w:r>
    </w:p>
    <w:p w14:paraId="131519E3" w14:textId="77777777" w:rsidR="000B5457" w:rsidRPr="00930B91" w:rsidRDefault="00000000">
      <w:pPr>
        <w:shd w:val="clear" w:color="auto" w:fill="FFFFFF"/>
        <w:ind w:left="-567" w:right="-433"/>
        <w:rPr>
          <w:color w:val="222222"/>
          <w:sz w:val="22"/>
          <w:szCs w:val="22"/>
          <w:lang w:val="en-US"/>
        </w:rPr>
      </w:pPr>
      <w:r w:rsidRPr="00930B91">
        <w:rPr>
          <w:color w:val="222222"/>
          <w:sz w:val="22"/>
          <w:szCs w:val="22"/>
          <w:lang w:val="en-US"/>
        </w:rPr>
        <w:tab/>
      </w:r>
      <w:r w:rsidRPr="00930B91">
        <w:rPr>
          <w:color w:val="222222"/>
          <w:sz w:val="22"/>
          <w:szCs w:val="22"/>
          <w:lang w:val="en-US"/>
        </w:rPr>
        <w:tab/>
        <w:t xml:space="preserve">     </w:t>
      </w:r>
    </w:p>
    <w:p w14:paraId="2B8ED39C" w14:textId="77777777" w:rsidR="000B5457" w:rsidRPr="00930B91" w:rsidRDefault="00000000">
      <w:pPr>
        <w:shd w:val="clear" w:color="auto" w:fill="FFFFFF"/>
        <w:ind w:left="-567" w:right="-433"/>
        <w:rPr>
          <w:rFonts w:ascii="Open Sans" w:eastAsia="Open Sans" w:hAnsi="Open Sans" w:cs="Open Sans"/>
          <w:b/>
          <w:sz w:val="22"/>
          <w:szCs w:val="22"/>
          <w:lang w:val="en-US"/>
        </w:rPr>
      </w:pPr>
      <w:r w:rsidRPr="00930B91">
        <w:rPr>
          <w:rFonts w:ascii="Open Sans" w:eastAsia="Open Sans" w:hAnsi="Open Sans" w:cs="Open Sans"/>
          <w:b/>
          <w:sz w:val="22"/>
          <w:szCs w:val="22"/>
          <w:lang w:val="en-US"/>
        </w:rPr>
        <w:t xml:space="preserve">Judit </w:t>
      </w:r>
      <w:proofErr w:type="spellStart"/>
      <w:r w:rsidRPr="00930B91">
        <w:rPr>
          <w:rFonts w:ascii="Open Sans" w:eastAsia="Open Sans" w:hAnsi="Open Sans" w:cs="Open Sans"/>
          <w:b/>
          <w:sz w:val="22"/>
          <w:szCs w:val="22"/>
          <w:lang w:val="en-US"/>
        </w:rPr>
        <w:t>Campillos</w:t>
      </w:r>
      <w:proofErr w:type="spellEnd"/>
    </w:p>
    <w:p w14:paraId="2158DFB7" w14:textId="77777777" w:rsidR="000B5457" w:rsidRPr="00930B91" w:rsidRDefault="00000000">
      <w:pPr>
        <w:shd w:val="clear" w:color="auto" w:fill="FFFFFF"/>
        <w:ind w:left="-567" w:right="-433"/>
        <w:rPr>
          <w:rFonts w:ascii="Open Sans" w:eastAsia="Open Sans" w:hAnsi="Open Sans" w:cs="Open Sans"/>
          <w:b/>
          <w:sz w:val="22"/>
          <w:szCs w:val="22"/>
          <w:lang w:val="en-US"/>
        </w:rPr>
      </w:pPr>
      <w:proofErr w:type="spellStart"/>
      <w:r w:rsidRPr="00930B91">
        <w:rPr>
          <w:rFonts w:ascii="Open Sans" w:eastAsia="Open Sans" w:hAnsi="Open Sans" w:cs="Open Sans"/>
          <w:color w:val="0000FF"/>
          <w:sz w:val="22"/>
          <w:szCs w:val="22"/>
          <w:u w:val="single"/>
          <w:lang w:val="en-US"/>
        </w:rPr>
        <w:t>jcampillos</w:t>
      </w:r>
      <w:hyperlink r:id="rId23">
        <w:r w:rsidRPr="00930B91">
          <w:rPr>
            <w:rFonts w:ascii="Open Sans" w:eastAsia="Open Sans" w:hAnsi="Open Sans" w:cs="Open Sans"/>
            <w:color w:val="0000FF"/>
            <w:sz w:val="22"/>
            <w:szCs w:val="22"/>
            <w:u w:val="single"/>
            <w:lang w:val="en-US"/>
          </w:rPr>
          <w:t>@ll</w:t>
        </w:r>
      </w:hyperlink>
      <w:r w:rsidRPr="00930B91">
        <w:rPr>
          <w:rFonts w:ascii="Open Sans" w:eastAsia="Open Sans" w:hAnsi="Open Sans" w:cs="Open Sans"/>
          <w:color w:val="0000FF"/>
          <w:sz w:val="22"/>
          <w:szCs w:val="22"/>
          <w:u w:val="single"/>
          <w:lang w:val="en-US"/>
        </w:rPr>
        <w:t>yc.global</w:t>
      </w:r>
      <w:proofErr w:type="spellEnd"/>
      <w:r w:rsidRPr="00930B91">
        <w:rPr>
          <w:rFonts w:ascii="Open Sans" w:eastAsia="Open Sans" w:hAnsi="Open Sans" w:cs="Open Sans"/>
          <w:color w:val="0000FF"/>
          <w:sz w:val="22"/>
          <w:szCs w:val="22"/>
          <w:lang w:val="en-US"/>
        </w:rPr>
        <w:tab/>
      </w:r>
      <w:r w:rsidRPr="00930B91">
        <w:rPr>
          <w:rFonts w:ascii="Open Sans" w:eastAsia="Open Sans" w:hAnsi="Open Sans" w:cs="Open Sans"/>
          <w:color w:val="0000FF"/>
          <w:sz w:val="22"/>
          <w:szCs w:val="22"/>
          <w:lang w:val="en-US"/>
        </w:rPr>
        <w:tab/>
      </w:r>
    </w:p>
    <w:p w14:paraId="698B335D" w14:textId="77777777" w:rsidR="000B5457" w:rsidRDefault="00000000">
      <w:pPr>
        <w:shd w:val="clear" w:color="auto" w:fill="FFFFFF"/>
        <w:ind w:left="-567" w:right="-433"/>
        <w:rPr>
          <w:rFonts w:ascii="Open Sans" w:eastAsia="Open Sans" w:hAnsi="Open Sans" w:cs="Open Sans"/>
          <w:sz w:val="22"/>
          <w:szCs w:val="22"/>
        </w:rPr>
      </w:pPr>
      <w:r>
        <w:rPr>
          <w:rFonts w:ascii="Open Sans" w:eastAsia="Open Sans" w:hAnsi="Open Sans" w:cs="Open Sans"/>
          <w:sz w:val="22"/>
          <w:szCs w:val="22"/>
        </w:rPr>
        <w:t>699 13 91 53</w:t>
      </w:r>
    </w:p>
    <w:p w14:paraId="1C3E665B" w14:textId="77777777" w:rsidR="000B5457" w:rsidRDefault="000B5457">
      <w:pPr>
        <w:ind w:left="-567"/>
        <w:rPr>
          <w:rFonts w:ascii="Open Sans" w:eastAsia="Open Sans" w:hAnsi="Open Sans" w:cs="Open Sans"/>
          <w:color w:val="30302E"/>
          <w:sz w:val="22"/>
          <w:szCs w:val="22"/>
          <w:highlight w:val="white"/>
        </w:rPr>
      </w:pPr>
    </w:p>
    <w:p w14:paraId="20E9764B" w14:textId="77777777" w:rsidR="000B5457" w:rsidRDefault="00000000">
      <w:pPr>
        <w:ind w:left="-567"/>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376BEECB" w14:textId="77777777" w:rsidR="000B5457" w:rsidRDefault="00000000">
      <w:pPr>
        <w:ind w:left="-567"/>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alicia.salvatella@llyc.global</w:t>
        </w:r>
      </w:hyperlink>
    </w:p>
    <w:p w14:paraId="42B4A987" w14:textId="77777777" w:rsidR="000B5457" w:rsidRDefault="00000000">
      <w:pPr>
        <w:ind w:left="-567"/>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7D87A55" w14:textId="77777777" w:rsidR="000B5457" w:rsidRDefault="000B5457">
      <w:pPr>
        <w:shd w:val="clear" w:color="auto" w:fill="FFFFFF"/>
        <w:ind w:left="-567"/>
        <w:rPr>
          <w:rFonts w:ascii="Open Sans" w:eastAsia="Open Sans" w:hAnsi="Open Sans" w:cs="Open Sans"/>
          <w:color w:val="000000"/>
          <w:sz w:val="22"/>
          <w:szCs w:val="22"/>
        </w:rPr>
      </w:pPr>
    </w:p>
    <w:p w14:paraId="36D9E400" w14:textId="77777777" w:rsidR="000B5457" w:rsidRDefault="000B5457">
      <w:pPr>
        <w:spacing w:line="276" w:lineRule="auto"/>
        <w:jc w:val="center"/>
        <w:rPr>
          <w:rFonts w:ascii="Open Sans" w:eastAsia="Open Sans" w:hAnsi="Open Sans" w:cs="Open Sans"/>
          <w:color w:val="000000"/>
          <w:sz w:val="21"/>
          <w:szCs w:val="21"/>
        </w:rPr>
      </w:pPr>
    </w:p>
    <w:sectPr w:rsidR="000B5457">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1386E" w14:textId="77777777" w:rsidR="0095501B" w:rsidRDefault="0095501B">
      <w:r>
        <w:separator/>
      </w:r>
    </w:p>
  </w:endnote>
  <w:endnote w:type="continuationSeparator" w:id="0">
    <w:p w14:paraId="7648B848" w14:textId="77777777" w:rsidR="0095501B" w:rsidRDefault="0095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94C20CB-A615-4F2C-9952-A303432212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F6C849-93BA-4340-8A2D-D1BA64E6F438}"/>
    <w:embedBold r:id="rId3" w:fontKey="{B3C0B549-A4A0-4F25-A1DB-B2717FA236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FC86D1F-111E-4B57-B228-241371C7DB83}"/>
    <w:embedItalic r:id="rId5" w:fontKey="{3E61C16F-22A1-4A56-8CE7-40782FDEB90E}"/>
  </w:font>
  <w:font w:name="Cambria">
    <w:panose1 w:val="02040503050406030204"/>
    <w:charset w:val="00"/>
    <w:family w:val="roman"/>
    <w:pitch w:val="variable"/>
    <w:sig w:usb0="E00006FF" w:usb1="420024FF" w:usb2="02000000" w:usb3="00000000" w:csb0="0000019F" w:csb1="00000000"/>
    <w:embedRegular r:id="rId6" w:fontKey="{B644D5CA-CAB8-4CF0-A72B-A821691F632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83E477D-2821-4F35-9C19-BE4245BD7822}"/>
    <w:embedBold r:id="rId8" w:fontKey="{E0CC1F8F-5DBC-46A0-981A-D168F20DEE45}"/>
    <w:embedBoldItalic r:id="rId9" w:fontKey="{5FCEFF95-74DA-4822-A4D6-1DE6D7160423}"/>
  </w:font>
  <w:font w:name="Open Sans Light">
    <w:charset w:val="00"/>
    <w:family w:val="swiss"/>
    <w:pitch w:val="variable"/>
    <w:sig w:usb0="E00002EF" w:usb1="4000205B" w:usb2="00000028" w:usb3="00000000" w:csb0="0000019F" w:csb1="00000000"/>
    <w:embedRegular r:id="rId10" w:fontKey="{862DA844-51AF-4236-8154-32F7DC1BA00A}"/>
    <w:embedBold r:id="rId11" w:fontKey="{D6AC2B80-1F89-441E-951C-3B67FE393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212A" w14:textId="77777777" w:rsidR="000B545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AB212B" wp14:editId="05242ACB">
          <wp:simplePos x="0" y="0"/>
          <wp:positionH relativeFrom="column">
            <wp:posOffset>-1068056</wp:posOffset>
          </wp:positionH>
          <wp:positionV relativeFrom="paragraph">
            <wp:posOffset>174608</wp:posOffset>
          </wp:positionV>
          <wp:extent cx="7670550" cy="451315"/>
          <wp:effectExtent l="0" t="0" r="0" b="0"/>
          <wp:wrapNone/>
          <wp:docPr id="20937902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033D0" w14:textId="77777777" w:rsidR="0095501B" w:rsidRDefault="0095501B">
      <w:r>
        <w:separator/>
      </w:r>
    </w:p>
  </w:footnote>
  <w:footnote w:type="continuationSeparator" w:id="0">
    <w:p w14:paraId="4BE21A0B" w14:textId="77777777" w:rsidR="0095501B" w:rsidRDefault="00955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3E23F4"/>
    <w:multiLevelType w:val="multilevel"/>
    <w:tmpl w:val="F0DA5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340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457"/>
    <w:rsid w:val="000B5457"/>
    <w:rsid w:val="006C7CDD"/>
    <w:rsid w:val="00930B91"/>
    <w:rsid w:val="009550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DF21"/>
  <w15:docId w15:val="{D0A37A62-52F4-4E97-97A0-9E0B9B4D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licia.salvatella@llyc.global"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mailto:emerino@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08/Informe-Perfil-del-hipotecado-espaniol-en-2024.pdf" TargetMode="External"/><Relationship Id="rId14" Type="http://schemas.openxmlformats.org/officeDocument/2006/relationships/hyperlink" Target="https://www.fotocasa.es/es/quienes-somos/" TargetMode="External"/><Relationship Id="rId22" Type="http://schemas.openxmlformats.org/officeDocument/2006/relationships/hyperlink" Target="mailto:emerino@llorenteycuenca.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8e8IyJj9uE/XRk/RfNFAcHprgQ==">CgMxLjAyCWguMnM4ZXlvMTgAciExSWNaNE5pU0U4bDVqZUl2YlpPMHE4SVpWeUlwOW1HdWc=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1022</Words>
  <Characters>5627</Characters>
  <Application>Microsoft Office Word</Application>
  <DocSecurity>0</DocSecurity>
  <Lines>46</Lines>
  <Paragraphs>13</Paragraphs>
  <ScaleCrop>false</ScaleCrop>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2024-10-15T09:49:00Z</dcterms:modified>
</cp:coreProperties>
</file>