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020B5" w14:textId="77777777" w:rsidR="003E0FD8" w:rsidRDefault="00000000">
      <w:r>
        <w:rPr>
          <w:noProof/>
        </w:rPr>
        <w:drawing>
          <wp:anchor distT="0" distB="0" distL="114300" distR="114300" simplePos="0" relativeHeight="251658240" behindDoc="0" locked="0" layoutInCell="1" hidden="0" allowOverlap="1" wp14:anchorId="1DF3F30D" wp14:editId="32BFEBDA">
            <wp:simplePos x="0" y="0"/>
            <wp:positionH relativeFrom="column">
              <wp:posOffset>-1080127</wp:posOffset>
            </wp:positionH>
            <wp:positionV relativeFrom="paragraph">
              <wp:posOffset>-654677</wp:posOffset>
            </wp:positionV>
            <wp:extent cx="7581265" cy="1019175"/>
            <wp:effectExtent l="0" t="0" r="0" b="0"/>
            <wp:wrapNone/>
            <wp:docPr id="20668165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7D38D01" w14:textId="77777777" w:rsidR="003E0FD8" w:rsidRDefault="003E0FD8">
      <w:pPr>
        <w:jc w:val="right"/>
        <w:rPr>
          <w:rFonts w:ascii="National" w:eastAsia="National" w:hAnsi="National" w:cs="National"/>
          <w:color w:val="303AB2"/>
          <w:sz w:val="36"/>
          <w:szCs w:val="36"/>
        </w:rPr>
      </w:pPr>
    </w:p>
    <w:p w14:paraId="49D5439E" w14:textId="77777777" w:rsidR="003E0FD8" w:rsidRDefault="003E0FD8">
      <w:pPr>
        <w:rPr>
          <w:rFonts w:ascii="National" w:eastAsia="National" w:hAnsi="National" w:cs="National"/>
          <w:color w:val="303AB2"/>
          <w:sz w:val="18"/>
          <w:szCs w:val="18"/>
        </w:rPr>
      </w:pPr>
    </w:p>
    <w:p w14:paraId="158FDF97" w14:textId="77777777" w:rsidR="003E0FD8"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ANDALUCÍA</w:t>
      </w:r>
    </w:p>
    <w:p w14:paraId="4B815981" w14:textId="77777777" w:rsidR="003E0FD8"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 xml:space="preserve">La búsqueda de vivienda en Andalucía se contrae un 25% por la falta de oferta de alquiler  </w:t>
      </w:r>
    </w:p>
    <w:p w14:paraId="3C5385CD" w14:textId="77777777" w:rsidR="003E0FD8" w:rsidRDefault="003E0FD8">
      <w:pPr>
        <w:spacing w:line="276" w:lineRule="auto"/>
        <w:ind w:right="4"/>
        <w:jc w:val="both"/>
        <w:rPr>
          <w:rFonts w:ascii="Open Sans" w:eastAsia="Open Sans" w:hAnsi="Open Sans" w:cs="Open Sans"/>
          <w:color w:val="303AB2"/>
        </w:rPr>
      </w:pPr>
    </w:p>
    <w:p w14:paraId="6B40DE70" w14:textId="77777777" w:rsidR="003E0FD8"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Descienden quienes han cerrado un contrato de alquiler de vivienda, pasando del 8% en febrero de 2023 al 6% en el mismo mes de 2024</w:t>
      </w:r>
    </w:p>
    <w:p w14:paraId="32A26E24" w14:textId="77777777" w:rsidR="003E0FD8"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Solo el 3% de los andaluces participan ofertando inmuebles en Andalucía, una cifra que cae dos puntos porcentuales desde la pandemia</w:t>
      </w:r>
    </w:p>
    <w:p w14:paraId="58A098E4" w14:textId="170F29F4" w:rsidR="0026503D" w:rsidRPr="0026503D" w:rsidRDefault="00000000" w:rsidP="0026503D">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También desciende la demanda de arrendamiento, desde el impacto de la covid-19, al reducirse 10 puntos debido a los altos precios del alquiler</w:t>
      </w:r>
    </w:p>
    <w:p w14:paraId="649AAEDA" w14:textId="77777777" w:rsidR="003E0FD8" w:rsidRDefault="003E0FD8">
      <w:pPr>
        <w:pBdr>
          <w:top w:val="nil"/>
          <w:left w:val="nil"/>
          <w:bottom w:val="nil"/>
          <w:right w:val="nil"/>
          <w:between w:val="nil"/>
        </w:pBdr>
        <w:spacing w:line="276" w:lineRule="auto"/>
        <w:ind w:left="720"/>
        <w:jc w:val="both"/>
        <w:rPr>
          <w:rFonts w:ascii="Open Sans" w:eastAsia="Open Sans" w:hAnsi="Open Sans" w:cs="Open Sans"/>
          <w:color w:val="000000"/>
          <w:sz w:val="22"/>
          <w:szCs w:val="22"/>
        </w:rPr>
      </w:pPr>
    </w:p>
    <w:p w14:paraId="1D32CDEB" w14:textId="75341D57" w:rsidR="003E0FD8" w:rsidRDefault="007A207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Málaga, 2 de octubre de 2024</w:t>
      </w:r>
    </w:p>
    <w:p w14:paraId="4112795A" w14:textId="77777777" w:rsidR="003E0FD8" w:rsidRDefault="003E0FD8">
      <w:pPr>
        <w:pBdr>
          <w:top w:val="nil"/>
          <w:left w:val="nil"/>
          <w:bottom w:val="nil"/>
          <w:right w:val="nil"/>
          <w:between w:val="nil"/>
        </w:pBdr>
        <w:spacing w:line="276" w:lineRule="auto"/>
        <w:jc w:val="both"/>
        <w:rPr>
          <w:rFonts w:ascii="Open Sans" w:eastAsia="Open Sans" w:hAnsi="Open Sans" w:cs="Open Sans"/>
        </w:rPr>
      </w:pPr>
    </w:p>
    <w:p w14:paraId="7CC64862" w14:textId="0C9E496B" w:rsidR="003E0FD8" w:rsidRDefault="00000000">
      <w:pPr>
        <w:spacing w:line="276" w:lineRule="auto"/>
        <w:jc w:val="both"/>
        <w:rPr>
          <w:rFonts w:ascii="Open Sans" w:eastAsia="Open Sans" w:hAnsi="Open Sans" w:cs="Open Sans"/>
        </w:rPr>
      </w:pPr>
      <w:r>
        <w:rPr>
          <w:rFonts w:ascii="Open Sans" w:eastAsia="Open Sans" w:hAnsi="Open Sans" w:cs="Open Sans"/>
        </w:rPr>
        <w:t>El repliegue que se constata en el mercado inmobiliario andaluz viene causado sobre todo por el</w:t>
      </w:r>
      <w:r>
        <w:rPr>
          <w:rFonts w:ascii="Open Sans" w:eastAsia="Open Sans" w:hAnsi="Open Sans" w:cs="Open Sans"/>
          <w:b/>
        </w:rPr>
        <w:t xml:space="preserve"> descenso de la cifra de particulares que efectivamente han cerrado un contrato de alquiler de vivienda</w:t>
      </w:r>
      <w:r>
        <w:rPr>
          <w:rFonts w:ascii="Open Sans" w:eastAsia="Open Sans" w:hAnsi="Open Sans" w:cs="Open Sans"/>
        </w:rPr>
        <w:t>, que se reduce desde el 8 % registrado en febrero de 2023 al 6 % del mismo mes de 2024. Es decir, dos puntos porcentuales de diferencia entre ambos puntos de medición (en agosto de 2023 la cifra se quedó en el 5 %). Esta es una de las principales conclusiones que se extraen del informe “</w:t>
      </w:r>
      <w:hyperlink r:id="rId9" w:history="1">
        <w:r w:rsidRPr="00A65804">
          <w:rPr>
            <w:rStyle w:val="Hipervnculo"/>
            <w:rFonts w:ascii="Open Sans" w:eastAsia="Open Sans" w:hAnsi="Open Sans" w:cs="Open Sans"/>
            <w:b/>
            <w:i/>
          </w:rPr>
          <w:t>Radiografía del mercado de la vivienda en Andalucía en 2024</w:t>
        </w:r>
      </w:hyperlink>
      <w:r>
        <w:rPr>
          <w:rFonts w:ascii="Open Sans" w:eastAsia="Open Sans" w:hAnsi="Open Sans" w:cs="Open Sans"/>
        </w:rPr>
        <w:t xml:space="preserve">”, elaborado por </w:t>
      </w:r>
      <w:r w:rsidRPr="00C55C61">
        <w:rPr>
          <w:rFonts w:ascii="Open Sans" w:eastAsia="Open Sans" w:hAnsi="Open Sans" w:cs="Open Sans"/>
          <w:b/>
          <w:bCs/>
          <w:i/>
        </w:rPr>
        <w:t>Fotocasa Research</w:t>
      </w:r>
      <w:r>
        <w:rPr>
          <w:rFonts w:ascii="Open Sans" w:eastAsia="Open Sans" w:hAnsi="Open Sans" w:cs="Open Sans"/>
          <w:b/>
        </w:rPr>
        <w:t xml:space="preserve">, </w:t>
      </w:r>
      <w:r>
        <w:rPr>
          <w:rFonts w:ascii="Open Sans" w:eastAsia="Open Sans" w:hAnsi="Open Sans" w:cs="Open Sans"/>
        </w:rPr>
        <w:t>en el que se pulsa el comportamiento de la oferta y la demanda de vivienda en la comunidad.</w:t>
      </w:r>
    </w:p>
    <w:p w14:paraId="5DD3DDDF" w14:textId="77777777" w:rsidR="003E0FD8" w:rsidRDefault="003E0FD8">
      <w:pPr>
        <w:spacing w:line="276" w:lineRule="auto"/>
        <w:jc w:val="both"/>
        <w:rPr>
          <w:rFonts w:ascii="Open Sans" w:eastAsia="Open Sans" w:hAnsi="Open Sans" w:cs="Open Sans"/>
        </w:rPr>
      </w:pPr>
    </w:p>
    <w:p w14:paraId="23F3A109" w14:textId="77777777" w:rsidR="003E0FD8" w:rsidRDefault="00000000">
      <w:pPr>
        <w:spacing w:line="276" w:lineRule="auto"/>
        <w:jc w:val="both"/>
        <w:rPr>
          <w:rFonts w:ascii="Open Sans" w:eastAsia="Open Sans" w:hAnsi="Open Sans" w:cs="Open Sans"/>
        </w:rPr>
      </w:pPr>
      <w:r>
        <w:rPr>
          <w:rFonts w:ascii="Open Sans" w:eastAsia="Open Sans" w:hAnsi="Open Sans" w:cs="Open Sans"/>
        </w:rPr>
        <w:t xml:space="preserve">De forma progresiva y escalonada, aunque con altibajos, los últimos años muestran una </w:t>
      </w:r>
      <w:r>
        <w:rPr>
          <w:rFonts w:ascii="Open Sans" w:eastAsia="Open Sans" w:hAnsi="Open Sans" w:cs="Open Sans"/>
          <w:b/>
        </w:rPr>
        <w:t>clara tendencia descendente en la participación de particulares como ofertantes de vivienda en Andalucía</w:t>
      </w:r>
      <w:r>
        <w:rPr>
          <w:rFonts w:ascii="Open Sans" w:eastAsia="Open Sans" w:hAnsi="Open Sans" w:cs="Open Sans"/>
        </w:rPr>
        <w:t xml:space="preserve">. Así, si antes de la pandemia había más de un 5 % de particulares participando en la oferta tanto en compraventa como en el alquiler, en la actualidad se sitúa en el 3 % en ambos mercados. </w:t>
      </w:r>
    </w:p>
    <w:p w14:paraId="547594C2" w14:textId="77777777" w:rsidR="00172997" w:rsidRDefault="00172997">
      <w:pPr>
        <w:spacing w:line="276" w:lineRule="auto"/>
        <w:jc w:val="both"/>
        <w:rPr>
          <w:rFonts w:ascii="Open Sans" w:eastAsia="Open Sans" w:hAnsi="Open Sans" w:cs="Open Sans"/>
        </w:rPr>
      </w:pPr>
    </w:p>
    <w:p w14:paraId="3DD8C30C" w14:textId="77777777" w:rsidR="00172997" w:rsidRDefault="00172997">
      <w:pPr>
        <w:spacing w:line="276" w:lineRule="auto"/>
        <w:jc w:val="both"/>
        <w:rPr>
          <w:rFonts w:ascii="Open Sans" w:eastAsia="Open Sans" w:hAnsi="Open Sans" w:cs="Open Sans"/>
        </w:rPr>
      </w:pPr>
    </w:p>
    <w:p w14:paraId="3FBF84C4" w14:textId="77777777" w:rsidR="00172997" w:rsidRDefault="00172997">
      <w:pPr>
        <w:spacing w:line="276" w:lineRule="auto"/>
        <w:jc w:val="both"/>
        <w:rPr>
          <w:rFonts w:ascii="Open Sans" w:eastAsia="Open Sans" w:hAnsi="Open Sans" w:cs="Open Sans"/>
        </w:rPr>
      </w:pPr>
    </w:p>
    <w:p w14:paraId="31553223" w14:textId="77777777" w:rsidR="003E0FD8" w:rsidRDefault="00172997">
      <w:pPr>
        <w:spacing w:line="276" w:lineRule="auto"/>
        <w:jc w:val="both"/>
        <w:rPr>
          <w:rFonts w:ascii="Open Sans" w:eastAsia="Open Sans" w:hAnsi="Open Sans" w:cs="Open Sans"/>
        </w:rPr>
      </w:pPr>
      <w:r>
        <w:rPr>
          <w:noProof/>
        </w:rPr>
        <w:lastRenderedPageBreak/>
        <w:drawing>
          <wp:inline distT="0" distB="0" distL="0" distR="0" wp14:anchorId="07C7D188" wp14:editId="71995C48">
            <wp:extent cx="5760720" cy="3297555"/>
            <wp:effectExtent l="0" t="0" r="0" b="0"/>
            <wp:docPr id="1565540717" name="Imagen 1" descr="Gráfico, Gráfico de línea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40717" name="Imagen 1" descr="Gráfico, Gráfico de líneas&#10;&#10;Descripción generada automáticamente">
                      <a:hlinkClick r:id="rId9"/>
                    </pic:cNvPr>
                    <pic:cNvPicPr/>
                  </pic:nvPicPr>
                  <pic:blipFill>
                    <a:blip r:embed="rId10"/>
                    <a:stretch>
                      <a:fillRect/>
                    </a:stretch>
                  </pic:blipFill>
                  <pic:spPr>
                    <a:xfrm>
                      <a:off x="0" y="0"/>
                      <a:ext cx="5760720" cy="3297555"/>
                    </a:xfrm>
                    <a:prstGeom prst="rect">
                      <a:avLst/>
                    </a:prstGeom>
                  </pic:spPr>
                </pic:pic>
              </a:graphicData>
            </a:graphic>
          </wp:inline>
        </w:drawing>
      </w:r>
    </w:p>
    <w:p w14:paraId="2C7147E0" w14:textId="77777777" w:rsidR="00172997" w:rsidRDefault="00172997">
      <w:pPr>
        <w:spacing w:line="276" w:lineRule="auto"/>
        <w:jc w:val="both"/>
        <w:rPr>
          <w:rFonts w:ascii="Open Sans" w:eastAsia="Open Sans" w:hAnsi="Open Sans" w:cs="Open Sans"/>
        </w:rPr>
      </w:pPr>
    </w:p>
    <w:p w14:paraId="10DF2A14" w14:textId="77777777" w:rsidR="003E0FD8" w:rsidRDefault="00000000">
      <w:pPr>
        <w:spacing w:line="276" w:lineRule="auto"/>
        <w:jc w:val="both"/>
        <w:rPr>
          <w:rFonts w:ascii="Open Sans" w:eastAsia="Open Sans" w:hAnsi="Open Sans" w:cs="Open Sans"/>
        </w:rPr>
      </w:pPr>
      <w:r>
        <w:rPr>
          <w:rFonts w:ascii="Open Sans" w:eastAsia="Open Sans" w:hAnsi="Open Sans" w:cs="Open Sans"/>
        </w:rPr>
        <w:t>Sin embargo, en la demanda sí que se percibe que, en el largo plazo, ha sido en el arrendamiento donde se ha producido un mayor descenso de la participación de particulares: hasta 2021 se movía en niveles cercanos al 20 % —incluso en agosto de 2022 registró un fuerte repunte hasta el 19 %— y ahora se sitúa en el 11 %.</w:t>
      </w:r>
    </w:p>
    <w:p w14:paraId="5C5E029A" w14:textId="77777777" w:rsidR="003E0FD8" w:rsidRDefault="003E0FD8">
      <w:pPr>
        <w:spacing w:after="160" w:line="259" w:lineRule="auto"/>
        <w:rPr>
          <w:sz w:val="22"/>
          <w:szCs w:val="22"/>
        </w:rPr>
      </w:pPr>
    </w:p>
    <w:p w14:paraId="1D96B6C6" w14:textId="77777777" w:rsidR="003E0FD8" w:rsidRDefault="00000000">
      <w:pPr>
        <w:spacing w:line="276" w:lineRule="auto"/>
        <w:jc w:val="both"/>
        <w:rPr>
          <w:rFonts w:ascii="Open Sans" w:eastAsia="Open Sans" w:hAnsi="Open Sans" w:cs="Open Sans"/>
          <w:b/>
        </w:rPr>
      </w:pPr>
      <w:r>
        <w:rPr>
          <w:rFonts w:ascii="Open Sans" w:eastAsia="Open Sans" w:hAnsi="Open Sans" w:cs="Open Sans"/>
        </w:rPr>
        <w:t xml:space="preserve">“El mercado del alquiler en Andalucía atraviesa uno de sus momentos más complicados debido a la fuerte contracción de oferta disponible. La falta de stock de inmuebles dificulta el acceso a la vivienda, al impulsar los precios al alza. Como consecuencia, menos ciudadanos buscan vivienda en alquiler, al percibir los precios como prohibitivos y operar en un mercado de muy poca rotación y cada vez más compacto”,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39EE81D4" w14:textId="77777777" w:rsidR="003E0FD8" w:rsidRDefault="003E0FD8">
      <w:pPr>
        <w:spacing w:line="276" w:lineRule="auto"/>
        <w:ind w:right="4"/>
        <w:jc w:val="both"/>
        <w:rPr>
          <w:rFonts w:ascii="Open Sans" w:eastAsia="Open Sans" w:hAnsi="Open Sans" w:cs="Open Sans"/>
        </w:rPr>
      </w:pPr>
    </w:p>
    <w:p w14:paraId="0DF768D4" w14:textId="77777777" w:rsidR="003E0FD8" w:rsidRDefault="00000000">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Descenso del alquiler efectivo de inquilinos</w:t>
      </w:r>
    </w:p>
    <w:p w14:paraId="677D3314" w14:textId="77777777" w:rsidR="003E0FD8" w:rsidRDefault="003E0FD8">
      <w:pPr>
        <w:spacing w:line="276" w:lineRule="auto"/>
        <w:jc w:val="both"/>
        <w:rPr>
          <w:rFonts w:ascii="Open Sans" w:eastAsia="Open Sans" w:hAnsi="Open Sans" w:cs="Open Sans"/>
        </w:rPr>
      </w:pPr>
    </w:p>
    <w:p w14:paraId="491D6A98" w14:textId="77777777" w:rsidR="003E0FD8" w:rsidRDefault="00000000">
      <w:pPr>
        <w:spacing w:line="276" w:lineRule="auto"/>
        <w:jc w:val="both"/>
        <w:rPr>
          <w:rFonts w:ascii="Open Sans" w:eastAsia="Open Sans" w:hAnsi="Open Sans" w:cs="Open Sans"/>
        </w:rPr>
      </w:pPr>
      <w:r>
        <w:rPr>
          <w:rFonts w:ascii="Open Sans" w:eastAsia="Open Sans" w:hAnsi="Open Sans" w:cs="Open Sans"/>
        </w:rPr>
        <w:t xml:space="preserve">En general, en el desglose de particulares participando en el mercado en la parte de la compraventa y la del alquiler en Andalucía se observan nuevamente descensos en ambos grupos en comparación con los dígitos de agosto, pero un comportamiento dispar si medimos los porcentajes con respecto a los verificados en febrero de 2023. </w:t>
      </w:r>
    </w:p>
    <w:p w14:paraId="088F2B61" w14:textId="77777777" w:rsidR="003E0FD8" w:rsidRDefault="003E0FD8">
      <w:pPr>
        <w:spacing w:line="276" w:lineRule="auto"/>
        <w:jc w:val="both"/>
        <w:rPr>
          <w:rFonts w:ascii="Open Sans" w:eastAsia="Open Sans" w:hAnsi="Open Sans" w:cs="Open Sans"/>
        </w:rPr>
      </w:pPr>
    </w:p>
    <w:p w14:paraId="777FD9C3" w14:textId="77777777" w:rsidR="003E0FD8" w:rsidRDefault="00000000">
      <w:pPr>
        <w:spacing w:line="276" w:lineRule="auto"/>
        <w:jc w:val="both"/>
        <w:rPr>
          <w:rFonts w:ascii="Open Sans" w:eastAsia="Open Sans" w:hAnsi="Open Sans" w:cs="Open Sans"/>
        </w:rPr>
      </w:pPr>
      <w:r>
        <w:rPr>
          <w:rFonts w:ascii="Open Sans" w:eastAsia="Open Sans" w:hAnsi="Open Sans" w:cs="Open Sans"/>
        </w:rPr>
        <w:lastRenderedPageBreak/>
        <w:t>De este modo, mientras que del lado de la compraventa se aprecia una caída desde el 17 % de agosto a los 16 % de febrero de 2024, es decir, un punto porcentual menos, el balance es, sin embargo, positivo en la comparativa con febrero de 2023, cuando la cifra se quedó en el 15 %.</w:t>
      </w:r>
    </w:p>
    <w:p w14:paraId="7ED21083" w14:textId="77777777" w:rsidR="003E0FD8" w:rsidRDefault="003E0FD8">
      <w:pPr>
        <w:spacing w:line="276" w:lineRule="auto"/>
        <w:jc w:val="both"/>
        <w:rPr>
          <w:rFonts w:ascii="Open Sans" w:eastAsia="Open Sans" w:hAnsi="Open Sans" w:cs="Open Sans"/>
        </w:rPr>
      </w:pPr>
    </w:p>
    <w:p w14:paraId="5BD06966" w14:textId="77777777" w:rsidR="003E0FD8" w:rsidRDefault="00000000">
      <w:pPr>
        <w:spacing w:line="276" w:lineRule="auto"/>
        <w:jc w:val="both"/>
        <w:rPr>
          <w:rFonts w:ascii="Open Sans" w:eastAsia="Open Sans" w:hAnsi="Open Sans" w:cs="Open Sans"/>
        </w:rPr>
      </w:pPr>
      <w:r>
        <w:rPr>
          <w:rFonts w:ascii="Open Sans" w:eastAsia="Open Sans" w:hAnsi="Open Sans" w:cs="Open Sans"/>
        </w:rPr>
        <w:t xml:space="preserve">Pero es nuevamente </w:t>
      </w:r>
      <w:r>
        <w:rPr>
          <w:rFonts w:ascii="Open Sans" w:eastAsia="Open Sans" w:hAnsi="Open Sans" w:cs="Open Sans"/>
          <w:b/>
        </w:rPr>
        <w:t>en el alquiler donde se encuentra el principal origen del retroceso global del mercado de la vivienda en esta comunidad</w:t>
      </w:r>
      <w:r>
        <w:rPr>
          <w:rFonts w:ascii="Open Sans" w:eastAsia="Open Sans" w:hAnsi="Open Sans" w:cs="Open Sans"/>
        </w:rPr>
        <w:t xml:space="preserve">, dado que del 17 % de actividad medida en febrero de 2023 se cae al 14 % un año después, un descenso de tres puntos porcentuales. Esta cifra también es inferior a la anotada en agosto, cuando fue del 16 %. Se confirma, por lo tanto, que es el mercado del alquiler el que lastra en 2024 el mercado de la vivienda en Andalucía. </w:t>
      </w:r>
    </w:p>
    <w:p w14:paraId="656858FA" w14:textId="77777777" w:rsidR="00B64847" w:rsidRDefault="00B64847">
      <w:pPr>
        <w:spacing w:line="276" w:lineRule="auto"/>
        <w:jc w:val="both"/>
        <w:rPr>
          <w:rFonts w:ascii="Open Sans" w:eastAsia="Open Sans" w:hAnsi="Open Sans" w:cs="Open Sans"/>
        </w:rPr>
      </w:pPr>
    </w:p>
    <w:p w14:paraId="6F2A5060" w14:textId="77777777" w:rsidR="003E0FD8" w:rsidRDefault="00B64847">
      <w:pPr>
        <w:spacing w:line="276" w:lineRule="auto"/>
        <w:rPr>
          <w:rFonts w:ascii="Open Sans Light" w:eastAsia="Open Sans Light" w:hAnsi="Open Sans Light" w:cs="Open Sans Light"/>
          <w:b/>
          <w:color w:val="303AB2"/>
        </w:rPr>
      </w:pPr>
      <w:r>
        <w:rPr>
          <w:noProof/>
        </w:rPr>
        <w:drawing>
          <wp:inline distT="0" distB="0" distL="0" distR="0" wp14:anchorId="6EE811F2" wp14:editId="2F7333DC">
            <wp:extent cx="5760720" cy="2991485"/>
            <wp:effectExtent l="0" t="0" r="0" b="0"/>
            <wp:docPr id="1561066564" name="Imagen 1" descr="Gráfico, Gráfico de línea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66564" name="Imagen 1" descr="Gráfico, Gráfico de líneas&#10;&#10;Descripción generada automáticamente">
                      <a:hlinkClick r:id="rId9"/>
                    </pic:cNvPr>
                    <pic:cNvPicPr/>
                  </pic:nvPicPr>
                  <pic:blipFill>
                    <a:blip r:embed="rId12"/>
                    <a:stretch>
                      <a:fillRect/>
                    </a:stretch>
                  </pic:blipFill>
                  <pic:spPr>
                    <a:xfrm>
                      <a:off x="0" y="0"/>
                      <a:ext cx="5760720" cy="2991485"/>
                    </a:xfrm>
                    <a:prstGeom prst="rect">
                      <a:avLst/>
                    </a:prstGeom>
                  </pic:spPr>
                </pic:pic>
              </a:graphicData>
            </a:graphic>
          </wp:inline>
        </w:drawing>
      </w:r>
    </w:p>
    <w:p w14:paraId="455A5FBF" w14:textId="77777777" w:rsidR="003E0FD8" w:rsidRDefault="003E0FD8">
      <w:pPr>
        <w:spacing w:line="276" w:lineRule="auto"/>
        <w:jc w:val="right"/>
        <w:rPr>
          <w:rFonts w:ascii="Open Sans Light" w:eastAsia="Open Sans Light" w:hAnsi="Open Sans Light" w:cs="Open Sans Light"/>
          <w:b/>
          <w:color w:val="303AB2"/>
        </w:rPr>
      </w:pPr>
    </w:p>
    <w:p w14:paraId="3717F961" w14:textId="7E56239F" w:rsidR="003E0FD8" w:rsidRDefault="00000000">
      <w:pPr>
        <w:rPr>
          <w:rFonts w:ascii="Open Sans" w:eastAsia="Open Sans" w:hAnsi="Open Sans" w:cs="Open Sans"/>
        </w:rPr>
      </w:pPr>
      <w:r>
        <w:rPr>
          <w:rFonts w:ascii="Open Sans Light" w:eastAsia="Open Sans Light" w:hAnsi="Open Sans Light" w:cs="Open Sans Light"/>
          <w:b/>
          <w:color w:val="303AB2"/>
          <w:sz w:val="28"/>
          <w:szCs w:val="28"/>
        </w:rPr>
        <w:t xml:space="preserve">Decae la actividad </w:t>
      </w:r>
      <w:r w:rsidR="00436627">
        <w:rPr>
          <w:rFonts w:ascii="Open Sans Light" w:eastAsia="Open Sans Light" w:hAnsi="Open Sans Light" w:cs="Open Sans Light"/>
          <w:b/>
          <w:color w:val="303AB2"/>
          <w:sz w:val="28"/>
          <w:szCs w:val="28"/>
        </w:rPr>
        <w:t xml:space="preserve">en </w:t>
      </w:r>
      <w:r>
        <w:rPr>
          <w:rFonts w:ascii="Open Sans Light" w:eastAsia="Open Sans Light" w:hAnsi="Open Sans Light" w:cs="Open Sans Light"/>
          <w:b/>
          <w:color w:val="303AB2"/>
          <w:sz w:val="28"/>
          <w:szCs w:val="28"/>
        </w:rPr>
        <w:t>Andalucía, al igual que en el resto de España</w:t>
      </w:r>
    </w:p>
    <w:p w14:paraId="2DC6D3A8" w14:textId="77777777" w:rsidR="003E0FD8" w:rsidRDefault="003E0FD8">
      <w:pPr>
        <w:spacing w:line="276" w:lineRule="auto"/>
        <w:jc w:val="both"/>
        <w:rPr>
          <w:rFonts w:ascii="Open Sans" w:eastAsia="Open Sans" w:hAnsi="Open Sans" w:cs="Open Sans"/>
        </w:rPr>
      </w:pPr>
    </w:p>
    <w:p w14:paraId="3FB2B091" w14:textId="77777777" w:rsidR="003E0FD8" w:rsidRDefault="00000000">
      <w:pPr>
        <w:spacing w:line="276" w:lineRule="auto"/>
        <w:jc w:val="both"/>
        <w:rPr>
          <w:rFonts w:ascii="Open Sans" w:eastAsia="Open Sans" w:hAnsi="Open Sans" w:cs="Open Sans"/>
        </w:rPr>
      </w:pPr>
      <w:r>
        <w:rPr>
          <w:rFonts w:ascii="Open Sans" w:eastAsia="Open Sans" w:hAnsi="Open Sans" w:cs="Open Sans"/>
        </w:rPr>
        <w:t xml:space="preserve">El mercado de la vivienda, que engloba compraventa y alquiler, en Andalucía se contrae, de tal manera que en febrero de 2024 retrocedió hasta el 27 % el porcentaje de los particulares mayores de 18 años que han llevado a cabo alguna acción inmobiliaria en el último año. Esta cifra es un punto porcentual menor que la registrada en febrero de 2023 (28 %) y tres menos que el 30 % anotado en agosto de ese ejercicio. </w:t>
      </w:r>
    </w:p>
    <w:p w14:paraId="452C9107" w14:textId="77777777" w:rsidR="003E0FD8" w:rsidRDefault="003E0FD8">
      <w:pPr>
        <w:spacing w:line="276" w:lineRule="auto"/>
        <w:jc w:val="both"/>
        <w:rPr>
          <w:rFonts w:ascii="Open Sans" w:eastAsia="Open Sans" w:hAnsi="Open Sans" w:cs="Open Sans"/>
        </w:rPr>
      </w:pPr>
    </w:p>
    <w:p w14:paraId="59C49807" w14:textId="77777777" w:rsidR="003E0FD8"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Son, además, cifras casi idénticas a las anotadas en el conjunto de España en esos tres momentos de medición, aunque es cierto que Andalucía venía históricamente mostrando un nivel mayor de participación. </w:t>
      </w:r>
    </w:p>
    <w:p w14:paraId="66092041" w14:textId="77777777" w:rsidR="003E0FD8" w:rsidRDefault="003E0FD8">
      <w:pPr>
        <w:spacing w:line="276" w:lineRule="auto"/>
        <w:jc w:val="both"/>
        <w:rPr>
          <w:rFonts w:ascii="Open Sans" w:eastAsia="Open Sans" w:hAnsi="Open Sans" w:cs="Open Sans"/>
        </w:rPr>
      </w:pPr>
    </w:p>
    <w:p w14:paraId="0727440B" w14:textId="77777777" w:rsidR="003E0FD8" w:rsidRDefault="00B64847">
      <w:pPr>
        <w:spacing w:line="276" w:lineRule="auto"/>
        <w:jc w:val="right"/>
        <w:rPr>
          <w:rFonts w:ascii="Open Sans Light" w:eastAsia="Open Sans Light" w:hAnsi="Open Sans Light" w:cs="Open Sans Light"/>
          <w:b/>
          <w:color w:val="303AB2"/>
        </w:rPr>
      </w:pPr>
      <w:bookmarkStart w:id="0" w:name="_heading=h.30j0zll" w:colFirst="0" w:colLast="0"/>
      <w:bookmarkEnd w:id="0"/>
      <w:r>
        <w:rPr>
          <w:noProof/>
        </w:rPr>
        <w:drawing>
          <wp:inline distT="0" distB="0" distL="0" distR="0" wp14:anchorId="5FB54CFA" wp14:editId="23761C6F">
            <wp:extent cx="5760720" cy="3598545"/>
            <wp:effectExtent l="0" t="0" r="0" b="1905"/>
            <wp:docPr id="1941397217" name="Imagen 1" descr="Gráfico, Gráfico de línea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97217" name="Imagen 1" descr="Gráfico, Gráfico de líneas&#10;&#10;Descripción generada automáticamente">
                      <a:hlinkClick r:id="rId9"/>
                    </pic:cNvPr>
                    <pic:cNvPicPr/>
                  </pic:nvPicPr>
                  <pic:blipFill>
                    <a:blip r:embed="rId13"/>
                    <a:stretch>
                      <a:fillRect/>
                    </a:stretch>
                  </pic:blipFill>
                  <pic:spPr>
                    <a:xfrm>
                      <a:off x="0" y="0"/>
                      <a:ext cx="5760720" cy="3598545"/>
                    </a:xfrm>
                    <a:prstGeom prst="rect">
                      <a:avLst/>
                    </a:prstGeom>
                  </pic:spPr>
                </pic:pic>
              </a:graphicData>
            </a:graphic>
          </wp:inline>
        </w:drawing>
      </w:r>
    </w:p>
    <w:p w14:paraId="086A1917" w14:textId="77777777" w:rsidR="003E0FD8" w:rsidRDefault="003E0FD8">
      <w:pPr>
        <w:spacing w:line="276" w:lineRule="auto"/>
        <w:rPr>
          <w:rFonts w:ascii="Open Sans Light" w:eastAsia="Open Sans Light" w:hAnsi="Open Sans Light" w:cs="Open Sans Light"/>
          <w:b/>
          <w:color w:val="303AB2"/>
        </w:rPr>
      </w:pPr>
    </w:p>
    <w:p w14:paraId="69513895" w14:textId="77777777" w:rsidR="003E0FD8" w:rsidRDefault="003E0FD8">
      <w:pPr>
        <w:spacing w:line="276" w:lineRule="auto"/>
        <w:jc w:val="right"/>
        <w:rPr>
          <w:rFonts w:ascii="Open Sans Light" w:eastAsia="Open Sans Light" w:hAnsi="Open Sans Light" w:cs="Open Sans Light"/>
          <w:b/>
          <w:color w:val="303AB2"/>
        </w:rPr>
      </w:pPr>
    </w:p>
    <w:p w14:paraId="6BF492EE" w14:textId="77777777" w:rsidR="003E0FD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0B59665" w14:textId="77777777" w:rsidR="003E0FD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15763C0" w14:textId="77777777" w:rsidR="003E0FD8"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409AAC65" w14:textId="77777777" w:rsidR="003E0FD8" w:rsidRDefault="00000000">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8D46B0C" w14:textId="77777777" w:rsidR="00B64847" w:rsidRDefault="00B64847">
      <w:pPr>
        <w:shd w:val="clear" w:color="auto" w:fill="FFFFFF"/>
        <w:spacing w:before="280" w:after="280" w:line="276" w:lineRule="auto"/>
        <w:jc w:val="both"/>
        <w:rPr>
          <w:rFonts w:ascii="Open Sans" w:eastAsia="Open Sans" w:hAnsi="Open Sans" w:cs="Open Sans"/>
          <w:sz w:val="22"/>
          <w:szCs w:val="22"/>
        </w:rPr>
      </w:pPr>
    </w:p>
    <w:p w14:paraId="581B625B" w14:textId="77777777" w:rsidR="00B64847" w:rsidRDefault="00B64847">
      <w:pPr>
        <w:shd w:val="clear" w:color="auto" w:fill="FFFFFF"/>
        <w:spacing w:before="280" w:after="280" w:line="276" w:lineRule="auto"/>
        <w:jc w:val="both"/>
        <w:rPr>
          <w:rFonts w:ascii="Open Sans" w:eastAsia="Open Sans" w:hAnsi="Open Sans" w:cs="Open Sans"/>
          <w:sz w:val="22"/>
          <w:szCs w:val="22"/>
        </w:rPr>
      </w:pPr>
    </w:p>
    <w:p w14:paraId="66ED71C2" w14:textId="77777777" w:rsidR="003E0FD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 Spain</w:t>
      </w:r>
    </w:p>
    <w:p w14:paraId="3E31FF4F" w14:textId="77777777" w:rsidR="003E0FD8"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F1C5FC1" w14:textId="77777777" w:rsidR="003E0FD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E9231BA" w14:textId="77777777" w:rsidR="003E0FD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698A7267" w14:textId="77777777" w:rsidR="003E0FD8"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7F53BE58" w14:textId="77777777" w:rsidR="003E0FD8" w:rsidRDefault="003E0FD8">
      <w:pPr>
        <w:spacing w:line="276" w:lineRule="auto"/>
        <w:jc w:val="right"/>
        <w:rPr>
          <w:rFonts w:ascii="Open Sans" w:eastAsia="Open Sans" w:hAnsi="Open Sans" w:cs="Open Sans"/>
        </w:rPr>
      </w:pPr>
    </w:p>
    <w:p w14:paraId="4ABA2982" w14:textId="77777777" w:rsidR="003E0FD8"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2D73DA9" w14:textId="77777777" w:rsidR="003E0FD8"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66569A3" w14:textId="77777777" w:rsidR="003E0FD8"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2B928BFA" w14:textId="77777777" w:rsidR="003E0FD8"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010AFBE" w14:textId="77777777" w:rsidR="003E0FD8" w:rsidRDefault="003E0FD8">
      <w:pPr>
        <w:spacing w:line="276" w:lineRule="auto"/>
        <w:rPr>
          <w:rFonts w:ascii="Open Sans Light" w:eastAsia="Open Sans Light" w:hAnsi="Open Sans Light" w:cs="Open Sans Light"/>
          <w:b/>
          <w:color w:val="303AB2"/>
          <w:sz w:val="22"/>
          <w:szCs w:val="22"/>
        </w:rPr>
      </w:pPr>
    </w:p>
    <w:p w14:paraId="0B32CF2A" w14:textId="77777777" w:rsidR="003E0FD8" w:rsidRDefault="003E0FD8">
      <w:pPr>
        <w:spacing w:line="276" w:lineRule="auto"/>
        <w:rPr>
          <w:rFonts w:ascii="Open Sans Light" w:eastAsia="Open Sans Light" w:hAnsi="Open Sans Light" w:cs="Open Sans Light"/>
          <w:b/>
          <w:color w:val="303AB2"/>
          <w:sz w:val="22"/>
          <w:szCs w:val="22"/>
        </w:rPr>
      </w:pPr>
    </w:p>
    <w:p w14:paraId="37422825" w14:textId="77777777" w:rsidR="003E0FD8"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00ADB87" w14:textId="77777777" w:rsidR="003E0FD8"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3B94737B" w14:textId="77777777" w:rsidR="003E0FD8" w:rsidRDefault="00000000">
      <w:pPr>
        <w:shd w:val="clear" w:color="auto" w:fill="FFFFFF"/>
        <w:ind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491EFA52" w14:textId="77777777" w:rsidR="003E0FD8" w:rsidRPr="00172997" w:rsidRDefault="00000000">
      <w:pPr>
        <w:shd w:val="clear" w:color="auto" w:fill="FFFFFF"/>
        <w:ind w:right="-433"/>
        <w:rPr>
          <w:rFonts w:ascii="Open Sans" w:eastAsia="Open Sans" w:hAnsi="Open Sans" w:cs="Open Sans"/>
          <w:sz w:val="22"/>
          <w:szCs w:val="22"/>
          <w:lang w:val="en-US"/>
        </w:rPr>
      </w:pPr>
      <w:r w:rsidRPr="00172997">
        <w:rPr>
          <w:rFonts w:ascii="Open Sans" w:eastAsia="Open Sans" w:hAnsi="Open Sans" w:cs="Open Sans"/>
          <w:sz w:val="22"/>
          <w:szCs w:val="22"/>
          <w:lang w:val="en-US"/>
        </w:rPr>
        <w:t>663 35 69 75 </w:t>
      </w:r>
      <w:r w:rsidRPr="00172997">
        <w:rPr>
          <w:rFonts w:ascii="Open Sans" w:eastAsia="Open Sans" w:hAnsi="Open Sans" w:cs="Open Sans"/>
          <w:sz w:val="22"/>
          <w:szCs w:val="22"/>
          <w:lang w:val="en-US"/>
        </w:rPr>
        <w:tab/>
      </w:r>
      <w:r w:rsidRPr="00172997">
        <w:rPr>
          <w:rFonts w:ascii="Open Sans" w:eastAsia="Open Sans" w:hAnsi="Open Sans" w:cs="Open Sans"/>
          <w:sz w:val="22"/>
          <w:szCs w:val="22"/>
          <w:lang w:val="en-US"/>
        </w:rPr>
        <w:tab/>
      </w:r>
      <w:r w:rsidRPr="00172997">
        <w:rPr>
          <w:rFonts w:ascii="Open Sans" w:eastAsia="Open Sans" w:hAnsi="Open Sans" w:cs="Open Sans"/>
          <w:sz w:val="22"/>
          <w:szCs w:val="22"/>
          <w:lang w:val="en-US"/>
        </w:rPr>
        <w:tab/>
      </w:r>
      <w:r w:rsidRPr="00172997">
        <w:rPr>
          <w:rFonts w:ascii="Open Sans" w:eastAsia="Open Sans" w:hAnsi="Open Sans" w:cs="Open Sans"/>
          <w:sz w:val="22"/>
          <w:szCs w:val="22"/>
          <w:lang w:val="en-US"/>
        </w:rPr>
        <w:tab/>
      </w:r>
      <w:r w:rsidRPr="00172997">
        <w:rPr>
          <w:rFonts w:ascii="Open Sans" w:eastAsia="Open Sans" w:hAnsi="Open Sans" w:cs="Open Sans"/>
          <w:sz w:val="22"/>
          <w:szCs w:val="22"/>
          <w:lang w:val="en-US"/>
        </w:rPr>
        <w:tab/>
      </w:r>
      <w:r w:rsidRPr="00172997">
        <w:rPr>
          <w:rFonts w:ascii="Open Sans" w:eastAsia="Open Sans" w:hAnsi="Open Sans" w:cs="Open Sans"/>
          <w:sz w:val="22"/>
          <w:szCs w:val="22"/>
          <w:lang w:val="en-US"/>
        </w:rPr>
        <w:tab/>
      </w:r>
    </w:p>
    <w:p w14:paraId="4475EB96" w14:textId="77777777" w:rsidR="003E0FD8" w:rsidRPr="00172997" w:rsidRDefault="00000000">
      <w:pPr>
        <w:shd w:val="clear" w:color="auto" w:fill="FFFFFF"/>
        <w:ind w:right="-433"/>
        <w:rPr>
          <w:color w:val="222222"/>
          <w:sz w:val="22"/>
          <w:szCs w:val="22"/>
          <w:lang w:val="en-US"/>
        </w:rPr>
      </w:pPr>
      <w:r w:rsidRPr="00172997">
        <w:rPr>
          <w:color w:val="222222"/>
          <w:sz w:val="22"/>
          <w:szCs w:val="22"/>
          <w:lang w:val="en-US"/>
        </w:rPr>
        <w:tab/>
      </w:r>
      <w:r w:rsidRPr="00172997">
        <w:rPr>
          <w:color w:val="222222"/>
          <w:sz w:val="22"/>
          <w:szCs w:val="22"/>
          <w:lang w:val="en-US"/>
        </w:rPr>
        <w:tab/>
        <w:t xml:space="preserve">     </w:t>
      </w:r>
    </w:p>
    <w:p w14:paraId="7ADBC47D" w14:textId="77777777" w:rsidR="003E0FD8" w:rsidRPr="00172997" w:rsidRDefault="00000000">
      <w:pPr>
        <w:shd w:val="clear" w:color="auto" w:fill="FFFFFF"/>
        <w:ind w:right="-433"/>
        <w:rPr>
          <w:rFonts w:ascii="Open Sans" w:eastAsia="Open Sans" w:hAnsi="Open Sans" w:cs="Open Sans"/>
          <w:b/>
          <w:sz w:val="22"/>
          <w:szCs w:val="22"/>
          <w:lang w:val="en-US"/>
        </w:rPr>
      </w:pPr>
      <w:r w:rsidRPr="00172997">
        <w:rPr>
          <w:rFonts w:ascii="Open Sans" w:eastAsia="Open Sans" w:hAnsi="Open Sans" w:cs="Open Sans"/>
          <w:b/>
          <w:sz w:val="22"/>
          <w:szCs w:val="22"/>
          <w:lang w:val="en-US"/>
        </w:rPr>
        <w:t>Judit Campillos</w:t>
      </w:r>
    </w:p>
    <w:p w14:paraId="5C0DD7EF" w14:textId="77777777" w:rsidR="003E0FD8" w:rsidRPr="00172997" w:rsidRDefault="00000000">
      <w:pPr>
        <w:shd w:val="clear" w:color="auto" w:fill="FFFFFF"/>
        <w:ind w:right="-433"/>
        <w:rPr>
          <w:rFonts w:ascii="Open Sans" w:eastAsia="Open Sans" w:hAnsi="Open Sans" w:cs="Open Sans"/>
          <w:b/>
          <w:sz w:val="22"/>
          <w:szCs w:val="22"/>
          <w:lang w:val="en-US"/>
        </w:rPr>
      </w:pPr>
      <w:r w:rsidRPr="00172997">
        <w:rPr>
          <w:rFonts w:ascii="Open Sans" w:eastAsia="Open Sans" w:hAnsi="Open Sans" w:cs="Open Sans"/>
          <w:color w:val="0000FF"/>
          <w:sz w:val="22"/>
          <w:szCs w:val="22"/>
          <w:u w:val="single"/>
          <w:lang w:val="en-US"/>
        </w:rPr>
        <w:t>jcampillos</w:t>
      </w:r>
      <w:hyperlink r:id="rId27">
        <w:r w:rsidRPr="00172997">
          <w:rPr>
            <w:rFonts w:ascii="Open Sans" w:eastAsia="Open Sans" w:hAnsi="Open Sans" w:cs="Open Sans"/>
            <w:color w:val="0000FF"/>
            <w:sz w:val="22"/>
            <w:szCs w:val="22"/>
            <w:u w:val="single"/>
            <w:lang w:val="en-US"/>
          </w:rPr>
          <w:t>@ll</w:t>
        </w:r>
      </w:hyperlink>
      <w:r w:rsidRPr="00172997">
        <w:rPr>
          <w:rFonts w:ascii="Open Sans" w:eastAsia="Open Sans" w:hAnsi="Open Sans" w:cs="Open Sans"/>
          <w:color w:val="0000FF"/>
          <w:sz w:val="22"/>
          <w:szCs w:val="22"/>
          <w:u w:val="single"/>
          <w:lang w:val="en-US"/>
        </w:rPr>
        <w:t>yc.global</w:t>
      </w:r>
      <w:r w:rsidRPr="00172997">
        <w:rPr>
          <w:rFonts w:ascii="Open Sans" w:eastAsia="Open Sans" w:hAnsi="Open Sans" w:cs="Open Sans"/>
          <w:color w:val="0000FF"/>
          <w:sz w:val="22"/>
          <w:szCs w:val="22"/>
          <w:lang w:val="en-US"/>
        </w:rPr>
        <w:tab/>
      </w:r>
      <w:r w:rsidRPr="00172997">
        <w:rPr>
          <w:rFonts w:ascii="Open Sans" w:eastAsia="Open Sans" w:hAnsi="Open Sans" w:cs="Open Sans"/>
          <w:color w:val="0000FF"/>
          <w:sz w:val="22"/>
          <w:szCs w:val="22"/>
          <w:lang w:val="en-US"/>
        </w:rPr>
        <w:tab/>
      </w:r>
    </w:p>
    <w:p w14:paraId="1A21D4A7" w14:textId="77777777" w:rsidR="003E0FD8" w:rsidRPr="0026503D" w:rsidRDefault="00000000">
      <w:pPr>
        <w:shd w:val="clear" w:color="auto" w:fill="FFFFFF"/>
        <w:ind w:right="-433"/>
        <w:rPr>
          <w:rFonts w:ascii="Open Sans" w:eastAsia="Open Sans" w:hAnsi="Open Sans" w:cs="Open Sans"/>
          <w:sz w:val="22"/>
          <w:szCs w:val="22"/>
          <w:lang w:val="en-US"/>
        </w:rPr>
      </w:pPr>
      <w:r w:rsidRPr="0026503D">
        <w:rPr>
          <w:rFonts w:ascii="Open Sans" w:eastAsia="Open Sans" w:hAnsi="Open Sans" w:cs="Open Sans"/>
          <w:sz w:val="22"/>
          <w:szCs w:val="22"/>
          <w:lang w:val="en-US"/>
        </w:rPr>
        <w:t>699 13 91 53</w:t>
      </w:r>
    </w:p>
    <w:p w14:paraId="1EE7C291" w14:textId="77777777" w:rsidR="003E0FD8" w:rsidRPr="0026503D" w:rsidRDefault="003E0FD8">
      <w:pPr>
        <w:rPr>
          <w:rFonts w:ascii="Open Sans" w:eastAsia="Open Sans" w:hAnsi="Open Sans" w:cs="Open Sans"/>
          <w:color w:val="30302E"/>
          <w:sz w:val="22"/>
          <w:szCs w:val="22"/>
          <w:highlight w:val="white"/>
          <w:lang w:val="en-US"/>
        </w:rPr>
      </w:pPr>
    </w:p>
    <w:p w14:paraId="3C1FFB7C" w14:textId="77777777" w:rsidR="003E0FD8"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31FF907A" w14:textId="77777777" w:rsidR="003E0FD8" w:rsidRDefault="00000000">
      <w:pPr>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34565649" w14:textId="77777777" w:rsidR="003E0FD8"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F3910AC" w14:textId="77777777" w:rsidR="003E0FD8" w:rsidRDefault="003E0FD8">
      <w:pPr>
        <w:shd w:val="clear" w:color="auto" w:fill="FFFFFF"/>
        <w:rPr>
          <w:rFonts w:ascii="Open Sans" w:eastAsia="Open Sans" w:hAnsi="Open Sans" w:cs="Open Sans"/>
          <w:color w:val="000000"/>
          <w:sz w:val="22"/>
          <w:szCs w:val="22"/>
        </w:rPr>
      </w:pPr>
    </w:p>
    <w:p w14:paraId="7B4194BC" w14:textId="77777777" w:rsidR="003E0FD8" w:rsidRDefault="003E0FD8">
      <w:pPr>
        <w:shd w:val="clear" w:color="auto" w:fill="FFFFFF"/>
        <w:rPr>
          <w:rFonts w:ascii="Open Sans" w:eastAsia="Open Sans" w:hAnsi="Open Sans" w:cs="Open Sans"/>
          <w:color w:val="000000"/>
          <w:sz w:val="22"/>
          <w:szCs w:val="22"/>
        </w:rPr>
      </w:pPr>
    </w:p>
    <w:sectPr w:rsidR="003E0FD8">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8410E" w14:textId="77777777" w:rsidR="00C3785D" w:rsidRDefault="00C3785D">
      <w:r>
        <w:separator/>
      </w:r>
    </w:p>
  </w:endnote>
  <w:endnote w:type="continuationSeparator" w:id="0">
    <w:p w14:paraId="7A002597" w14:textId="77777777" w:rsidR="00C3785D" w:rsidRDefault="00C3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1437132-D760-41E3-A654-74A078FE9B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0D18AF7-1A4D-40FE-ACBD-E2218440FEDC}"/>
    <w:embedBold r:id="rId3" w:fontKey="{BB1B731F-4CD3-4266-AF59-E731EB6AE2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E933DC-721C-4A07-94BC-38C103DDD745}"/>
    <w:embedItalic r:id="rId5" w:fontKey="{1A402F88-5679-4C14-A4FA-A879F9473600}"/>
  </w:font>
  <w:font w:name="Cambria">
    <w:panose1 w:val="02040503050406030204"/>
    <w:charset w:val="00"/>
    <w:family w:val="roman"/>
    <w:pitch w:val="variable"/>
    <w:sig w:usb0="E00006FF" w:usb1="420024FF" w:usb2="02000000" w:usb3="00000000" w:csb0="0000019F" w:csb1="00000000"/>
    <w:embedRegular r:id="rId6" w:fontKey="{D1F77487-B0E5-485F-B401-0101EDB9290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50B4765-40E7-48B5-9BB1-53DFBBEF7CAD}"/>
    <w:embedBold r:id="rId8" w:fontKey="{4723254D-D526-4555-9E4A-053D60760717}"/>
    <w:embedBoldItalic r:id="rId9" w:fontKey="{760D6E5D-67E1-4098-A5B6-9EC8B0383A5E}"/>
  </w:font>
  <w:font w:name="Open Sans Light">
    <w:charset w:val="00"/>
    <w:family w:val="swiss"/>
    <w:pitch w:val="variable"/>
    <w:sig w:usb0="E00002EF" w:usb1="4000205B" w:usb2="00000028" w:usb3="00000000" w:csb0="0000019F" w:csb1="00000000"/>
    <w:embedRegular r:id="rId10" w:fontKey="{CEDD4E28-62B9-49DD-944D-4AB875FCD94B}"/>
    <w:embedBold r:id="rId11" w:fontKey="{9FE7FA60-8885-4C4C-9246-B4C0C16E3C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859AE" w14:textId="77777777" w:rsidR="003E0FD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2808201" wp14:editId="670810C4">
          <wp:simplePos x="0" y="0"/>
          <wp:positionH relativeFrom="column">
            <wp:posOffset>-1068051</wp:posOffset>
          </wp:positionH>
          <wp:positionV relativeFrom="paragraph">
            <wp:posOffset>174608</wp:posOffset>
          </wp:positionV>
          <wp:extent cx="7670550" cy="451315"/>
          <wp:effectExtent l="0" t="0" r="0" b="0"/>
          <wp:wrapNone/>
          <wp:docPr id="20668165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8A463" w14:textId="77777777" w:rsidR="00C3785D" w:rsidRDefault="00C3785D">
      <w:r>
        <w:separator/>
      </w:r>
    </w:p>
  </w:footnote>
  <w:footnote w:type="continuationSeparator" w:id="0">
    <w:p w14:paraId="583385F4" w14:textId="77777777" w:rsidR="00C3785D" w:rsidRDefault="00C37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3A0670"/>
    <w:multiLevelType w:val="multilevel"/>
    <w:tmpl w:val="4D8E8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1400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FD8"/>
    <w:rsid w:val="000974ED"/>
    <w:rsid w:val="000E5A0F"/>
    <w:rsid w:val="00172997"/>
    <w:rsid w:val="00226FE0"/>
    <w:rsid w:val="0026503D"/>
    <w:rsid w:val="00301870"/>
    <w:rsid w:val="003E0FD8"/>
    <w:rsid w:val="00436627"/>
    <w:rsid w:val="00607120"/>
    <w:rsid w:val="007A2070"/>
    <w:rsid w:val="00A65804"/>
    <w:rsid w:val="00A73135"/>
    <w:rsid w:val="00B64847"/>
    <w:rsid w:val="00C3785D"/>
    <w:rsid w:val="00C55C61"/>
    <w:rsid w:val="00DA675B"/>
    <w:rsid w:val="00DB2601"/>
    <w:rsid w:val="00F702E6"/>
    <w:rsid w:val="00FD19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3E62B"/>
  <w15:docId w15:val="{B2EF4CF1-38D6-4F01-9AAF-B2FD1C69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e"/>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e"/>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b"/>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b"/>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image" Target="media/image2.png"/><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36360.pcdn.co/wp-content/uploads/2024/10/Radiografia-mercado-Andalucia-en-2024.pdf"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3525832G93PjqI6bwc9Aqm6Ag==">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1095</Words>
  <Characters>6027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8</cp:revision>
  <dcterms:created xsi:type="dcterms:W3CDTF">2024-02-06T13:46:00Z</dcterms:created>
  <dcterms:modified xsi:type="dcterms:W3CDTF">2024-10-01T06:44:00Z</dcterms:modified>
</cp:coreProperties>
</file>