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BADA66" w14:textId="77777777" w:rsidR="000E77E7" w:rsidRDefault="00000000">
      <w:r>
        <w:rPr>
          <w:noProof/>
        </w:rPr>
        <w:drawing>
          <wp:anchor distT="0" distB="0" distL="114300" distR="114300" simplePos="0" relativeHeight="251658240" behindDoc="0" locked="0" layoutInCell="1" hidden="0" allowOverlap="1" wp14:anchorId="6ED7894D" wp14:editId="5DBB4416">
            <wp:simplePos x="0" y="0"/>
            <wp:positionH relativeFrom="column">
              <wp:posOffset>-1080125</wp:posOffset>
            </wp:positionH>
            <wp:positionV relativeFrom="paragraph">
              <wp:posOffset>-654675</wp:posOffset>
            </wp:positionV>
            <wp:extent cx="7581265" cy="1019175"/>
            <wp:effectExtent l="0" t="0" r="0" b="0"/>
            <wp:wrapNone/>
            <wp:docPr id="20668165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D597185" w14:textId="77777777" w:rsidR="000E77E7" w:rsidRDefault="000E77E7">
      <w:pPr>
        <w:jc w:val="right"/>
        <w:rPr>
          <w:rFonts w:ascii="National" w:eastAsia="National" w:hAnsi="National" w:cs="National"/>
          <w:color w:val="303AB2"/>
          <w:sz w:val="36"/>
          <w:szCs w:val="36"/>
        </w:rPr>
      </w:pPr>
    </w:p>
    <w:p w14:paraId="0B64B577" w14:textId="77777777" w:rsidR="000E77E7" w:rsidRDefault="000E77E7">
      <w:pPr>
        <w:rPr>
          <w:rFonts w:ascii="National" w:eastAsia="National" w:hAnsi="National" w:cs="National"/>
          <w:color w:val="303AB2"/>
          <w:sz w:val="18"/>
          <w:szCs w:val="18"/>
        </w:rPr>
      </w:pPr>
    </w:p>
    <w:p w14:paraId="319247E9" w14:textId="77777777" w:rsidR="000E77E7"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RADIOGRAFÍA DEL MERCADO DE LA VIVIENDA EN ANDALUCÍA</w:t>
      </w:r>
    </w:p>
    <w:p w14:paraId="53DD7987" w14:textId="77777777" w:rsidR="000E77E7" w:rsidRDefault="00000000">
      <w:pPr>
        <w:jc w:val="center"/>
        <w:rPr>
          <w:rFonts w:ascii="National" w:eastAsia="National" w:hAnsi="National" w:cs="National"/>
          <w:b/>
          <w:color w:val="303AB2"/>
          <w:sz w:val="48"/>
          <w:szCs w:val="48"/>
        </w:rPr>
      </w:pPr>
      <w:r>
        <w:rPr>
          <w:rFonts w:ascii="National" w:eastAsia="National" w:hAnsi="National" w:cs="National"/>
          <w:b/>
          <w:color w:val="303AB2"/>
          <w:sz w:val="48"/>
          <w:szCs w:val="48"/>
        </w:rPr>
        <w:t xml:space="preserve">La oferta de vivienda en venta sigue cayendo desde la pandemia, un 40% menos en Andalucía  </w:t>
      </w:r>
    </w:p>
    <w:p w14:paraId="728C1F9C" w14:textId="77777777" w:rsidR="000E77E7" w:rsidRDefault="000E77E7">
      <w:pPr>
        <w:spacing w:line="276" w:lineRule="auto"/>
        <w:ind w:right="4"/>
        <w:jc w:val="both"/>
        <w:rPr>
          <w:rFonts w:ascii="Open Sans" w:eastAsia="Open Sans" w:hAnsi="Open Sans" w:cs="Open Sans"/>
          <w:color w:val="303AB2"/>
        </w:rPr>
      </w:pPr>
    </w:p>
    <w:p w14:paraId="04A58F46" w14:textId="77777777" w:rsidR="000E77E7"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La oferta de vivienda en venta cae del 5% al 3% desde el inicio de la pandemia</w:t>
      </w:r>
    </w:p>
    <w:p w14:paraId="5E761D9C" w14:textId="77777777" w:rsidR="000E77E7"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La participación en la compraventa desciende hasta el 16% debido a la contracción de la oferta de vivienda en venta</w:t>
      </w:r>
    </w:p>
    <w:p w14:paraId="745AD7D0" w14:textId="77777777" w:rsidR="000E77E7"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El 80% de los compradores andaluces creen que las condiciones hipotecarias actuales dificultan la compra de vivienda</w:t>
      </w:r>
    </w:p>
    <w:p w14:paraId="5C164737" w14:textId="77777777" w:rsidR="000E77E7"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Solo el 3% de los andaluces participan ofertando inmuebles en Andalucía, una cifra que cae dos puntos porcentuales desde la pandemia</w:t>
      </w:r>
    </w:p>
    <w:p w14:paraId="5DB6DE2C" w14:textId="77777777" w:rsidR="000E77E7" w:rsidRDefault="000E77E7">
      <w:pPr>
        <w:numPr>
          <w:ilvl w:val="0"/>
          <w:numId w:val="1"/>
        </w:numPr>
        <w:spacing w:line="276" w:lineRule="auto"/>
        <w:jc w:val="both"/>
        <w:rPr>
          <w:rFonts w:ascii="Open Sans" w:eastAsia="Open Sans" w:hAnsi="Open Sans" w:cs="Open Sans"/>
          <w:sz w:val="22"/>
          <w:szCs w:val="22"/>
        </w:rPr>
      </w:pPr>
      <w:hyperlink r:id="rId9">
        <w:r>
          <w:rPr>
            <w:rFonts w:ascii="Open Sans" w:eastAsia="Open Sans" w:hAnsi="Open Sans" w:cs="Open Sans"/>
            <w:b/>
            <w:color w:val="1155CC"/>
            <w:sz w:val="22"/>
            <w:szCs w:val="22"/>
            <w:u w:val="single"/>
          </w:rPr>
          <w:t>Aquí se puede ver un vídeo con la valoración de la directora de Estudios</w:t>
        </w:r>
      </w:hyperlink>
    </w:p>
    <w:p w14:paraId="4B762BFB" w14:textId="77777777" w:rsidR="000E77E7" w:rsidRDefault="000E77E7">
      <w:pPr>
        <w:pBdr>
          <w:top w:val="nil"/>
          <w:left w:val="nil"/>
          <w:bottom w:val="nil"/>
          <w:right w:val="nil"/>
          <w:between w:val="nil"/>
        </w:pBdr>
        <w:spacing w:line="276" w:lineRule="auto"/>
        <w:ind w:left="720"/>
        <w:jc w:val="both"/>
        <w:rPr>
          <w:rFonts w:ascii="Open Sans" w:eastAsia="Open Sans" w:hAnsi="Open Sans" w:cs="Open Sans"/>
          <w:color w:val="000000"/>
          <w:sz w:val="22"/>
          <w:szCs w:val="22"/>
        </w:rPr>
      </w:pPr>
    </w:p>
    <w:p w14:paraId="0F82088A" w14:textId="2F30B0FD" w:rsidR="000E77E7" w:rsidRDefault="00CD2EC5">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w:t>
      </w:r>
      <w:r w:rsidR="0067691C">
        <w:rPr>
          <w:rFonts w:ascii="Open Sans Light" w:eastAsia="Open Sans Light" w:hAnsi="Open Sans Light" w:cs="Open Sans Light"/>
          <w:b/>
          <w:color w:val="303AB2"/>
        </w:rPr>
        <w:t xml:space="preserve">, </w:t>
      </w:r>
      <w:r w:rsidR="003C3403">
        <w:rPr>
          <w:rFonts w:ascii="Open Sans Light" w:eastAsia="Open Sans Light" w:hAnsi="Open Sans Light" w:cs="Open Sans Light"/>
          <w:b/>
          <w:color w:val="303AB2"/>
        </w:rPr>
        <w:t>22</w:t>
      </w:r>
      <w:r w:rsidR="0067691C">
        <w:rPr>
          <w:rFonts w:ascii="Open Sans Light" w:eastAsia="Open Sans Light" w:hAnsi="Open Sans Light" w:cs="Open Sans Light"/>
          <w:b/>
          <w:color w:val="303AB2"/>
        </w:rPr>
        <w:t xml:space="preserve"> de octubre de 2024</w:t>
      </w:r>
    </w:p>
    <w:p w14:paraId="0A8E4D22" w14:textId="77777777" w:rsidR="000E77E7" w:rsidRDefault="000E77E7">
      <w:pPr>
        <w:pBdr>
          <w:top w:val="nil"/>
          <w:left w:val="nil"/>
          <w:bottom w:val="nil"/>
          <w:right w:val="nil"/>
          <w:between w:val="nil"/>
        </w:pBdr>
        <w:spacing w:line="276" w:lineRule="auto"/>
        <w:jc w:val="both"/>
        <w:rPr>
          <w:rFonts w:ascii="Open Sans" w:eastAsia="Open Sans" w:hAnsi="Open Sans" w:cs="Open Sans"/>
        </w:rPr>
      </w:pPr>
    </w:p>
    <w:p w14:paraId="1031D145" w14:textId="23FAE049" w:rsidR="000E77E7" w:rsidRDefault="00000000">
      <w:pPr>
        <w:spacing w:line="276" w:lineRule="auto"/>
        <w:jc w:val="both"/>
        <w:rPr>
          <w:rFonts w:ascii="Open Sans" w:eastAsia="Open Sans" w:hAnsi="Open Sans" w:cs="Open Sans"/>
        </w:rPr>
      </w:pPr>
      <w:r>
        <w:rPr>
          <w:rFonts w:ascii="Open Sans" w:eastAsia="Open Sans" w:hAnsi="Open Sans" w:cs="Open Sans"/>
        </w:rPr>
        <w:t xml:space="preserve">La contracción del dinamismo en el mercado inmobiliario andaluz viene causada por el descenso de propietarios que ponen su vivienda a la venta. </w:t>
      </w:r>
      <w:r>
        <w:rPr>
          <w:rFonts w:ascii="Open Sans" w:eastAsia="Open Sans" w:hAnsi="Open Sans" w:cs="Open Sans"/>
          <w:b/>
        </w:rPr>
        <w:t xml:space="preserve">Desde el impacto de la pandemia, los oferentes de viviendas en venta caen del 5% al 3%, mientras los demandantes se mantienen estables en el 13%. </w:t>
      </w:r>
      <w:r>
        <w:rPr>
          <w:rFonts w:ascii="Open Sans" w:eastAsia="Open Sans" w:hAnsi="Open Sans" w:cs="Open Sans"/>
        </w:rPr>
        <w:t xml:space="preserve">Es decir, la cifra de particulares que oferta vivienda pierde dos puntos porcentuales de diferencia entre ambos puntos de medición (en febrero de 2020 y febrero de 2024). Esta es una de las principales conclusiones que se extraen del informe </w:t>
      </w:r>
      <w:r w:rsidR="0067691C">
        <w:rPr>
          <w:rFonts w:ascii="Open Sans" w:eastAsia="Open Sans" w:hAnsi="Open Sans" w:cs="Open Sans"/>
        </w:rPr>
        <w:t>“</w:t>
      </w:r>
      <w:hyperlink r:id="rId10" w:history="1">
        <w:r w:rsidR="0067691C" w:rsidRPr="00A65804">
          <w:rPr>
            <w:rStyle w:val="Hipervnculo"/>
            <w:rFonts w:ascii="Open Sans" w:eastAsia="Open Sans" w:hAnsi="Open Sans" w:cs="Open Sans"/>
            <w:b/>
            <w:i/>
          </w:rPr>
          <w:t>Radiografía del mercado de la vivienda en Andalucía en 2024</w:t>
        </w:r>
      </w:hyperlink>
      <w:r w:rsidR="0067691C">
        <w:rPr>
          <w:rFonts w:ascii="Open Sans" w:eastAsia="Open Sans" w:hAnsi="Open Sans" w:cs="Open Sans"/>
        </w:rPr>
        <w:t>”</w:t>
      </w:r>
      <w:r>
        <w:rPr>
          <w:rFonts w:ascii="Open Sans" w:eastAsia="Open Sans" w:hAnsi="Open Sans" w:cs="Open Sans"/>
        </w:rPr>
        <w:t xml:space="preserve">, elaborado por </w:t>
      </w:r>
      <w:r>
        <w:rPr>
          <w:rFonts w:ascii="Open Sans" w:eastAsia="Open Sans" w:hAnsi="Open Sans" w:cs="Open Sans"/>
          <w:i/>
        </w:rPr>
        <w:t>Fotocasa Research</w:t>
      </w:r>
      <w:r>
        <w:rPr>
          <w:rFonts w:ascii="Open Sans" w:eastAsia="Open Sans" w:hAnsi="Open Sans" w:cs="Open Sans"/>
          <w:b/>
        </w:rPr>
        <w:t xml:space="preserve">, </w:t>
      </w:r>
      <w:r>
        <w:rPr>
          <w:rFonts w:ascii="Open Sans" w:eastAsia="Open Sans" w:hAnsi="Open Sans" w:cs="Open Sans"/>
        </w:rPr>
        <w:t>en el que se pulsa el comportamiento de la oferta y la demanda de vivienda en la comunidad.</w:t>
      </w:r>
    </w:p>
    <w:p w14:paraId="6235F538" w14:textId="77777777" w:rsidR="000E77E7" w:rsidRDefault="000E77E7">
      <w:pPr>
        <w:spacing w:line="276" w:lineRule="auto"/>
        <w:jc w:val="both"/>
        <w:rPr>
          <w:rFonts w:ascii="Open Sans" w:eastAsia="Open Sans" w:hAnsi="Open Sans" w:cs="Open Sans"/>
        </w:rPr>
      </w:pPr>
    </w:p>
    <w:p w14:paraId="4B0D452D" w14:textId="77777777" w:rsidR="000E77E7" w:rsidRDefault="00000000">
      <w:pPr>
        <w:spacing w:after="160" w:line="259" w:lineRule="auto"/>
        <w:jc w:val="both"/>
        <w:rPr>
          <w:rFonts w:ascii="Open Sans" w:eastAsia="Open Sans" w:hAnsi="Open Sans" w:cs="Open Sans"/>
        </w:rPr>
      </w:pPr>
      <w:r>
        <w:rPr>
          <w:rFonts w:ascii="Open Sans" w:eastAsia="Open Sans" w:hAnsi="Open Sans" w:cs="Open Sans"/>
        </w:rPr>
        <w:t xml:space="preserve">De forma progresiva y escalonada, aunque con altibajos, los últimos años muestran una clara tendencia descendente en la participación de particulares como ofertantes de vivienda en Andalucía. La demanda de compra, por su parte, también registró un fuerte repunte después de la pandemia en Andalucía, pero después ha ido progresivamente reduciendo sus niveles de participación hasta situarse en el actual 13 %, en la franja media de la serie histórica. </w:t>
      </w:r>
    </w:p>
    <w:p w14:paraId="0FF2F308" w14:textId="77777777" w:rsidR="000E77E7" w:rsidRDefault="00000000">
      <w:pPr>
        <w:spacing w:line="276" w:lineRule="auto"/>
        <w:jc w:val="both"/>
        <w:rPr>
          <w:rFonts w:ascii="Open Sans" w:eastAsia="Open Sans" w:hAnsi="Open Sans" w:cs="Open Sans"/>
        </w:rPr>
      </w:pPr>
      <w:r>
        <w:rPr>
          <w:noProof/>
        </w:rPr>
        <w:lastRenderedPageBreak/>
        <w:drawing>
          <wp:inline distT="0" distB="0" distL="0" distR="0" wp14:anchorId="742FD63B" wp14:editId="6A3A9842">
            <wp:extent cx="5760720" cy="3065145"/>
            <wp:effectExtent l="0" t="0" r="0" b="0"/>
            <wp:docPr id="2066816599" name="image3.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 Gráfico de líneas&#10;&#10;Descripción generada automáticamente"/>
                    <pic:cNvPicPr preferRelativeResize="0"/>
                  </pic:nvPicPr>
                  <pic:blipFill>
                    <a:blip r:embed="rId11"/>
                    <a:srcRect/>
                    <a:stretch>
                      <a:fillRect/>
                    </a:stretch>
                  </pic:blipFill>
                  <pic:spPr>
                    <a:xfrm>
                      <a:off x="0" y="0"/>
                      <a:ext cx="5760720" cy="3065145"/>
                    </a:xfrm>
                    <a:prstGeom prst="rect">
                      <a:avLst/>
                    </a:prstGeom>
                    <a:ln/>
                  </pic:spPr>
                </pic:pic>
              </a:graphicData>
            </a:graphic>
          </wp:inline>
        </w:drawing>
      </w:r>
    </w:p>
    <w:p w14:paraId="76623FBD" w14:textId="77777777" w:rsidR="000E77E7" w:rsidRDefault="000E77E7">
      <w:pPr>
        <w:spacing w:line="276" w:lineRule="auto"/>
        <w:jc w:val="both"/>
        <w:rPr>
          <w:rFonts w:ascii="Open Sans" w:eastAsia="Open Sans" w:hAnsi="Open Sans" w:cs="Open Sans"/>
        </w:rPr>
      </w:pPr>
    </w:p>
    <w:p w14:paraId="32341A97" w14:textId="2411F731" w:rsidR="000E77E7" w:rsidRDefault="00000000">
      <w:pPr>
        <w:spacing w:line="276" w:lineRule="auto"/>
        <w:jc w:val="both"/>
        <w:rPr>
          <w:rFonts w:ascii="Open Sans" w:eastAsia="Open Sans" w:hAnsi="Open Sans" w:cs="Open Sans"/>
          <w:b/>
        </w:rPr>
      </w:pPr>
      <w:r>
        <w:rPr>
          <w:rFonts w:ascii="Open Sans" w:eastAsia="Open Sans" w:hAnsi="Open Sans" w:cs="Open Sans"/>
        </w:rPr>
        <w:t xml:space="preserve">“El desequilibrio entre oferta y demanda es cada vez más significativo y la reducción de la vivienda disponible es la gran problemática a la que se enfrenta el mercado. La bolsa de déficit de viviendas se agranda debido al mantenimiento de la demanda y al crecimiento de la población demandante de soluciones habitacionales. Se necesitaría un mercado que pudiese tener unas cuatro viviendas por cada 1.000 habitantes, una ratio </w:t>
      </w:r>
      <w:r w:rsidR="0067691C">
        <w:rPr>
          <w:rFonts w:ascii="Open Sans" w:eastAsia="Open Sans" w:hAnsi="Open Sans" w:cs="Open Sans"/>
        </w:rPr>
        <w:t>que,</w:t>
      </w:r>
      <w:r>
        <w:rPr>
          <w:rFonts w:ascii="Open Sans" w:eastAsia="Open Sans" w:hAnsi="Open Sans" w:cs="Open Sans"/>
        </w:rPr>
        <w:t xml:space="preserve"> si se cumple en Europa, pero que España todavía no está en condiciones de producir la vivienda necesaria por cuestiones como la falta de suelo, el encarecimiento de los materiales, la excesiva burocracia o la falta de mano de obra en el sector constructor”, </w:t>
      </w:r>
      <w:r>
        <w:rPr>
          <w:rFonts w:ascii="Open Sans" w:eastAsia="Open Sans" w:hAnsi="Open Sans" w:cs="Open Sans"/>
          <w:b/>
        </w:rPr>
        <w:t xml:space="preserve">explica María Matos, directora de Estudios y portavoz de </w:t>
      </w:r>
      <w:hyperlink r:id="rId12">
        <w:r w:rsidR="000E77E7">
          <w:rPr>
            <w:rFonts w:ascii="Open Sans" w:eastAsia="Open Sans" w:hAnsi="Open Sans" w:cs="Open Sans"/>
            <w:b/>
            <w:color w:val="1155CC"/>
            <w:u w:val="single"/>
          </w:rPr>
          <w:t>Fotocasa</w:t>
        </w:r>
      </w:hyperlink>
      <w:r>
        <w:rPr>
          <w:rFonts w:ascii="Open Sans" w:eastAsia="Open Sans" w:hAnsi="Open Sans" w:cs="Open Sans"/>
          <w:b/>
        </w:rPr>
        <w:t>.</w:t>
      </w:r>
    </w:p>
    <w:p w14:paraId="13ECE01C" w14:textId="77777777" w:rsidR="000E77E7" w:rsidRDefault="000E77E7">
      <w:pPr>
        <w:spacing w:line="276" w:lineRule="auto"/>
        <w:ind w:right="4"/>
        <w:jc w:val="both"/>
        <w:rPr>
          <w:rFonts w:ascii="Open Sans" w:eastAsia="Open Sans" w:hAnsi="Open Sans" w:cs="Open Sans"/>
        </w:rPr>
      </w:pPr>
    </w:p>
    <w:p w14:paraId="015E5011" w14:textId="77777777" w:rsidR="000E77E7" w:rsidRDefault="00000000">
      <w:pP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La compraventa también pierde fuerza en la comparativa con el alquiler</w:t>
      </w:r>
    </w:p>
    <w:p w14:paraId="1A325101" w14:textId="77777777" w:rsidR="000E77E7" w:rsidRDefault="000E77E7">
      <w:pPr>
        <w:rPr>
          <w:rFonts w:ascii="Open Sans Light" w:eastAsia="Open Sans Light" w:hAnsi="Open Sans Light" w:cs="Open Sans Light"/>
          <w:b/>
          <w:color w:val="303AB2"/>
          <w:sz w:val="28"/>
          <w:szCs w:val="28"/>
        </w:rPr>
      </w:pPr>
    </w:p>
    <w:p w14:paraId="175A4904" w14:textId="77777777" w:rsidR="000E77E7" w:rsidRDefault="00000000">
      <w:pPr>
        <w:spacing w:line="276" w:lineRule="auto"/>
        <w:jc w:val="both"/>
        <w:rPr>
          <w:rFonts w:ascii="Open Sans" w:eastAsia="Open Sans" w:hAnsi="Open Sans" w:cs="Open Sans"/>
        </w:rPr>
      </w:pPr>
      <w:r>
        <w:rPr>
          <w:rFonts w:ascii="Open Sans" w:eastAsia="Open Sans" w:hAnsi="Open Sans" w:cs="Open Sans"/>
        </w:rPr>
        <w:t xml:space="preserve">En el desglose de particulares participando en el mercado en la compraventa en Andalucía se observan nuevamente descensos en comparación con los dígitos de agosto, pero un comportamiento dispar si medimos los porcentajes con respecto a los verificados en febrero de 2023. De este modo, </w:t>
      </w:r>
      <w:r>
        <w:rPr>
          <w:rFonts w:ascii="Open Sans" w:eastAsia="Open Sans" w:hAnsi="Open Sans" w:cs="Open Sans"/>
          <w:b/>
        </w:rPr>
        <w:t>en la compraventa se aprecia una caída desde el 17 % de agosto a los 16 % de febrero de 2024</w:t>
      </w:r>
      <w:r>
        <w:rPr>
          <w:rFonts w:ascii="Open Sans" w:eastAsia="Open Sans" w:hAnsi="Open Sans" w:cs="Open Sans"/>
        </w:rPr>
        <w:t>, es decir, un punto porcentual menos, el balance es, sin embargo, positivo en la comparativa con febrero de 2023, cuando la cifra se quedó en el 15 %.</w:t>
      </w:r>
    </w:p>
    <w:p w14:paraId="7DAFDF86" w14:textId="77777777" w:rsidR="000E77E7" w:rsidRDefault="000E77E7">
      <w:pPr>
        <w:spacing w:line="276" w:lineRule="auto"/>
        <w:jc w:val="both"/>
        <w:rPr>
          <w:rFonts w:ascii="Open Sans" w:eastAsia="Open Sans" w:hAnsi="Open Sans" w:cs="Open Sans"/>
        </w:rPr>
      </w:pPr>
    </w:p>
    <w:p w14:paraId="5F1F21A9" w14:textId="77777777" w:rsidR="000E77E7" w:rsidRDefault="00000000">
      <w:pPr>
        <w:rPr>
          <w:rFonts w:ascii="Open Sans Light" w:eastAsia="Open Sans Light" w:hAnsi="Open Sans Light" w:cs="Open Sans Light"/>
          <w:b/>
          <w:color w:val="303AB2"/>
          <w:sz w:val="28"/>
          <w:szCs w:val="28"/>
        </w:rPr>
      </w:pPr>
      <w:bookmarkStart w:id="0" w:name="_heading=h.3znysh7" w:colFirst="0" w:colLast="0"/>
      <w:bookmarkEnd w:id="0"/>
      <w:r>
        <w:rPr>
          <w:noProof/>
        </w:rPr>
        <w:lastRenderedPageBreak/>
        <w:drawing>
          <wp:inline distT="0" distB="0" distL="0" distR="0" wp14:anchorId="64EFFB82" wp14:editId="65909AC4">
            <wp:extent cx="5760720" cy="3101340"/>
            <wp:effectExtent l="0" t="0" r="0" b="0"/>
            <wp:docPr id="2066816598" name="image2.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 Gráfico de líneas&#10;&#10;Descripción generada automáticamente"/>
                    <pic:cNvPicPr preferRelativeResize="0"/>
                  </pic:nvPicPr>
                  <pic:blipFill>
                    <a:blip r:embed="rId13"/>
                    <a:srcRect/>
                    <a:stretch>
                      <a:fillRect/>
                    </a:stretch>
                  </pic:blipFill>
                  <pic:spPr>
                    <a:xfrm>
                      <a:off x="0" y="0"/>
                      <a:ext cx="5760720" cy="3101340"/>
                    </a:xfrm>
                    <a:prstGeom prst="rect">
                      <a:avLst/>
                    </a:prstGeom>
                    <a:ln/>
                  </pic:spPr>
                </pic:pic>
              </a:graphicData>
            </a:graphic>
          </wp:inline>
        </w:drawing>
      </w:r>
    </w:p>
    <w:p w14:paraId="485B29EF" w14:textId="77777777" w:rsidR="000E77E7" w:rsidRDefault="000E77E7">
      <w:pPr>
        <w:rPr>
          <w:rFonts w:ascii="Open Sans Light" w:eastAsia="Open Sans Light" w:hAnsi="Open Sans Light" w:cs="Open Sans Light"/>
          <w:b/>
          <w:color w:val="303AB2"/>
          <w:sz w:val="28"/>
          <w:szCs w:val="28"/>
        </w:rPr>
      </w:pPr>
    </w:p>
    <w:p w14:paraId="6C6491FC" w14:textId="77777777" w:rsidR="000E77E7" w:rsidRDefault="000E77E7">
      <w:pPr>
        <w:rPr>
          <w:rFonts w:ascii="Open Sans Light" w:eastAsia="Open Sans Light" w:hAnsi="Open Sans Light" w:cs="Open Sans Light"/>
          <w:b/>
          <w:color w:val="303AB2"/>
          <w:sz w:val="28"/>
          <w:szCs w:val="28"/>
        </w:rPr>
      </w:pPr>
    </w:p>
    <w:p w14:paraId="198347BC" w14:textId="77777777" w:rsidR="0067691C" w:rsidRDefault="0067691C">
      <w:pPr>
        <w:rPr>
          <w:rFonts w:ascii="Open Sans Light" w:eastAsia="Open Sans Light" w:hAnsi="Open Sans Light" w:cs="Open Sans Light"/>
          <w:b/>
          <w:color w:val="303AB2"/>
          <w:sz w:val="28"/>
          <w:szCs w:val="28"/>
        </w:rPr>
      </w:pPr>
    </w:p>
    <w:p w14:paraId="69415A6B" w14:textId="6CD3EEF6" w:rsidR="000E77E7" w:rsidRDefault="00000000">
      <w:pP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La opinión más mayoritaria culpa a las condiciones hipotecarias</w:t>
      </w:r>
    </w:p>
    <w:p w14:paraId="0B36AE0A" w14:textId="77777777" w:rsidR="000E77E7" w:rsidRDefault="000E77E7">
      <w:pPr>
        <w:spacing w:line="276" w:lineRule="auto"/>
        <w:jc w:val="both"/>
        <w:rPr>
          <w:rFonts w:ascii="Open Sans" w:eastAsia="Open Sans" w:hAnsi="Open Sans" w:cs="Open Sans"/>
        </w:rPr>
      </w:pPr>
    </w:p>
    <w:p w14:paraId="4BBF7014" w14:textId="77777777" w:rsidR="000E77E7" w:rsidRDefault="00000000">
      <w:pPr>
        <w:spacing w:line="276" w:lineRule="auto"/>
        <w:jc w:val="both"/>
        <w:rPr>
          <w:rFonts w:ascii="Open Sans" w:eastAsia="Open Sans" w:hAnsi="Open Sans" w:cs="Open Sans"/>
        </w:rPr>
      </w:pPr>
      <w:r>
        <w:rPr>
          <w:rFonts w:ascii="Open Sans" w:eastAsia="Open Sans" w:hAnsi="Open Sans" w:cs="Open Sans"/>
        </w:rPr>
        <w:t xml:space="preserve">Existe una situación de estabilidad respecto de las opiniones sobre la vivienda de los particulares que participan en el mercado en Andalucía. Eso significa que los argumentos más respaldados siguen siendo los mismos que en años anteriores. </w:t>
      </w:r>
    </w:p>
    <w:p w14:paraId="0A3B7CD2" w14:textId="77777777" w:rsidR="000E77E7" w:rsidRDefault="00000000">
      <w:pPr>
        <w:spacing w:line="276" w:lineRule="auto"/>
        <w:jc w:val="both"/>
        <w:rPr>
          <w:rFonts w:ascii="Open Sans" w:eastAsia="Open Sans" w:hAnsi="Open Sans" w:cs="Open Sans"/>
        </w:rPr>
      </w:pPr>
      <w:r>
        <w:rPr>
          <w:rFonts w:ascii="Open Sans" w:eastAsia="Open Sans" w:hAnsi="Open Sans" w:cs="Open Sans"/>
        </w:rPr>
        <w:t xml:space="preserve">Así, </w:t>
      </w:r>
      <w:r>
        <w:rPr>
          <w:rFonts w:ascii="Open Sans" w:eastAsia="Open Sans" w:hAnsi="Open Sans" w:cs="Open Sans"/>
          <w:b/>
        </w:rPr>
        <w:t>se mantiene una plena conciencia de las dificultades de acceso a la compra de vivienda por las condiciones hipotecarias</w:t>
      </w:r>
      <w:r>
        <w:rPr>
          <w:rFonts w:ascii="Open Sans" w:eastAsia="Open Sans" w:hAnsi="Open Sans" w:cs="Open Sans"/>
        </w:rPr>
        <w:t xml:space="preserve"> (80 % y una puntuación de 8,1 sobre diez) y la convicción de que el sentimiento de propiedad está arraigado en los españoles (74 % y 7,7). También existe bastante consenso con respecto a que los actuales precios del alquiler hacen que compense el pago de la hipoteca (66 % y 7,3).</w:t>
      </w:r>
    </w:p>
    <w:p w14:paraId="273037B1" w14:textId="77777777" w:rsidR="000E77E7" w:rsidRDefault="000E77E7">
      <w:pPr>
        <w:spacing w:line="276" w:lineRule="auto"/>
        <w:jc w:val="both"/>
        <w:rPr>
          <w:rFonts w:ascii="Open Sans" w:eastAsia="Open Sans" w:hAnsi="Open Sans" w:cs="Open Sans"/>
        </w:rPr>
      </w:pPr>
    </w:p>
    <w:p w14:paraId="7FD54C00" w14:textId="77777777" w:rsidR="000E77E7" w:rsidRDefault="000E77E7">
      <w:pPr>
        <w:spacing w:line="276" w:lineRule="auto"/>
        <w:jc w:val="both"/>
        <w:rPr>
          <w:rFonts w:ascii="Open Sans" w:eastAsia="Open Sans" w:hAnsi="Open Sans" w:cs="Open Sans"/>
        </w:rPr>
      </w:pPr>
    </w:p>
    <w:p w14:paraId="34D19FE0" w14:textId="77777777" w:rsidR="000E77E7" w:rsidRDefault="000E77E7">
      <w:pPr>
        <w:spacing w:line="276" w:lineRule="auto"/>
        <w:jc w:val="both"/>
        <w:rPr>
          <w:rFonts w:ascii="Open Sans" w:eastAsia="Open Sans" w:hAnsi="Open Sans" w:cs="Open Sans"/>
        </w:rPr>
      </w:pPr>
    </w:p>
    <w:p w14:paraId="68EF2239" w14:textId="77777777" w:rsidR="000E77E7" w:rsidRDefault="000E77E7">
      <w:pPr>
        <w:spacing w:line="276" w:lineRule="auto"/>
        <w:jc w:val="both"/>
        <w:rPr>
          <w:rFonts w:ascii="Open Sans" w:eastAsia="Open Sans" w:hAnsi="Open Sans" w:cs="Open Sans"/>
        </w:rPr>
      </w:pPr>
    </w:p>
    <w:p w14:paraId="3900DA58" w14:textId="77777777" w:rsidR="000E77E7" w:rsidRDefault="000E77E7">
      <w:pPr>
        <w:spacing w:line="276" w:lineRule="auto"/>
        <w:jc w:val="both"/>
        <w:rPr>
          <w:rFonts w:ascii="Open Sans" w:eastAsia="Open Sans" w:hAnsi="Open Sans" w:cs="Open Sans"/>
        </w:rPr>
      </w:pPr>
    </w:p>
    <w:p w14:paraId="70C5428C" w14:textId="77777777" w:rsidR="000E77E7" w:rsidRDefault="000E77E7">
      <w:pPr>
        <w:spacing w:line="276" w:lineRule="auto"/>
        <w:jc w:val="both"/>
        <w:rPr>
          <w:rFonts w:ascii="Open Sans" w:eastAsia="Open Sans" w:hAnsi="Open Sans" w:cs="Open Sans"/>
        </w:rPr>
      </w:pPr>
    </w:p>
    <w:p w14:paraId="5A96FA3B" w14:textId="77777777" w:rsidR="000E77E7" w:rsidRDefault="000E77E7">
      <w:pPr>
        <w:spacing w:line="276" w:lineRule="auto"/>
        <w:jc w:val="both"/>
        <w:rPr>
          <w:rFonts w:ascii="Open Sans" w:eastAsia="Open Sans" w:hAnsi="Open Sans" w:cs="Open Sans"/>
        </w:rPr>
      </w:pPr>
    </w:p>
    <w:p w14:paraId="6D0A8F8F" w14:textId="77777777" w:rsidR="000E77E7" w:rsidRDefault="000E77E7">
      <w:pPr>
        <w:spacing w:line="276" w:lineRule="auto"/>
        <w:jc w:val="both"/>
        <w:rPr>
          <w:rFonts w:ascii="Open Sans" w:eastAsia="Open Sans" w:hAnsi="Open Sans" w:cs="Open Sans"/>
        </w:rPr>
      </w:pPr>
    </w:p>
    <w:p w14:paraId="493250E4" w14:textId="77777777" w:rsidR="000E77E7" w:rsidRDefault="000E77E7">
      <w:pPr>
        <w:spacing w:line="276" w:lineRule="auto"/>
        <w:jc w:val="both"/>
        <w:rPr>
          <w:rFonts w:ascii="Open Sans" w:eastAsia="Open Sans" w:hAnsi="Open Sans" w:cs="Open Sans"/>
        </w:rPr>
      </w:pPr>
    </w:p>
    <w:p w14:paraId="2A56230E" w14:textId="77777777" w:rsidR="000E77E7" w:rsidRDefault="000E77E7">
      <w:pPr>
        <w:spacing w:line="276" w:lineRule="auto"/>
        <w:jc w:val="both"/>
        <w:rPr>
          <w:rFonts w:ascii="Open Sans" w:eastAsia="Open Sans" w:hAnsi="Open Sans" w:cs="Open Sans"/>
        </w:rPr>
      </w:pPr>
    </w:p>
    <w:p w14:paraId="458B9CF6" w14:textId="77777777" w:rsidR="000E77E7" w:rsidRDefault="00000000">
      <w:pPr>
        <w:spacing w:line="276" w:lineRule="auto"/>
        <w:jc w:val="both"/>
        <w:rPr>
          <w:rFonts w:ascii="Open Sans" w:eastAsia="Open Sans" w:hAnsi="Open Sans" w:cs="Open Sans"/>
        </w:rPr>
      </w:pPr>
      <w:bookmarkStart w:id="1" w:name="_heading=h.1t3h5sf" w:colFirst="0" w:colLast="0"/>
      <w:bookmarkEnd w:id="1"/>
      <w:r>
        <w:rPr>
          <w:noProof/>
        </w:rPr>
        <w:lastRenderedPageBreak/>
        <w:drawing>
          <wp:inline distT="0" distB="0" distL="0" distR="0" wp14:anchorId="778E4AA9" wp14:editId="28D32018">
            <wp:extent cx="5760720" cy="4816475"/>
            <wp:effectExtent l="0" t="0" r="0" b="0"/>
            <wp:docPr id="2066816600" name="image4.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abla&#10;&#10;Descripción generada automáticamente"/>
                    <pic:cNvPicPr preferRelativeResize="0"/>
                  </pic:nvPicPr>
                  <pic:blipFill>
                    <a:blip r:embed="rId14"/>
                    <a:srcRect/>
                    <a:stretch>
                      <a:fillRect/>
                    </a:stretch>
                  </pic:blipFill>
                  <pic:spPr>
                    <a:xfrm>
                      <a:off x="0" y="0"/>
                      <a:ext cx="5760720" cy="4816475"/>
                    </a:xfrm>
                    <a:prstGeom prst="rect">
                      <a:avLst/>
                    </a:prstGeom>
                    <a:ln/>
                  </pic:spPr>
                </pic:pic>
              </a:graphicData>
            </a:graphic>
          </wp:inline>
        </w:drawing>
      </w:r>
    </w:p>
    <w:p w14:paraId="18117125" w14:textId="77777777" w:rsidR="000E77E7" w:rsidRDefault="000E77E7">
      <w:pPr>
        <w:spacing w:line="276" w:lineRule="auto"/>
        <w:jc w:val="both"/>
        <w:rPr>
          <w:rFonts w:ascii="Open Sans" w:eastAsia="Open Sans" w:hAnsi="Open Sans" w:cs="Open Sans"/>
        </w:rPr>
      </w:pPr>
    </w:p>
    <w:p w14:paraId="702E61DE" w14:textId="77777777" w:rsidR="000E77E7" w:rsidRDefault="00000000">
      <w:pPr>
        <w:spacing w:line="276" w:lineRule="auto"/>
        <w:jc w:val="both"/>
        <w:rPr>
          <w:rFonts w:ascii="Open Sans" w:eastAsia="Open Sans" w:hAnsi="Open Sans" w:cs="Open Sans"/>
        </w:rPr>
      </w:pPr>
      <w:r>
        <w:rPr>
          <w:rFonts w:ascii="Open Sans" w:eastAsia="Open Sans" w:hAnsi="Open Sans" w:cs="Open Sans"/>
        </w:rPr>
        <w:t>El cambio más relevante se encuentra en la idoneidad de la vivienda como inversión. El apoyo a esta cuestión entre los particulares activos en el mercado crece hasta alcanzar a más de 7 de cada 10 implicados.</w:t>
      </w:r>
    </w:p>
    <w:p w14:paraId="3E6D8227" w14:textId="77777777" w:rsidR="000E77E7" w:rsidRDefault="000E77E7">
      <w:pPr>
        <w:spacing w:line="276" w:lineRule="auto"/>
        <w:jc w:val="both"/>
        <w:rPr>
          <w:rFonts w:ascii="Open Sans" w:eastAsia="Open Sans" w:hAnsi="Open Sans" w:cs="Open Sans"/>
        </w:rPr>
      </w:pPr>
    </w:p>
    <w:p w14:paraId="0F6FFA79" w14:textId="5713D2B0" w:rsidR="000E77E7" w:rsidRDefault="00000000" w:rsidP="003951B6">
      <w:pPr>
        <w:spacing w:line="276" w:lineRule="auto"/>
        <w:jc w:val="both"/>
        <w:rPr>
          <w:rFonts w:ascii="Open Sans" w:eastAsia="Open Sans" w:hAnsi="Open Sans" w:cs="Open Sans"/>
        </w:rPr>
      </w:pPr>
      <w:r>
        <w:rPr>
          <w:rFonts w:ascii="Open Sans" w:eastAsia="Open Sans" w:hAnsi="Open Sans" w:cs="Open Sans"/>
        </w:rPr>
        <w:t xml:space="preserve">Por su parte, las opiniones relativas al alquiler son más matizadas. </w:t>
      </w:r>
      <w:r>
        <w:rPr>
          <w:rFonts w:ascii="Open Sans" w:eastAsia="Open Sans" w:hAnsi="Open Sans" w:cs="Open Sans"/>
          <w:b/>
        </w:rPr>
        <w:t>La mitad de los particulares activos considera que vivir de alquiler es tirar el dinero</w:t>
      </w:r>
      <w:r>
        <w:rPr>
          <w:rFonts w:ascii="Open Sans" w:eastAsia="Open Sans" w:hAnsi="Open Sans" w:cs="Open Sans"/>
        </w:rPr>
        <w:t>, mientras que existen muchas dudas sobre cuál va a ser la tendencia del mercado del arrendamiento. En ambos casos la situación con respecto a febrero de 2023 es de estabilidad.</w:t>
      </w:r>
    </w:p>
    <w:p w14:paraId="7AEA2A68" w14:textId="77777777" w:rsidR="003951B6" w:rsidRDefault="003951B6" w:rsidP="003951B6">
      <w:pPr>
        <w:spacing w:line="276" w:lineRule="auto"/>
        <w:jc w:val="both"/>
        <w:rPr>
          <w:rFonts w:ascii="Open Sans" w:eastAsia="Open Sans" w:hAnsi="Open Sans" w:cs="Open Sans"/>
        </w:rPr>
      </w:pPr>
    </w:p>
    <w:p w14:paraId="55E8BF8F" w14:textId="77777777" w:rsidR="000E77E7" w:rsidRDefault="00000000">
      <w:pPr>
        <w:spacing w:after="160" w:line="259" w:lineRule="auto"/>
        <w:jc w:val="both"/>
        <w:rPr>
          <w:rFonts w:ascii="Open Sans" w:eastAsia="Open Sans" w:hAnsi="Open Sans" w:cs="Open Sans"/>
        </w:rPr>
      </w:pPr>
      <w:r>
        <w:rPr>
          <w:rFonts w:ascii="Open Sans" w:eastAsia="Open Sans" w:hAnsi="Open Sans" w:cs="Open Sans"/>
        </w:rPr>
        <w:t xml:space="preserve">En torno a la mitad de los andaluces activos en el mercado considera que se acerca una burbuja inmobiliaria, proporción similar a hace un año. </w:t>
      </w:r>
      <w:r>
        <w:rPr>
          <w:rFonts w:ascii="Open Sans" w:eastAsia="Open Sans" w:hAnsi="Open Sans" w:cs="Open Sans"/>
          <w:b/>
        </w:rPr>
        <w:t xml:space="preserve">La ley de vivienda continúa sin despertar entusiasmo entre los particulares andaluces </w:t>
      </w:r>
      <w:r>
        <w:rPr>
          <w:rFonts w:ascii="Open Sans" w:eastAsia="Open Sans" w:hAnsi="Open Sans" w:cs="Open Sans"/>
        </w:rPr>
        <w:t>que actúan en el mercado, quienes le otorgan una puntuación de 4,9 sobre diez.</w:t>
      </w:r>
    </w:p>
    <w:p w14:paraId="771F79A6" w14:textId="77777777" w:rsidR="0067691C" w:rsidRDefault="0067691C">
      <w:pPr>
        <w:spacing w:after="160" w:line="259" w:lineRule="auto"/>
        <w:jc w:val="both"/>
        <w:rPr>
          <w:rFonts w:ascii="Open Sans" w:eastAsia="Open Sans" w:hAnsi="Open Sans" w:cs="Open Sans"/>
        </w:rPr>
      </w:pPr>
    </w:p>
    <w:p w14:paraId="5D09B55A" w14:textId="77777777" w:rsidR="000E77E7" w:rsidRDefault="000E77E7">
      <w:pPr>
        <w:spacing w:line="276" w:lineRule="auto"/>
        <w:ind w:right="-426"/>
        <w:jc w:val="center"/>
        <w:rPr>
          <w:rFonts w:ascii="Open Sans" w:eastAsia="Open Sans" w:hAnsi="Open Sans" w:cs="Open Sans"/>
          <w:b/>
          <w:color w:val="1155CC"/>
          <w:u w:val="single"/>
        </w:rPr>
      </w:pPr>
      <w:hyperlink r:id="rId15">
        <w:r>
          <w:rPr>
            <w:rFonts w:ascii="Open Sans" w:eastAsia="Open Sans" w:hAnsi="Open Sans" w:cs="Open Sans"/>
            <w:b/>
            <w:color w:val="1155CC"/>
            <w:u w:val="single"/>
          </w:rPr>
          <w:t>Declaraciones de María Matos, directora de Estudios de Fotocasa</w:t>
        </w:r>
      </w:hyperlink>
    </w:p>
    <w:p w14:paraId="4E346CE4" w14:textId="77777777" w:rsidR="0067691C" w:rsidRDefault="0067691C">
      <w:pPr>
        <w:spacing w:line="276" w:lineRule="auto"/>
        <w:ind w:right="-426"/>
        <w:jc w:val="center"/>
        <w:rPr>
          <w:sz w:val="22"/>
          <w:szCs w:val="22"/>
        </w:rPr>
      </w:pPr>
    </w:p>
    <w:p w14:paraId="587F26D2" w14:textId="77777777" w:rsidR="000E77E7" w:rsidRDefault="00000000">
      <w:pPr>
        <w:spacing w:line="276" w:lineRule="auto"/>
        <w:ind w:right="-426"/>
        <w:jc w:val="center"/>
        <w:rPr>
          <w:sz w:val="22"/>
          <w:szCs w:val="22"/>
        </w:rPr>
      </w:pPr>
      <w:r>
        <w:rPr>
          <w:noProof/>
          <w:sz w:val="22"/>
          <w:szCs w:val="22"/>
        </w:rPr>
        <w:drawing>
          <wp:inline distT="114300" distB="114300" distL="114300" distR="114300" wp14:anchorId="4683055F" wp14:editId="22BDC88E">
            <wp:extent cx="5764220" cy="3225800"/>
            <wp:effectExtent l="0" t="0" r="8255" b="0"/>
            <wp:docPr id="2066816596" name="image6.jpg">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2066816596" name="image6.jpg">
                      <a:hlinkClick r:id="rId16"/>
                    </pic:cNvPr>
                    <pic:cNvPicPr preferRelativeResize="0"/>
                  </pic:nvPicPr>
                  <pic:blipFill>
                    <a:blip r:embed="rId17"/>
                    <a:srcRect/>
                    <a:stretch>
                      <a:fillRect/>
                    </a:stretch>
                  </pic:blipFill>
                  <pic:spPr>
                    <a:xfrm>
                      <a:off x="0" y="0"/>
                      <a:ext cx="5764220" cy="3225800"/>
                    </a:xfrm>
                    <a:prstGeom prst="rect">
                      <a:avLst/>
                    </a:prstGeom>
                    <a:ln/>
                  </pic:spPr>
                </pic:pic>
              </a:graphicData>
            </a:graphic>
          </wp:inline>
        </w:drawing>
      </w:r>
    </w:p>
    <w:p w14:paraId="21011A10" w14:textId="77777777" w:rsidR="000E77E7" w:rsidRDefault="000E77E7">
      <w:pPr>
        <w:spacing w:line="276" w:lineRule="auto"/>
        <w:ind w:right="-426"/>
        <w:jc w:val="center"/>
        <w:rPr>
          <w:sz w:val="22"/>
          <w:szCs w:val="22"/>
        </w:rPr>
      </w:pPr>
    </w:p>
    <w:p w14:paraId="42518E23" w14:textId="77777777" w:rsidR="000E77E7" w:rsidRDefault="000E77E7">
      <w:pPr>
        <w:spacing w:line="276" w:lineRule="auto"/>
        <w:rPr>
          <w:rFonts w:ascii="Open Sans Light" w:eastAsia="Open Sans Light" w:hAnsi="Open Sans Light" w:cs="Open Sans Light"/>
          <w:b/>
          <w:color w:val="303AB2"/>
        </w:rPr>
      </w:pPr>
    </w:p>
    <w:p w14:paraId="4DC6A2A4" w14:textId="77777777" w:rsidR="000E77E7"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85A43D2" w14:textId="77777777" w:rsidR="000E77E7"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8">
        <w:r w:rsidR="000E77E7">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9">
        <w:r w:rsidR="000E77E7">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2" w:name="_heading=h.2s8eyo1" w:colFirst="0" w:colLast="0"/>
    <w:bookmarkEnd w:id="2"/>
    <w:p w14:paraId="19E8ABC1" w14:textId="77777777" w:rsidR="000E77E7"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20">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0E11C423" w14:textId="77777777" w:rsidR="000E77E7" w:rsidRDefault="000E77E7">
      <w:pPr>
        <w:shd w:val="clear" w:color="auto" w:fill="FFFFFF"/>
        <w:spacing w:before="280" w:after="280" w:line="276" w:lineRule="auto"/>
        <w:jc w:val="both"/>
        <w:rPr>
          <w:rFonts w:ascii="Open Sans" w:eastAsia="Open Sans" w:hAnsi="Open Sans" w:cs="Open Sans"/>
          <w:sz w:val="22"/>
          <w:szCs w:val="22"/>
        </w:rPr>
      </w:pPr>
      <w:hyperlink r:id="rId21">
        <w:r>
          <w:rPr>
            <w:rFonts w:ascii="Open Sans" w:eastAsia="Open Sans" w:hAnsi="Open Sans" w:cs="Open Sans"/>
            <w:color w:val="0000FF"/>
            <w:sz w:val="22"/>
            <w:szCs w:val="22"/>
            <w:u w:val="single"/>
          </w:rPr>
          <w:t>Más información sobre Fotocasa</w:t>
        </w:r>
      </w:hyperlink>
      <w:r w:rsidR="00000000">
        <w:rPr>
          <w:rFonts w:ascii="Open Sans" w:eastAsia="Open Sans" w:hAnsi="Open Sans" w:cs="Open Sans"/>
          <w:sz w:val="22"/>
          <w:szCs w:val="22"/>
        </w:rPr>
        <w:t xml:space="preserve">. </w:t>
      </w:r>
    </w:p>
    <w:p w14:paraId="5A9E2EF5" w14:textId="77777777" w:rsidR="000E77E7" w:rsidRDefault="000E77E7">
      <w:pPr>
        <w:spacing w:line="276" w:lineRule="auto"/>
        <w:jc w:val="right"/>
        <w:rPr>
          <w:rFonts w:ascii="Open Sans Light" w:eastAsia="Open Sans Light" w:hAnsi="Open Sans Light" w:cs="Open Sans Light"/>
          <w:b/>
          <w:color w:val="303AB2"/>
        </w:rPr>
      </w:pPr>
    </w:p>
    <w:p w14:paraId="017C4858" w14:textId="77777777" w:rsidR="000E77E7"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17F01B8F" w14:textId="77777777" w:rsidR="000E77E7"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22">
        <w:r w:rsidR="000E77E7">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sidR="000E77E7">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4">
        <w:r w:rsidR="000E77E7">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5">
        <w:r w:rsidR="000E77E7">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6">
        <w:r w:rsidR="000E77E7">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7">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715DEA48" w14:textId="77777777" w:rsidR="000E77E7"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lastRenderedPageBreak/>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3AF1AD60" w14:textId="77777777" w:rsidR="000E77E7"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64951C9B" w14:textId="77777777" w:rsidR="000E77E7"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8">
        <w:r w:rsidR="000E77E7">
          <w:rPr>
            <w:rFonts w:ascii="Open Sans" w:eastAsia="Open Sans" w:hAnsi="Open Sans" w:cs="Open Sans"/>
            <w:color w:val="1155CC"/>
            <w:sz w:val="22"/>
            <w:szCs w:val="22"/>
            <w:u w:val="single"/>
          </w:rPr>
          <w:t>adevinta.es</w:t>
        </w:r>
      </w:hyperlink>
    </w:p>
    <w:p w14:paraId="47775341" w14:textId="77777777" w:rsidR="000E77E7" w:rsidRDefault="000E77E7">
      <w:pPr>
        <w:spacing w:line="276" w:lineRule="auto"/>
        <w:jc w:val="right"/>
        <w:rPr>
          <w:rFonts w:ascii="Open Sans" w:eastAsia="Open Sans" w:hAnsi="Open Sans" w:cs="Open Sans"/>
        </w:rPr>
      </w:pPr>
    </w:p>
    <w:p w14:paraId="47C1C280" w14:textId="77777777" w:rsidR="000E77E7"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F4F72D4" w14:textId="77777777" w:rsidR="000E77E7"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5F5100C" w14:textId="77777777" w:rsidR="000E77E7" w:rsidRDefault="000E77E7">
      <w:pPr>
        <w:shd w:val="clear" w:color="auto" w:fill="FFFFFF"/>
        <w:spacing w:line="276" w:lineRule="auto"/>
        <w:rPr>
          <w:rFonts w:ascii="Open Sans" w:eastAsia="Open Sans" w:hAnsi="Open Sans" w:cs="Open Sans"/>
          <w:color w:val="0000FF"/>
          <w:sz w:val="22"/>
          <w:szCs w:val="22"/>
          <w:u w:val="single"/>
        </w:rPr>
      </w:pPr>
      <w:hyperlink r:id="rId29">
        <w:r>
          <w:rPr>
            <w:rFonts w:ascii="Open Sans" w:eastAsia="Open Sans" w:hAnsi="Open Sans" w:cs="Open Sans"/>
            <w:color w:val="0000FF"/>
            <w:sz w:val="22"/>
            <w:szCs w:val="22"/>
            <w:u w:val="single"/>
          </w:rPr>
          <w:t>comunicacion@fotocasa.es</w:t>
        </w:r>
      </w:hyperlink>
    </w:p>
    <w:p w14:paraId="35757EE4" w14:textId="77777777" w:rsidR="000E77E7"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791C532" w14:textId="77777777" w:rsidR="000E77E7" w:rsidRDefault="000E77E7">
      <w:pPr>
        <w:spacing w:line="276" w:lineRule="auto"/>
        <w:rPr>
          <w:rFonts w:ascii="Open Sans Light" w:eastAsia="Open Sans Light" w:hAnsi="Open Sans Light" w:cs="Open Sans Light"/>
          <w:b/>
          <w:color w:val="303AB2"/>
          <w:sz w:val="22"/>
          <w:szCs w:val="22"/>
        </w:rPr>
      </w:pPr>
    </w:p>
    <w:p w14:paraId="2E46FD3C" w14:textId="77777777" w:rsidR="000E77E7" w:rsidRDefault="000E77E7">
      <w:pPr>
        <w:spacing w:line="276" w:lineRule="auto"/>
        <w:rPr>
          <w:rFonts w:ascii="Open Sans Light" w:eastAsia="Open Sans Light" w:hAnsi="Open Sans Light" w:cs="Open Sans Light"/>
          <w:b/>
          <w:color w:val="303AB2"/>
          <w:sz w:val="22"/>
          <w:szCs w:val="22"/>
        </w:rPr>
      </w:pPr>
    </w:p>
    <w:p w14:paraId="746DBA30" w14:textId="77777777" w:rsidR="000E77E7"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308CCA03" w14:textId="77777777" w:rsidR="000E77E7"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242E9142" w14:textId="77777777" w:rsidR="000E77E7" w:rsidRDefault="000E77E7">
      <w:pPr>
        <w:shd w:val="clear" w:color="auto" w:fill="FFFFFF"/>
        <w:ind w:right="-433"/>
        <w:rPr>
          <w:rFonts w:ascii="Open Sans" w:eastAsia="Open Sans" w:hAnsi="Open Sans" w:cs="Open Sans"/>
          <w:b/>
          <w:sz w:val="22"/>
          <w:szCs w:val="22"/>
        </w:rPr>
      </w:pPr>
      <w:hyperlink r:id="rId30">
        <w:r>
          <w:rPr>
            <w:rFonts w:ascii="Open Sans" w:eastAsia="Open Sans" w:hAnsi="Open Sans" w:cs="Open Sans"/>
            <w:color w:val="0000FF"/>
            <w:sz w:val="22"/>
            <w:szCs w:val="22"/>
            <w:u w:val="single"/>
          </w:rPr>
          <w:t>emerino@</w:t>
        </w:r>
      </w:hyperlink>
      <w:r w:rsidR="00000000">
        <w:rPr>
          <w:rFonts w:ascii="Open Sans" w:eastAsia="Open Sans" w:hAnsi="Open Sans" w:cs="Open Sans"/>
          <w:color w:val="0000FF"/>
          <w:sz w:val="22"/>
          <w:szCs w:val="22"/>
          <w:u w:val="single"/>
        </w:rPr>
        <w:t>llyc.global</w:t>
      </w:r>
      <w:r w:rsidR="00000000">
        <w:rPr>
          <w:rFonts w:ascii="Open Sans" w:eastAsia="Open Sans" w:hAnsi="Open Sans" w:cs="Open Sans"/>
          <w:color w:val="0000FF"/>
          <w:sz w:val="22"/>
          <w:szCs w:val="22"/>
        </w:rPr>
        <w:tab/>
      </w:r>
      <w:r w:rsidR="00000000">
        <w:rPr>
          <w:rFonts w:ascii="Open Sans" w:eastAsia="Open Sans" w:hAnsi="Open Sans" w:cs="Open Sans"/>
          <w:color w:val="0000FF"/>
          <w:sz w:val="22"/>
          <w:szCs w:val="22"/>
        </w:rPr>
        <w:tab/>
      </w:r>
    </w:p>
    <w:p w14:paraId="29876559" w14:textId="77777777" w:rsidR="000E77E7" w:rsidRPr="0067691C" w:rsidRDefault="00000000">
      <w:pPr>
        <w:shd w:val="clear" w:color="auto" w:fill="FFFFFF"/>
        <w:ind w:right="-433"/>
        <w:rPr>
          <w:rFonts w:ascii="Open Sans" w:eastAsia="Open Sans" w:hAnsi="Open Sans" w:cs="Open Sans"/>
          <w:sz w:val="22"/>
          <w:szCs w:val="22"/>
          <w:lang w:val="en-US"/>
        </w:rPr>
      </w:pPr>
      <w:r w:rsidRPr="0067691C">
        <w:rPr>
          <w:rFonts w:ascii="Open Sans" w:eastAsia="Open Sans" w:hAnsi="Open Sans" w:cs="Open Sans"/>
          <w:sz w:val="22"/>
          <w:szCs w:val="22"/>
          <w:lang w:val="en-US"/>
        </w:rPr>
        <w:t>663 35 69 75 </w:t>
      </w:r>
      <w:r w:rsidRPr="0067691C">
        <w:rPr>
          <w:rFonts w:ascii="Open Sans" w:eastAsia="Open Sans" w:hAnsi="Open Sans" w:cs="Open Sans"/>
          <w:sz w:val="22"/>
          <w:szCs w:val="22"/>
          <w:lang w:val="en-US"/>
        </w:rPr>
        <w:tab/>
      </w:r>
      <w:r w:rsidRPr="0067691C">
        <w:rPr>
          <w:rFonts w:ascii="Open Sans" w:eastAsia="Open Sans" w:hAnsi="Open Sans" w:cs="Open Sans"/>
          <w:sz w:val="22"/>
          <w:szCs w:val="22"/>
          <w:lang w:val="en-US"/>
        </w:rPr>
        <w:tab/>
      </w:r>
      <w:r w:rsidRPr="0067691C">
        <w:rPr>
          <w:rFonts w:ascii="Open Sans" w:eastAsia="Open Sans" w:hAnsi="Open Sans" w:cs="Open Sans"/>
          <w:sz w:val="22"/>
          <w:szCs w:val="22"/>
          <w:lang w:val="en-US"/>
        </w:rPr>
        <w:tab/>
      </w:r>
      <w:r w:rsidRPr="0067691C">
        <w:rPr>
          <w:rFonts w:ascii="Open Sans" w:eastAsia="Open Sans" w:hAnsi="Open Sans" w:cs="Open Sans"/>
          <w:sz w:val="22"/>
          <w:szCs w:val="22"/>
          <w:lang w:val="en-US"/>
        </w:rPr>
        <w:tab/>
      </w:r>
      <w:r w:rsidRPr="0067691C">
        <w:rPr>
          <w:rFonts w:ascii="Open Sans" w:eastAsia="Open Sans" w:hAnsi="Open Sans" w:cs="Open Sans"/>
          <w:sz w:val="22"/>
          <w:szCs w:val="22"/>
          <w:lang w:val="en-US"/>
        </w:rPr>
        <w:tab/>
      </w:r>
      <w:r w:rsidRPr="0067691C">
        <w:rPr>
          <w:rFonts w:ascii="Open Sans" w:eastAsia="Open Sans" w:hAnsi="Open Sans" w:cs="Open Sans"/>
          <w:sz w:val="22"/>
          <w:szCs w:val="22"/>
          <w:lang w:val="en-US"/>
        </w:rPr>
        <w:tab/>
      </w:r>
    </w:p>
    <w:p w14:paraId="4A47CF0A" w14:textId="77777777" w:rsidR="000E77E7" w:rsidRPr="0067691C" w:rsidRDefault="00000000">
      <w:pPr>
        <w:shd w:val="clear" w:color="auto" w:fill="FFFFFF"/>
        <w:ind w:right="-433"/>
        <w:rPr>
          <w:color w:val="222222"/>
          <w:sz w:val="22"/>
          <w:szCs w:val="22"/>
          <w:lang w:val="en-US"/>
        </w:rPr>
      </w:pPr>
      <w:r w:rsidRPr="0067691C">
        <w:rPr>
          <w:color w:val="222222"/>
          <w:sz w:val="22"/>
          <w:szCs w:val="22"/>
          <w:lang w:val="en-US"/>
        </w:rPr>
        <w:tab/>
      </w:r>
      <w:r w:rsidRPr="0067691C">
        <w:rPr>
          <w:color w:val="222222"/>
          <w:sz w:val="22"/>
          <w:szCs w:val="22"/>
          <w:lang w:val="en-US"/>
        </w:rPr>
        <w:tab/>
        <w:t xml:space="preserve">     </w:t>
      </w:r>
    </w:p>
    <w:p w14:paraId="3FDE85F4" w14:textId="77777777" w:rsidR="000E77E7" w:rsidRPr="0067691C" w:rsidRDefault="00000000">
      <w:pPr>
        <w:shd w:val="clear" w:color="auto" w:fill="FFFFFF"/>
        <w:ind w:right="-433"/>
        <w:rPr>
          <w:rFonts w:ascii="Open Sans" w:eastAsia="Open Sans" w:hAnsi="Open Sans" w:cs="Open Sans"/>
          <w:b/>
          <w:sz w:val="22"/>
          <w:szCs w:val="22"/>
          <w:lang w:val="en-US"/>
        </w:rPr>
      </w:pPr>
      <w:r w:rsidRPr="0067691C">
        <w:rPr>
          <w:rFonts w:ascii="Open Sans" w:eastAsia="Open Sans" w:hAnsi="Open Sans" w:cs="Open Sans"/>
          <w:b/>
          <w:sz w:val="22"/>
          <w:szCs w:val="22"/>
          <w:lang w:val="en-US"/>
        </w:rPr>
        <w:t>Judit Campillos</w:t>
      </w:r>
    </w:p>
    <w:p w14:paraId="56C5BAE1" w14:textId="77777777" w:rsidR="000E77E7" w:rsidRPr="0067691C" w:rsidRDefault="00000000">
      <w:pPr>
        <w:shd w:val="clear" w:color="auto" w:fill="FFFFFF"/>
        <w:ind w:right="-433"/>
        <w:rPr>
          <w:rFonts w:ascii="Open Sans" w:eastAsia="Open Sans" w:hAnsi="Open Sans" w:cs="Open Sans"/>
          <w:b/>
          <w:sz w:val="22"/>
          <w:szCs w:val="22"/>
          <w:lang w:val="en-US"/>
        </w:rPr>
      </w:pPr>
      <w:r w:rsidRPr="0067691C">
        <w:rPr>
          <w:rFonts w:ascii="Open Sans" w:eastAsia="Open Sans" w:hAnsi="Open Sans" w:cs="Open Sans"/>
          <w:color w:val="0000FF"/>
          <w:sz w:val="22"/>
          <w:szCs w:val="22"/>
          <w:u w:val="single"/>
          <w:lang w:val="en-US"/>
        </w:rPr>
        <w:t>jcampillos</w:t>
      </w:r>
      <w:hyperlink r:id="rId31">
        <w:r w:rsidR="000E77E7" w:rsidRPr="0067691C">
          <w:rPr>
            <w:rFonts w:ascii="Open Sans" w:eastAsia="Open Sans" w:hAnsi="Open Sans" w:cs="Open Sans"/>
            <w:color w:val="0000FF"/>
            <w:sz w:val="22"/>
            <w:szCs w:val="22"/>
            <w:u w:val="single"/>
            <w:lang w:val="en-US"/>
          </w:rPr>
          <w:t>@ll</w:t>
        </w:r>
      </w:hyperlink>
      <w:r w:rsidRPr="0067691C">
        <w:rPr>
          <w:rFonts w:ascii="Open Sans" w:eastAsia="Open Sans" w:hAnsi="Open Sans" w:cs="Open Sans"/>
          <w:color w:val="0000FF"/>
          <w:sz w:val="22"/>
          <w:szCs w:val="22"/>
          <w:u w:val="single"/>
          <w:lang w:val="en-US"/>
        </w:rPr>
        <w:t>yc.global</w:t>
      </w:r>
      <w:r w:rsidRPr="0067691C">
        <w:rPr>
          <w:rFonts w:ascii="Open Sans" w:eastAsia="Open Sans" w:hAnsi="Open Sans" w:cs="Open Sans"/>
          <w:color w:val="0000FF"/>
          <w:sz w:val="22"/>
          <w:szCs w:val="22"/>
          <w:lang w:val="en-US"/>
        </w:rPr>
        <w:tab/>
      </w:r>
      <w:r w:rsidRPr="0067691C">
        <w:rPr>
          <w:rFonts w:ascii="Open Sans" w:eastAsia="Open Sans" w:hAnsi="Open Sans" w:cs="Open Sans"/>
          <w:color w:val="0000FF"/>
          <w:sz w:val="22"/>
          <w:szCs w:val="22"/>
          <w:lang w:val="en-US"/>
        </w:rPr>
        <w:tab/>
      </w:r>
    </w:p>
    <w:p w14:paraId="7A9F3063" w14:textId="77777777" w:rsidR="000E77E7" w:rsidRPr="00CD2EC5" w:rsidRDefault="00000000">
      <w:pPr>
        <w:shd w:val="clear" w:color="auto" w:fill="FFFFFF"/>
        <w:ind w:right="-433"/>
        <w:rPr>
          <w:rFonts w:ascii="Open Sans" w:eastAsia="Open Sans" w:hAnsi="Open Sans" w:cs="Open Sans"/>
          <w:sz w:val="22"/>
          <w:szCs w:val="22"/>
          <w:lang w:val="es-ES"/>
        </w:rPr>
      </w:pPr>
      <w:r w:rsidRPr="00CD2EC5">
        <w:rPr>
          <w:rFonts w:ascii="Open Sans" w:eastAsia="Open Sans" w:hAnsi="Open Sans" w:cs="Open Sans"/>
          <w:sz w:val="22"/>
          <w:szCs w:val="22"/>
          <w:lang w:val="es-ES"/>
        </w:rPr>
        <w:t>699 13 91 53</w:t>
      </w:r>
    </w:p>
    <w:p w14:paraId="48104053" w14:textId="77777777" w:rsidR="000E77E7" w:rsidRPr="00CD2EC5" w:rsidRDefault="000E77E7">
      <w:pPr>
        <w:rPr>
          <w:rFonts w:ascii="Open Sans" w:eastAsia="Open Sans" w:hAnsi="Open Sans" w:cs="Open Sans"/>
          <w:color w:val="30302E"/>
          <w:sz w:val="22"/>
          <w:szCs w:val="22"/>
          <w:highlight w:val="white"/>
          <w:lang w:val="es-ES"/>
        </w:rPr>
      </w:pPr>
    </w:p>
    <w:p w14:paraId="32807B75" w14:textId="77777777" w:rsidR="000E77E7"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060D000A" w14:textId="77777777" w:rsidR="000E77E7" w:rsidRDefault="000E77E7">
      <w:pPr>
        <w:rPr>
          <w:rFonts w:ascii="Open Sans" w:eastAsia="Open Sans" w:hAnsi="Open Sans" w:cs="Open Sans"/>
          <w:color w:val="0000FF"/>
          <w:sz w:val="22"/>
          <w:szCs w:val="22"/>
          <w:u w:val="single"/>
        </w:rPr>
      </w:pPr>
      <w:hyperlink r:id="rId32">
        <w:r>
          <w:rPr>
            <w:rFonts w:ascii="Open Sans" w:eastAsia="Open Sans" w:hAnsi="Open Sans" w:cs="Open Sans"/>
            <w:color w:val="0000FF"/>
            <w:sz w:val="22"/>
            <w:szCs w:val="22"/>
            <w:u w:val="single"/>
          </w:rPr>
          <w:t>alicia.salvatella@llyc.global</w:t>
        </w:r>
      </w:hyperlink>
    </w:p>
    <w:p w14:paraId="3BC72C84" w14:textId="77777777" w:rsidR="000E77E7"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63039639" w14:textId="77777777" w:rsidR="000E77E7" w:rsidRDefault="000E77E7">
      <w:pPr>
        <w:shd w:val="clear" w:color="auto" w:fill="FFFFFF"/>
        <w:rPr>
          <w:rFonts w:ascii="Open Sans" w:eastAsia="Open Sans" w:hAnsi="Open Sans" w:cs="Open Sans"/>
          <w:color w:val="000000"/>
          <w:sz w:val="22"/>
          <w:szCs w:val="22"/>
        </w:rPr>
      </w:pPr>
    </w:p>
    <w:p w14:paraId="1BA6F37B" w14:textId="77777777" w:rsidR="000E77E7" w:rsidRDefault="000E77E7">
      <w:pPr>
        <w:shd w:val="clear" w:color="auto" w:fill="FFFFFF"/>
        <w:rPr>
          <w:rFonts w:ascii="Open Sans" w:eastAsia="Open Sans" w:hAnsi="Open Sans" w:cs="Open Sans"/>
          <w:color w:val="000000"/>
          <w:sz w:val="22"/>
          <w:szCs w:val="22"/>
        </w:rPr>
      </w:pPr>
    </w:p>
    <w:sectPr w:rsidR="000E77E7">
      <w:footerReference w:type="default" r:id="rId3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3699B6" w14:textId="77777777" w:rsidR="00162ACC" w:rsidRDefault="00162ACC">
      <w:r>
        <w:separator/>
      </w:r>
    </w:p>
  </w:endnote>
  <w:endnote w:type="continuationSeparator" w:id="0">
    <w:p w14:paraId="0713532A" w14:textId="77777777" w:rsidR="00162ACC" w:rsidRDefault="00162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5990B62-0F3B-45BE-AEA2-909F73FABE4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A4F1BCF-C14D-47D8-AA81-02FA37009993}"/>
    <w:embedBold r:id="rId3" w:fontKey="{20C70616-C431-4992-A7A5-0D9660AC03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1A4A696-8B00-45F0-9D9E-0BB29DA4AA8A}"/>
    <w:embedItalic r:id="rId5" w:fontKey="{96B3EAC7-1613-44CC-B736-58248968C29E}"/>
  </w:font>
  <w:font w:name="Cambria">
    <w:panose1 w:val="02040503050406030204"/>
    <w:charset w:val="00"/>
    <w:family w:val="roman"/>
    <w:pitch w:val="variable"/>
    <w:sig w:usb0="E00006FF" w:usb1="420024FF" w:usb2="02000000" w:usb3="00000000" w:csb0="0000019F" w:csb1="00000000"/>
    <w:embedRegular r:id="rId6" w:fontKey="{29A90C5E-FA4A-4661-9CC1-7D62675BFCBF}"/>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CC5DDCC-70B1-459B-A1F5-6A65A6AFB25B}"/>
    <w:embedBold r:id="rId8" w:fontKey="{73FF0D37-82DC-44F1-8B90-2CC70B0BD6FE}"/>
    <w:embedItalic r:id="rId9" w:fontKey="{2F8B55CD-A290-474C-814F-2DE28A075216}"/>
    <w:embedBoldItalic r:id="rId10" w:fontKey="{65913111-3CF9-49B4-B2FC-417014ED9ED2}"/>
  </w:font>
  <w:font w:name="Open Sans Light">
    <w:charset w:val="00"/>
    <w:family w:val="swiss"/>
    <w:pitch w:val="variable"/>
    <w:sig w:usb0="E00002EF" w:usb1="4000205B" w:usb2="00000028" w:usb3="00000000" w:csb0="0000019F" w:csb1="00000000"/>
    <w:embedRegular r:id="rId11" w:fontKey="{F70D9E94-7F0E-4879-BAF4-8D0E35114E05}"/>
    <w:embedBold r:id="rId12" w:fontKey="{E868B42D-4F63-44D1-AE6A-1F09F7D56E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E472E" w14:textId="77777777" w:rsidR="000E77E7"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07EC185" wp14:editId="69D2CC0D">
          <wp:simplePos x="0" y="0"/>
          <wp:positionH relativeFrom="column">
            <wp:posOffset>-1068049</wp:posOffset>
          </wp:positionH>
          <wp:positionV relativeFrom="paragraph">
            <wp:posOffset>174608</wp:posOffset>
          </wp:positionV>
          <wp:extent cx="7670550" cy="451315"/>
          <wp:effectExtent l="0" t="0" r="0" b="0"/>
          <wp:wrapNone/>
          <wp:docPr id="20668165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2B7B8" w14:textId="77777777" w:rsidR="00162ACC" w:rsidRDefault="00162ACC">
      <w:r>
        <w:separator/>
      </w:r>
    </w:p>
  </w:footnote>
  <w:footnote w:type="continuationSeparator" w:id="0">
    <w:p w14:paraId="74EBF527" w14:textId="77777777" w:rsidR="00162ACC" w:rsidRDefault="00162A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F82081"/>
    <w:multiLevelType w:val="multilevel"/>
    <w:tmpl w:val="538ED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6004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7E7"/>
    <w:rsid w:val="000E77E7"/>
    <w:rsid w:val="00162ACC"/>
    <w:rsid w:val="001C6002"/>
    <w:rsid w:val="003951B6"/>
    <w:rsid w:val="003C3403"/>
    <w:rsid w:val="0067691C"/>
    <w:rsid w:val="00677AF1"/>
    <w:rsid w:val="008D7201"/>
    <w:rsid w:val="00A16A55"/>
    <w:rsid w:val="00CD2EC5"/>
    <w:rsid w:val="00E157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C6FE9"/>
  <w15:docId w15:val="{5607DFE5-0ACA-47A5-BFFE-6FFC7AD8C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d"/>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d"/>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2"/>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fotocasa.es/indice/" TargetMode="External"/><Relationship Id="rId26"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hyperlink" Target="https://www.fotocasa.es/es/quienes-somo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image" Target="media/image5.jpg"/><Relationship Id="rId25" Type="http://schemas.openxmlformats.org/officeDocument/2006/relationships/hyperlink" Target="https://www.coches.ne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nQS8nyDm7vA&amp;feature=youtu.be" TargetMode="External"/><Relationship Id="rId20" Type="http://schemas.openxmlformats.org/officeDocument/2006/relationships/hyperlink" Target="https://www.adevinta.com/" TargetMode="External"/><Relationship Id="rId29"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infojobs.net/" TargetMode="External"/><Relationship Id="rId32" Type="http://schemas.openxmlformats.org/officeDocument/2006/relationships/hyperlink" Target="mailto:alicia.salvatella@llyc.global" TargetMode="External"/><Relationship Id="rId5" Type="http://schemas.openxmlformats.org/officeDocument/2006/relationships/webSettings" Target="webSettings.xml"/><Relationship Id="rId15" Type="http://schemas.openxmlformats.org/officeDocument/2006/relationships/hyperlink" Target="https://youtu.be/nQS8nyDm7vA" TargetMode="External"/><Relationship Id="rId23" Type="http://schemas.openxmlformats.org/officeDocument/2006/relationships/hyperlink" Target="https://www.habitaclia.com/" TargetMode="External"/><Relationship Id="rId28" Type="http://schemas.openxmlformats.org/officeDocument/2006/relationships/hyperlink" Target="http://adevinta.es" TargetMode="External"/><Relationship Id="rId10" Type="http://schemas.openxmlformats.org/officeDocument/2006/relationships/hyperlink" Target="https://s36360.pcdn.co/wp-content/uploads/2024/10/Radiografia-mercado-Andalucia-en-2024.pdf" TargetMode="External"/><Relationship Id="rId19" Type="http://schemas.openxmlformats.org/officeDocument/2006/relationships/hyperlink" Target="http://prensa.fotocasa.es" TargetMode="External"/><Relationship Id="rId31" Type="http://schemas.openxmlformats.org/officeDocument/2006/relationships/hyperlink" Target="mailto:emerino@llorenteycuenca.com" TargetMode="External"/><Relationship Id="rId4" Type="http://schemas.openxmlformats.org/officeDocument/2006/relationships/settings" Target="settings.xml"/><Relationship Id="rId9" Type="http://schemas.openxmlformats.org/officeDocument/2006/relationships/hyperlink" Target="https://youtu.be/nQS8nyDm7vA" TargetMode="External"/><Relationship Id="rId14" Type="http://schemas.openxmlformats.org/officeDocument/2006/relationships/image" Target="media/image4.png"/><Relationship Id="rId22" Type="http://schemas.openxmlformats.org/officeDocument/2006/relationships/hyperlink" Target="https://www.fotocasa.es/es/" TargetMode="External"/><Relationship Id="rId27" Type="http://schemas.openxmlformats.org/officeDocument/2006/relationships/hyperlink" Target="https://www.milanuncios.com/" TargetMode="External"/><Relationship Id="rId30" Type="http://schemas.openxmlformats.org/officeDocument/2006/relationships/hyperlink" Target="mailto:emerino@llorenteycuenca.com" TargetMode="Externa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5VIvnU3tthMZmufOL+bAqnIX5w==">CgMxLjAyCWguM3pueXNoNzIJaC4xdDNoNXNmMgloLjJzOGV5bzE4AHIhMWIxcmRvTDZUVE1ObG1NdnlVbFNlOHVNV3RVQ2dNSzJ4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1204</Words>
  <Characters>6624</Characters>
  <Application>Microsoft Office Word</Application>
  <DocSecurity>0</DocSecurity>
  <Lines>55</Lines>
  <Paragraphs>15</Paragraphs>
  <ScaleCrop>false</ScaleCrop>
  <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5</cp:revision>
  <cp:lastPrinted>2024-10-17T12:15:00Z</cp:lastPrinted>
  <dcterms:created xsi:type="dcterms:W3CDTF">2024-02-06T13:46:00Z</dcterms:created>
  <dcterms:modified xsi:type="dcterms:W3CDTF">2024-10-17T12:15:00Z</dcterms:modified>
</cp:coreProperties>
</file>