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8B274E" w14:textId="77777777" w:rsidR="00CD43E4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0214B69" wp14:editId="3856CEC4">
            <wp:simplePos x="0" y="0"/>
            <wp:positionH relativeFrom="column">
              <wp:posOffset>-1080131</wp:posOffset>
            </wp:positionH>
            <wp:positionV relativeFrom="paragraph">
              <wp:posOffset>-654682</wp:posOffset>
            </wp:positionV>
            <wp:extent cx="7581265" cy="1019175"/>
            <wp:effectExtent l="0" t="0" r="0" b="0"/>
            <wp:wrapNone/>
            <wp:docPr id="21360466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6FD09A" w14:textId="77777777" w:rsidR="00CD43E4" w:rsidRDefault="00CD43E4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71A261C2" w14:textId="77777777" w:rsidR="00CD43E4" w:rsidRDefault="00CD43E4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7D8D4A0E" w14:textId="77777777" w:rsidR="00CD43E4" w:rsidRDefault="00000000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  <w:r>
        <w:rPr>
          <w:rFonts w:ascii="National" w:eastAsia="National" w:hAnsi="National" w:cs="National"/>
          <w:b/>
          <w:color w:val="1DBDC5"/>
          <w:sz w:val="30"/>
          <w:szCs w:val="30"/>
        </w:rPr>
        <w:t>VIVIR FUERA DE LAS CIUDADES</w:t>
      </w:r>
    </w:p>
    <w:p w14:paraId="305F0195" w14:textId="7933A51F" w:rsidR="00CD43E4" w:rsidRDefault="00000000">
      <w:pPr>
        <w:jc w:val="center"/>
        <w:rPr>
          <w:rFonts w:ascii="National" w:eastAsia="National" w:hAnsi="National" w:cs="National"/>
          <w:b/>
          <w:color w:val="303AB2"/>
          <w:sz w:val="50"/>
          <w:szCs w:val="50"/>
        </w:rPr>
      </w:pPr>
      <w:r>
        <w:rPr>
          <w:rFonts w:ascii="National" w:eastAsia="National" w:hAnsi="National" w:cs="National"/>
          <w:b/>
          <w:color w:val="303AB2"/>
          <w:sz w:val="50"/>
          <w:szCs w:val="50"/>
        </w:rPr>
        <w:t xml:space="preserve">El 61% de la demanda de vivienda se concentra en zonas rurales, </w:t>
      </w:r>
      <w:r w:rsidR="00C63B7F">
        <w:rPr>
          <w:rFonts w:ascii="National" w:eastAsia="National" w:hAnsi="National" w:cs="National"/>
          <w:b/>
          <w:color w:val="303AB2"/>
          <w:sz w:val="50"/>
          <w:szCs w:val="50"/>
        </w:rPr>
        <w:t>la</w:t>
      </w:r>
      <w:r>
        <w:rPr>
          <w:rFonts w:ascii="National" w:eastAsia="National" w:hAnsi="National" w:cs="National"/>
          <w:b/>
          <w:color w:val="303AB2"/>
          <w:sz w:val="50"/>
          <w:szCs w:val="50"/>
        </w:rPr>
        <w:t xml:space="preserve"> costa o el extrarradio de las grandes ciudades</w:t>
      </w:r>
    </w:p>
    <w:p w14:paraId="47CC8CC4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color w:val="303AB2"/>
          <w:highlight w:val="yellow"/>
        </w:rPr>
      </w:pPr>
    </w:p>
    <w:p w14:paraId="0D411AAA" w14:textId="77777777" w:rsidR="00CD43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Actualmente, el 51% de los demandantes de vivienda viven en zonas rurales, de costa o extrarradio, pero hay un 61% que aspira a irse a estas zonas</w:t>
      </w:r>
    </w:p>
    <w:p w14:paraId="15A8AEF9" w14:textId="77777777" w:rsidR="00CD43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Los demandantes de vivienda actualmente buscan en un 23% en zonas rurales, en un 20% en zonas de extrarradio y en un 18% en zonas de costa</w:t>
      </w:r>
    </w:p>
    <w:p w14:paraId="034D3750" w14:textId="77777777" w:rsidR="00CD43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Los compradores de vivienda tienen a moverse desde núcleos urbanos hacia un medio rural o de costa mientras que los inquilinos buscan en el extrarradio de grandes ciudades o capitales de provincia</w:t>
      </w:r>
    </w:p>
    <w:p w14:paraId="444FBC06" w14:textId="77777777" w:rsidR="00CD43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Residir en una zona más tranquila o la posibilidad de tener terraza o jardín son los principales motivos de los demandantes de buscar un cambio</w:t>
      </w:r>
    </w:p>
    <w:p w14:paraId="41ED025B" w14:textId="77777777" w:rsidR="00CD43E4" w:rsidRDefault="00CD43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3C80352D" w14:textId="77777777" w:rsidR="00CD43E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Madrid, 31 de octubre de 2024</w:t>
      </w:r>
    </w:p>
    <w:p w14:paraId="1D84CA34" w14:textId="77777777" w:rsidR="00CD43E4" w:rsidRDefault="00CD43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A4DF1FA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El 31 de octubre se celebra el Día Mundial de las ciudades</w:t>
      </w:r>
      <w:r>
        <w:rPr>
          <w:rFonts w:ascii="Open Sans" w:eastAsia="Open Sans" w:hAnsi="Open Sans" w:cs="Open Sans"/>
          <w:sz w:val="22"/>
          <w:szCs w:val="22"/>
        </w:rPr>
        <w:t xml:space="preserve"> y desde </w:t>
      </w:r>
      <w:r>
        <w:rPr>
          <w:rFonts w:ascii="Open Sans" w:eastAsia="Open Sans" w:hAnsi="Open Sans" w:cs="Open Sans"/>
          <w:b/>
          <w:sz w:val="22"/>
          <w:szCs w:val="22"/>
        </w:rPr>
        <w:t>Fotocasa Research</w:t>
      </w:r>
      <w:r>
        <w:rPr>
          <w:rFonts w:ascii="Open Sans" w:eastAsia="Open Sans" w:hAnsi="Open Sans" w:cs="Open Sans"/>
          <w:sz w:val="22"/>
          <w:szCs w:val="22"/>
        </w:rPr>
        <w:t xml:space="preserve"> se ha realizado un análisis para comprobar </w:t>
      </w:r>
      <w:r>
        <w:rPr>
          <w:rFonts w:ascii="Open Sans" w:eastAsia="Open Sans" w:hAnsi="Open Sans" w:cs="Open Sans"/>
          <w:b/>
          <w:sz w:val="22"/>
          <w:szCs w:val="22"/>
        </w:rPr>
        <w:t>hacia dónde se dirige la demanda de vivienda con respecto a las ciudades, las zonas rurales y de costa o la periferia</w:t>
      </w:r>
      <w:r>
        <w:rPr>
          <w:rFonts w:ascii="Open Sans" w:eastAsia="Open Sans" w:hAnsi="Open Sans" w:cs="Open Sans"/>
          <w:sz w:val="22"/>
          <w:szCs w:val="22"/>
        </w:rPr>
        <w:t>. Del análisis se extrae que hay un reequilibrio de cambio de residencia entre los demandantes de vivienda, tanto en venta como en alquiler, en los grandes núcleos urbanos y en las capitales de provincia. Y es que se observa que un 30% de los demandantes de vivienda han buscado durante 2024 entre los inmuebles disponibles de una capital de provincia, mientras que otro 24% lo ha hecho en alguno de los grandes centros urbanos. Estos porcentajes cambian la tendencia registrada un año anterior, cuando los que antes vivían en capitales de provincia y grandes ciudades eran el 32% y el 27%, respectivamente.</w:t>
      </w:r>
    </w:p>
    <w:p w14:paraId="6B48C96D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626450FC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 otra parte, en las zonas rurales, el extrarradio de las grandes urbes y las localizaciones cerca de la costa aglutinan el 61% de la demanda actual de vivienda. De hecho, un 23% de esta demanda busca en zonas rurales, un 20% en zonas de extrarradio de las grandes ciudades y un 18% en zonas cercanas a la costa.</w:t>
      </w:r>
    </w:p>
    <w:p w14:paraId="3D83AD16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7F940127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noProof/>
          <w:sz w:val="22"/>
          <w:szCs w:val="22"/>
        </w:rPr>
        <w:lastRenderedPageBreak/>
        <w:drawing>
          <wp:inline distT="0" distB="0" distL="0" distR="0" wp14:anchorId="754703F3" wp14:editId="406F7DCF">
            <wp:extent cx="5864390" cy="3756391"/>
            <wp:effectExtent l="0" t="0" r="0" b="0"/>
            <wp:docPr id="2136046649" name="image5.jpg" descr="Gráfico, Gráfico de barra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Gráfico, Gráfico de barras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390" cy="3756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D1F0A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689CB5CC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No obstante, si se distingue entre compradores e inquilinos, se observan varias diferencias. Así, mientras que los compradores tienden a desplazarse desde capitales de provincia y grandes centros urbanos hacia zonas rurales o cercanas a la costa, los inquilinos se mueven hacia el extrarradio o capitales de provincia.</w:t>
      </w:r>
    </w:p>
    <w:p w14:paraId="5EF733FD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noProof/>
          <w:sz w:val="22"/>
          <w:szCs w:val="22"/>
        </w:rPr>
        <w:drawing>
          <wp:inline distT="0" distB="0" distL="0" distR="0" wp14:anchorId="103A43D8" wp14:editId="2649808C">
            <wp:extent cx="5826331" cy="3732012"/>
            <wp:effectExtent l="0" t="0" r="0" b="0"/>
            <wp:docPr id="2136046648" name="image6.jpg" descr="Gráfico, Gráfico de barra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Gráfico, Gráfico de barras&#10;&#10;Descripción generada automá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331" cy="3732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26BCB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noProof/>
          <w:sz w:val="22"/>
          <w:szCs w:val="22"/>
        </w:rPr>
        <w:lastRenderedPageBreak/>
        <w:drawing>
          <wp:inline distT="0" distB="0" distL="0" distR="0" wp14:anchorId="6CD554D9" wp14:editId="4F24E871">
            <wp:extent cx="5789346" cy="3708321"/>
            <wp:effectExtent l="0" t="0" r="0" b="0"/>
            <wp:docPr id="2136046651" name="image2.jpg" descr="Gráfico, Gráfico de barra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Gráfico, Gráfico de barras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9346" cy="3708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3E2064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726D6767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Si se comparan ambos grupos entre sí se comprueba que </w:t>
      </w:r>
      <w:r>
        <w:rPr>
          <w:rFonts w:ascii="Open Sans" w:eastAsia="Open Sans" w:hAnsi="Open Sans" w:cs="Open Sans"/>
          <w:b/>
          <w:sz w:val="22"/>
          <w:szCs w:val="22"/>
        </w:rPr>
        <w:t>los compradores se diferencian de los demandantes de alquiler en que tienden a residir más en zonas rurales o localizaciones cercanas a la costa</w:t>
      </w:r>
      <w:r>
        <w:rPr>
          <w:rFonts w:ascii="Open Sans" w:eastAsia="Open Sans" w:hAnsi="Open Sans" w:cs="Open Sans"/>
          <w:sz w:val="22"/>
          <w:szCs w:val="22"/>
        </w:rPr>
        <w:t xml:space="preserve">, </w:t>
      </w:r>
      <w:r>
        <w:rPr>
          <w:rFonts w:ascii="Open Sans" w:eastAsia="Open Sans" w:hAnsi="Open Sans" w:cs="Open Sans"/>
          <w:b/>
          <w:sz w:val="22"/>
          <w:szCs w:val="22"/>
        </w:rPr>
        <w:t xml:space="preserve">mientras que los demandantes de alquiler se concentran más en las capitales de provincia </w:t>
      </w:r>
      <w:r>
        <w:rPr>
          <w:rFonts w:ascii="Open Sans" w:eastAsia="Open Sans" w:hAnsi="Open Sans" w:cs="Open Sans"/>
          <w:sz w:val="22"/>
          <w:szCs w:val="22"/>
        </w:rPr>
        <w:t>(aproximadamente uno de cada tres inquilinos vive en esa tipología).</w:t>
      </w:r>
    </w:p>
    <w:p w14:paraId="6A24DAC5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22E99740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“Los ciudadanos priorizan una vida que combine tranquilidad, bienestar y conexión con la naturaleza, una calidad de vida difícil de lograr en el núcleo urbano en el que suele haber contaminación ambiental y acústica. Este cambio en las preferencias se ve reflejado en un desplazamiento hacia zonas periféricas, donde el acceso a viviendas que cumplan con estos requisitos es no solo más factible, sino también más asequible. La elevada demanda y el incremento de precios en las grandes ciudades empujan a los compradores a explorar áreas circundantes, donde la vivienda ofrece espacios más amplios, entornos verdes y un estilo de vida en línea con sus expectativas de calidad y equilibrio”, </w:t>
      </w:r>
      <w:r w:rsidRPr="004A69DA">
        <w:rPr>
          <w:rFonts w:ascii="Open Sans" w:eastAsia="Open Sans" w:hAnsi="Open Sans" w:cs="Open Sans"/>
          <w:b/>
          <w:bCs/>
          <w:sz w:val="22"/>
          <w:szCs w:val="22"/>
        </w:rPr>
        <w:t>comenta María Matos,</w:t>
      </w:r>
      <w:r>
        <w:rPr>
          <w:rFonts w:ascii="Open Sans" w:eastAsia="Open Sans" w:hAnsi="Open Sans" w:cs="Open Sans"/>
          <w:sz w:val="22"/>
          <w:szCs w:val="22"/>
        </w:rPr>
        <w:t xml:space="preserve"> </w:t>
      </w:r>
      <w:r w:rsidRPr="004A69DA">
        <w:rPr>
          <w:rFonts w:ascii="Open Sans" w:eastAsia="Open Sans" w:hAnsi="Open Sans" w:cs="Open Sans"/>
          <w:b/>
          <w:bCs/>
          <w:sz w:val="22"/>
          <w:szCs w:val="22"/>
        </w:rPr>
        <w:t xml:space="preserve">directora de Estudios y portavoz de </w:t>
      </w:r>
      <w:hyperlink r:id="rId12">
        <w:r w:rsidRPr="004A69DA">
          <w:rPr>
            <w:rFonts w:ascii="Open Sans" w:eastAsia="Open Sans" w:hAnsi="Open Sans" w:cs="Open Sans"/>
            <w:b/>
            <w:bCs/>
            <w:color w:val="1155CC"/>
            <w:sz w:val="22"/>
            <w:szCs w:val="22"/>
            <w:u w:val="single"/>
          </w:rPr>
          <w:t>Fotocasa</w:t>
        </w:r>
      </w:hyperlink>
      <w:r w:rsidRPr="004A69DA">
        <w:rPr>
          <w:rFonts w:ascii="Open Sans" w:eastAsia="Open Sans" w:hAnsi="Open Sans" w:cs="Open Sans"/>
          <w:b/>
          <w:bCs/>
          <w:sz w:val="22"/>
          <w:szCs w:val="22"/>
        </w:rPr>
        <w:t xml:space="preserve">. </w:t>
      </w:r>
    </w:p>
    <w:p w14:paraId="765C4A5D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D9DC300" w14:textId="77777777" w:rsidR="00CD43E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Residir en una zona más tranquila es la principal motivación para cambiar</w:t>
      </w:r>
    </w:p>
    <w:p w14:paraId="384EC286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0895B42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En 2024, </w:t>
      </w:r>
      <w:r>
        <w:rPr>
          <w:rFonts w:ascii="Open Sans" w:eastAsia="Open Sans" w:hAnsi="Open Sans" w:cs="Open Sans"/>
          <w:b/>
          <w:sz w:val="22"/>
          <w:szCs w:val="22"/>
        </w:rPr>
        <w:t>hay un 14% de demandantes de vivienda que viven en una zona urbana, pero están buscando vivienda en una zona periférica</w:t>
      </w:r>
      <w:r>
        <w:rPr>
          <w:rFonts w:ascii="Open Sans" w:eastAsia="Open Sans" w:hAnsi="Open Sans" w:cs="Open Sans"/>
          <w:sz w:val="22"/>
          <w:szCs w:val="22"/>
        </w:rPr>
        <w:t xml:space="preserve">. Pero conviene matizar este panorama, ya que el arrendamiento y la propiedad son mercados con dinámicas diferentes. En el primero solo hay un 12% de demandantes que viven en grandes urbes </w:t>
      </w:r>
      <w:r>
        <w:rPr>
          <w:rFonts w:ascii="Open Sans" w:eastAsia="Open Sans" w:hAnsi="Open Sans" w:cs="Open Sans"/>
          <w:sz w:val="22"/>
          <w:szCs w:val="22"/>
        </w:rPr>
        <w:lastRenderedPageBreak/>
        <w:t>pretendiendo hacer ese cambio residencial a la periferia, mientras que en el segundo ese porcentaje alcanza el 15%.</w:t>
      </w:r>
    </w:p>
    <w:p w14:paraId="707EBEE0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96D97A7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Y las razones para este éxodo residen, tanto en el caso de los compradores y los inquilinos, en </w:t>
      </w:r>
      <w:r>
        <w:rPr>
          <w:rFonts w:ascii="Open Sans" w:eastAsia="Open Sans" w:hAnsi="Open Sans" w:cs="Open Sans"/>
          <w:b/>
          <w:sz w:val="22"/>
          <w:szCs w:val="22"/>
        </w:rPr>
        <w:t>el 38% de los casos en el deseo de residir en una zona más tranquila</w:t>
      </w:r>
      <w:r>
        <w:rPr>
          <w:rFonts w:ascii="Open Sans" w:eastAsia="Open Sans" w:hAnsi="Open Sans" w:cs="Open Sans"/>
          <w:sz w:val="22"/>
          <w:szCs w:val="22"/>
        </w:rPr>
        <w:t>. A continuación, se sitúa la razón de buscar una vivienda con jardín y/o terraza, objetivo que compartieron el 33% de los consultados. Otro 31% fundamentan el cambio en que los precios de la vivienda son más bajos y un 27% en el anhelo de mejorar la calidad de vida.</w:t>
      </w:r>
    </w:p>
    <w:p w14:paraId="0C5FBA50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F7B3DF8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Pero la preeminencia de </w:t>
      </w:r>
      <w:r>
        <w:rPr>
          <w:rFonts w:ascii="Open Sans" w:eastAsia="Open Sans" w:hAnsi="Open Sans" w:cs="Open Sans"/>
          <w:b/>
          <w:sz w:val="22"/>
          <w:szCs w:val="22"/>
        </w:rPr>
        <w:t>las razones para el cambio no coincide entre compradores e inquilinos</w:t>
      </w:r>
      <w:r>
        <w:rPr>
          <w:rFonts w:ascii="Open Sans" w:eastAsia="Open Sans" w:hAnsi="Open Sans" w:cs="Open Sans"/>
          <w:sz w:val="22"/>
          <w:szCs w:val="22"/>
        </w:rPr>
        <w:t xml:space="preserve">. De este modo, la importancia de casi todos ellos es mucho más alta entre los demandantes de vivienda en propiedad (el 40% de ellos pretende vivir en una zona más tranquila) que entre los que buscan casa de arrendamiento (únicamente son el 34%, seis puntos porcentuales menos que aquellos). </w:t>
      </w:r>
    </w:p>
    <w:p w14:paraId="460521B2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DEA71E5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Como única razón en la que los inquilinos inciden en mayor medida que los compradores encontramos el coste de la vida (21% de arrendadores por solo el 14% de los compradores). Por su parte, la búsqueda de una zona con un coste de la vida más bajo arroja prácticamente un empate, con un 31% del lado de los compradores y un 30% en los inquilinos.</w:t>
      </w:r>
    </w:p>
    <w:p w14:paraId="36203BED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DA7D5DB" w14:textId="77777777" w:rsidR="00CD43E4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inline distT="0" distB="0" distL="0" distR="0" wp14:anchorId="55F60832" wp14:editId="5AA55B80">
            <wp:extent cx="6055053" cy="3614878"/>
            <wp:effectExtent l="0" t="0" r="0" b="0"/>
            <wp:docPr id="213604665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5053" cy="3614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C3F577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AACDE4D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64D9046A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748B4B8B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EDE0910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70E5E23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D3E4ED1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2A626332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B8442A4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BFD6060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26711B4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71EDD2A" w14:textId="77777777" w:rsidR="00CD43E4" w:rsidRDefault="00CD43E4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61765A3" w14:textId="77777777" w:rsidR="00CD43E4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4AA2CC5F" w14:textId="77777777" w:rsidR="00CD43E4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0" w:name="_heading=h.2s8eyo1" w:colFirst="0" w:colLast="0"/>
    <w:bookmarkEnd w:id="0"/>
    <w:p w14:paraId="62872E27" w14:textId="77777777" w:rsidR="00CD43E4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hyperlink r:id="rId1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Adevinta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una empresa 100% especializada en Marketplaces digitales y el único “pure player” del sector a nivel mundial. </w:t>
      </w:r>
    </w:p>
    <w:p w14:paraId="77027F9B" w14:textId="77777777" w:rsidR="00CD43E4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35E65DA9" w14:textId="77777777" w:rsidR="00CD43E4" w:rsidRDefault="00CD43E4">
      <w:pPr>
        <w:spacing w:line="276" w:lineRule="auto"/>
        <w:rPr>
          <w:rFonts w:ascii="Open Sans Light" w:eastAsia="Open Sans Light" w:hAnsi="Open Sans Light" w:cs="Open Sans Light"/>
          <w:b/>
          <w:color w:val="303AB2"/>
        </w:rPr>
      </w:pPr>
    </w:p>
    <w:p w14:paraId="61A3FC14" w14:textId="77777777" w:rsidR="00CD43E4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Adevinta Spain</w:t>
      </w:r>
    </w:p>
    <w:p w14:paraId="6B0A6361" w14:textId="77777777" w:rsidR="00CD43E4" w:rsidRDefault="00000000">
      <w:pPr>
        <w:spacing w:before="143" w:after="20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>Adevinta Spain es una compañía líder en marketplaces digitales y una de las principales empresas del sector tecnológico del país, con más de 18 millones de usuarios al mes en sus plataformas de los sectores inmobiliario (</w:t>
      </w:r>
      <w:hyperlink r:id="rId18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9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20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1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hyperlink r:id="rId23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Milanuncios</w:t>
        </w:r>
      </w:hyperlink>
      <w:r>
        <w:rPr>
          <w:rFonts w:ascii="Open Sans" w:eastAsia="Open Sans" w:hAnsi="Open Sans" w:cs="Open Sans"/>
          <w:sz w:val="22"/>
          <w:szCs w:val="22"/>
        </w:rPr>
        <w:t>).</w:t>
      </w:r>
    </w:p>
    <w:p w14:paraId="08937175" w14:textId="77777777" w:rsidR="00CD43E4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Los negocios de Adevinta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1B745AAA" w14:textId="77777777" w:rsidR="00CD43E4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Adevinta tiene presencia mundial en 10 países. El conjunto de sus plataformas locales recibe un promedio de 3.000 millones de visitas cada mes. </w:t>
      </w:r>
    </w:p>
    <w:p w14:paraId="59C6F855" w14:textId="77777777" w:rsidR="00CD43E4" w:rsidRDefault="00000000">
      <w:pPr>
        <w:spacing w:line="276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4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4131C725" w14:textId="77777777" w:rsidR="00CD43E4" w:rsidRDefault="00CD43E4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2DB1B05B" w14:textId="77777777" w:rsidR="00CD43E4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lastRenderedPageBreak/>
        <w:t>Departamento Comunicación Fotocasa</w:t>
      </w:r>
    </w:p>
    <w:p w14:paraId="14C76BB4" w14:textId="77777777" w:rsidR="00CD43E4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417B874C" w14:textId="77777777" w:rsidR="00CD43E4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3B023D36" w14:textId="77777777" w:rsidR="00CD43E4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5FF308D9" w14:textId="77777777" w:rsidR="00CD43E4" w:rsidRDefault="00CD43E4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9A74A92" w14:textId="77777777" w:rsidR="00CD43E4" w:rsidRDefault="00CD43E4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71E47F6E" w14:textId="77777777" w:rsidR="00CD43E4" w:rsidRDefault="00000000">
      <w:pPr>
        <w:ind w:right="-433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65F9883C" w14:textId="77777777" w:rsidR="00CD43E4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30EC4794" w14:textId="77777777" w:rsidR="00CD43E4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</w:rPr>
      </w:pPr>
      <w:hyperlink r:id="rId2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7382D42D" w14:textId="77777777" w:rsidR="00CD43E4" w:rsidRPr="004A69DA" w:rsidRDefault="00000000">
      <w:pPr>
        <w:shd w:val="clear" w:color="auto" w:fill="FFFFFF"/>
        <w:ind w:right="-433"/>
        <w:rPr>
          <w:rFonts w:ascii="Open Sans" w:eastAsia="Open Sans" w:hAnsi="Open Sans" w:cs="Open Sans"/>
          <w:sz w:val="22"/>
          <w:szCs w:val="22"/>
          <w:lang w:val="en-US"/>
        </w:rPr>
      </w:pPr>
      <w:r w:rsidRPr="004A69DA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4A69D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4A69D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4A69D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4A69D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4A69D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4A69DA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7D12B343" w14:textId="77777777" w:rsidR="00CD43E4" w:rsidRPr="004A69DA" w:rsidRDefault="00000000">
      <w:pPr>
        <w:shd w:val="clear" w:color="auto" w:fill="FFFFFF"/>
        <w:ind w:right="-433"/>
        <w:rPr>
          <w:color w:val="222222"/>
          <w:sz w:val="22"/>
          <w:szCs w:val="22"/>
          <w:lang w:val="en-US"/>
        </w:rPr>
      </w:pPr>
      <w:r w:rsidRPr="004A69DA">
        <w:rPr>
          <w:color w:val="222222"/>
          <w:sz w:val="22"/>
          <w:szCs w:val="22"/>
          <w:lang w:val="en-US"/>
        </w:rPr>
        <w:tab/>
      </w:r>
      <w:r w:rsidRPr="004A69DA">
        <w:rPr>
          <w:color w:val="222222"/>
          <w:sz w:val="22"/>
          <w:szCs w:val="22"/>
          <w:lang w:val="en-US"/>
        </w:rPr>
        <w:tab/>
        <w:t xml:space="preserve">    </w:t>
      </w:r>
    </w:p>
    <w:p w14:paraId="5174075A" w14:textId="77777777" w:rsidR="00CD43E4" w:rsidRPr="004A69DA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4A69DA">
        <w:rPr>
          <w:rFonts w:ascii="Open Sans" w:eastAsia="Open Sans" w:hAnsi="Open Sans" w:cs="Open Sans"/>
          <w:b/>
          <w:sz w:val="22"/>
          <w:szCs w:val="22"/>
          <w:lang w:val="en-US"/>
        </w:rPr>
        <w:t>Judit Campillos</w:t>
      </w:r>
    </w:p>
    <w:p w14:paraId="6B4AE4D4" w14:textId="77777777" w:rsidR="00CD43E4" w:rsidRPr="004A69DA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4A69DA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27">
        <w:r w:rsidRPr="004A69DA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r w:rsidRPr="004A69DA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r w:rsidRPr="004A69DA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4A69DA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333990C1" w14:textId="77777777" w:rsidR="00CD43E4" w:rsidRDefault="00000000">
      <w:pPr>
        <w:shd w:val="clear" w:color="auto" w:fill="FFFFFF"/>
        <w:ind w:right="-433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699 13 91 53</w:t>
      </w:r>
    </w:p>
    <w:p w14:paraId="4272F9C8" w14:textId="77777777" w:rsidR="00CD43E4" w:rsidRDefault="00CD43E4">
      <w:pPr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</w:p>
    <w:p w14:paraId="4FE533F0" w14:textId="77777777" w:rsidR="00CD43E4" w:rsidRDefault="00000000">
      <w:pP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Alicia Salvatella</w:t>
      </w:r>
    </w:p>
    <w:p w14:paraId="27066691" w14:textId="77777777" w:rsidR="00CD43E4" w:rsidRDefault="00000000">
      <w:pPr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3B997D20" w14:textId="77777777" w:rsidR="00CD43E4" w:rsidRDefault="00000000">
      <w:pPr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0A62142A" w14:textId="77777777" w:rsidR="00CD43E4" w:rsidRDefault="00CD43E4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6FAC3312" w14:textId="77777777" w:rsidR="00CD43E4" w:rsidRDefault="00CD43E4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3C303300" w14:textId="77777777" w:rsidR="00CD43E4" w:rsidRDefault="00CD43E4">
      <w:pPr>
        <w:spacing w:line="276" w:lineRule="auto"/>
        <w:jc w:val="center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CD43E4">
      <w:footerReference w:type="default" r:id="rId29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AEBCF" w14:textId="77777777" w:rsidR="00E60E3A" w:rsidRDefault="00E60E3A">
      <w:r>
        <w:separator/>
      </w:r>
    </w:p>
  </w:endnote>
  <w:endnote w:type="continuationSeparator" w:id="0">
    <w:p w14:paraId="77031466" w14:textId="77777777" w:rsidR="00E60E3A" w:rsidRDefault="00E60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9E602BE-C1AA-4E97-8E42-410CC81F3D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A1B4CA5-04D7-4A0F-9669-D39EDAC07D8B}"/>
    <w:embedBold r:id="rId3" w:fontKey="{40C2F3FC-696A-43E2-A65A-EDAA68B129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3489CC3-DFCF-4065-A8FE-DA708BF63A08}"/>
    <w:embedItalic r:id="rId5" w:fontKey="{286FFF98-2865-4D5A-BB3C-9E8D9E5CFC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17F23B-F3FA-482C-9096-CC02FDDB06F7}"/>
  </w:font>
  <w:font w:name="National">
    <w:altName w:val="Calibri"/>
    <w:panose1 w:val="00000000000000000000"/>
    <w:charset w:val="4D"/>
    <w:family w:val="auto"/>
    <w:notTrueType/>
    <w:pitch w:val="variable"/>
    <w:sig w:usb0="00000001" w:usb1="5000207B" w:usb2="00000010" w:usb3="00000000" w:csb0="0000009B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2C3AB04E-27FB-46C9-A01D-F6FE74D90745}"/>
    <w:embedBold r:id="rId8" w:fontKey="{3BF1C8AB-16CF-4817-BBDE-66AFF2D75B1D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2FDD18CF-D9C4-4B1E-877D-68EBBFCC5FB7}"/>
    <w:embedBold r:id="rId10" w:fontKey="{B90604F2-16DB-44D8-94B7-3EE854A8CF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01780" w14:textId="77777777" w:rsidR="00CD43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192D90" wp14:editId="21F5B638">
          <wp:simplePos x="0" y="0"/>
          <wp:positionH relativeFrom="column">
            <wp:posOffset>-1068056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13604664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1FBB14" w14:textId="77777777" w:rsidR="00E60E3A" w:rsidRDefault="00E60E3A">
      <w:r>
        <w:separator/>
      </w:r>
    </w:p>
  </w:footnote>
  <w:footnote w:type="continuationSeparator" w:id="0">
    <w:p w14:paraId="26A484A3" w14:textId="77777777" w:rsidR="00E60E3A" w:rsidRDefault="00E60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B364BB"/>
    <w:multiLevelType w:val="multilevel"/>
    <w:tmpl w:val="420A0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74788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3E4"/>
    <w:rsid w:val="003D2A39"/>
    <w:rsid w:val="004A69DA"/>
    <w:rsid w:val="00C63B7F"/>
    <w:rsid w:val="00CD43E4"/>
    <w:rsid w:val="00DA2EBD"/>
    <w:rsid w:val="00E6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53A34"/>
  <w15:docId w15:val="{EEB7CA42-ECEE-4D5F-8272-DF950B1FD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6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fotocasa.es/es/" TargetMode="External"/><Relationship Id="rId26" Type="http://schemas.openxmlformats.org/officeDocument/2006/relationships/hyperlink" Target="mailto:emerino@llorenteycuenca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ches.ne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.es/es/" TargetMode="External"/><Relationship Id="rId17" Type="http://schemas.openxmlformats.org/officeDocument/2006/relationships/hyperlink" Target="https://www.fotocasa.es/es/quienes-somos/" TargetMode="External"/><Relationship Id="rId25" Type="http://schemas.openxmlformats.org/officeDocument/2006/relationships/hyperlink" Target="mailto:comunicacion@fotocas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devinta.com/" TargetMode="External"/><Relationship Id="rId20" Type="http://schemas.openxmlformats.org/officeDocument/2006/relationships/hyperlink" Target="https://www.infojobs.net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adevint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ensa.fotocasa.es" TargetMode="External"/><Relationship Id="rId23" Type="http://schemas.openxmlformats.org/officeDocument/2006/relationships/hyperlink" Target="https://www.milanuncios.com/" TargetMode="External"/><Relationship Id="rId28" Type="http://schemas.openxmlformats.org/officeDocument/2006/relationships/hyperlink" Target="mailto:alicia.salvatella@llyc.global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habitaclia.com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fotocasa.es/indice/" TargetMode="External"/><Relationship Id="rId22" Type="http://schemas.openxmlformats.org/officeDocument/2006/relationships/hyperlink" Target="https://motos.coches.net/" TargetMode="External"/><Relationship Id="rId27" Type="http://schemas.openxmlformats.org/officeDocument/2006/relationships/hyperlink" Target="mailto:emerino@llorenteycuenca.co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hKCrYeqRejHdod65HIEcaQgUCA==">CgMxLjAyCWguMnM4ZXlvMTgAciExcTdtdldvNzRuTndiY3RHSE95OXZMUXpEb1NyQWluR2s=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1207</Words>
  <Characters>6640</Characters>
  <Application>Microsoft Office Word</Application>
  <DocSecurity>0</DocSecurity>
  <Lines>55</Lines>
  <Paragraphs>15</Paragraphs>
  <ScaleCrop>false</ScaleCrop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5</cp:revision>
  <cp:lastPrinted>2024-10-29T10:32:00Z</cp:lastPrinted>
  <dcterms:created xsi:type="dcterms:W3CDTF">2024-02-06T13:46:00Z</dcterms:created>
  <dcterms:modified xsi:type="dcterms:W3CDTF">2024-10-29T10:43:00Z</dcterms:modified>
</cp:coreProperties>
</file>