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4E4A6" w14:textId="77777777" w:rsidR="004B211A"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47609D80" wp14:editId="608700DA">
            <wp:simplePos x="0" y="0"/>
            <wp:positionH relativeFrom="column">
              <wp:posOffset>-1078864</wp:posOffset>
            </wp:positionH>
            <wp:positionV relativeFrom="paragraph">
              <wp:posOffset>-350451</wp:posOffset>
            </wp:positionV>
            <wp:extent cx="7581265" cy="1019175"/>
            <wp:effectExtent l="0" t="0" r="0" b="0"/>
            <wp:wrapNone/>
            <wp:docPr id="20524841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8E484EE" w14:textId="77777777" w:rsidR="004B211A" w:rsidRDefault="004B211A">
      <w:pPr>
        <w:ind w:right="-574"/>
        <w:jc w:val="right"/>
        <w:rPr>
          <w:rFonts w:ascii="National" w:eastAsia="National" w:hAnsi="National" w:cs="National"/>
          <w:color w:val="303AB2"/>
          <w:sz w:val="36"/>
          <w:szCs w:val="36"/>
        </w:rPr>
      </w:pPr>
    </w:p>
    <w:p w14:paraId="61CC6305" w14:textId="77777777" w:rsidR="004B211A" w:rsidRDefault="004B211A">
      <w:pPr>
        <w:ind w:right="-574"/>
        <w:jc w:val="right"/>
        <w:rPr>
          <w:rFonts w:ascii="National" w:eastAsia="National" w:hAnsi="National" w:cs="National"/>
          <w:color w:val="303AB2"/>
          <w:sz w:val="36"/>
          <w:szCs w:val="36"/>
        </w:rPr>
      </w:pPr>
    </w:p>
    <w:p w14:paraId="78FF985F" w14:textId="77777777" w:rsidR="004B211A" w:rsidRDefault="004B211A">
      <w:pPr>
        <w:ind w:right="-574"/>
        <w:rPr>
          <w:rFonts w:ascii="National" w:eastAsia="National" w:hAnsi="National" w:cs="National"/>
          <w:color w:val="303AB2"/>
          <w:sz w:val="16"/>
          <w:szCs w:val="16"/>
        </w:rPr>
      </w:pPr>
    </w:p>
    <w:p w14:paraId="00856163" w14:textId="77777777" w:rsidR="004B211A" w:rsidRDefault="00000000">
      <w:pPr>
        <w:spacing w:line="276" w:lineRule="auto"/>
        <w:ind w:right="-574"/>
        <w:jc w:val="center"/>
        <w:rPr>
          <w:rFonts w:ascii="National" w:eastAsia="National" w:hAnsi="National" w:cs="National"/>
          <w:b/>
          <w:color w:val="1DBDC5"/>
          <w:sz w:val="38"/>
          <w:szCs w:val="38"/>
        </w:rPr>
      </w:pPr>
      <w:bookmarkStart w:id="1" w:name="_heading=h.30j0zll" w:colFirst="0" w:colLast="0"/>
      <w:bookmarkEnd w:id="1"/>
      <w:r>
        <w:rPr>
          <w:rFonts w:ascii="National" w:eastAsia="National" w:hAnsi="National" w:cs="National"/>
          <w:b/>
          <w:color w:val="1DBDC5"/>
          <w:sz w:val="38"/>
          <w:szCs w:val="38"/>
        </w:rPr>
        <w:t xml:space="preserve">ANÁLISIS RENTABILIDAD VIVIENDA </w:t>
      </w:r>
    </w:p>
    <w:p w14:paraId="17F5C399" w14:textId="77777777" w:rsidR="004B211A" w:rsidRDefault="00000000">
      <w:pPr>
        <w:ind w:right="-574"/>
        <w:jc w:val="center"/>
        <w:rPr>
          <w:rFonts w:ascii="National" w:eastAsia="National" w:hAnsi="National" w:cs="National"/>
          <w:b/>
          <w:color w:val="303AB2"/>
          <w:sz w:val="42"/>
          <w:szCs w:val="42"/>
        </w:rPr>
      </w:pPr>
      <w:r>
        <w:rPr>
          <w:rFonts w:ascii="National" w:eastAsia="National" w:hAnsi="National" w:cs="National"/>
          <w:b/>
          <w:color w:val="303AB2"/>
          <w:sz w:val="42"/>
          <w:szCs w:val="42"/>
        </w:rPr>
        <w:t xml:space="preserve">La rentabilidad de una vivienda compartida es de un 9,3% frente al 6,1% del alquiler tradicional </w:t>
      </w:r>
    </w:p>
    <w:p w14:paraId="4A5D73A3" w14:textId="77777777" w:rsidR="004B211A" w:rsidRDefault="004B211A">
      <w:pPr>
        <w:ind w:right="-574"/>
        <w:jc w:val="center"/>
        <w:rPr>
          <w:rFonts w:ascii="National" w:eastAsia="National" w:hAnsi="National" w:cs="National"/>
          <w:b/>
          <w:color w:val="303AB2"/>
          <w:sz w:val="16"/>
          <w:szCs w:val="16"/>
        </w:rPr>
      </w:pPr>
    </w:p>
    <w:p w14:paraId="7E2A1C40" w14:textId="77777777" w:rsidR="004B211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bookmarkStart w:id="2" w:name="_heading=h.1fob9te" w:colFirst="0" w:colLast="0"/>
      <w:bookmarkEnd w:id="2"/>
      <w:r>
        <w:rPr>
          <w:rFonts w:ascii="Open Sans" w:eastAsia="Open Sans" w:hAnsi="Open Sans" w:cs="Open Sans"/>
          <w:color w:val="000000"/>
        </w:rPr>
        <w:t xml:space="preserve">Alquilar una vivienda por habitaciones en España es un 3,2 </w:t>
      </w:r>
      <w:r>
        <w:rPr>
          <w:rFonts w:ascii="Open Sans" w:eastAsia="Open Sans" w:hAnsi="Open Sans" w:cs="Open Sans"/>
          <w:color w:val="000000"/>
          <w:sz w:val="22"/>
          <w:szCs w:val="22"/>
        </w:rPr>
        <w:t>puntos porcentuales</w:t>
      </w:r>
      <w:r>
        <w:rPr>
          <w:rFonts w:ascii="Open Sans" w:eastAsia="Open Sans" w:hAnsi="Open Sans" w:cs="Open Sans"/>
          <w:color w:val="000000"/>
        </w:rPr>
        <w:t xml:space="preserve"> más rentable que alquilarla a un único inquilino</w:t>
      </w:r>
    </w:p>
    <w:p w14:paraId="308AB84A" w14:textId="77777777" w:rsidR="004B211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todas las comunidades autónomas la rentabilidad de una vivienda es superior si se alquila por habitaciones </w:t>
      </w:r>
    </w:p>
    <w:p w14:paraId="54CCBE3B" w14:textId="77777777" w:rsidR="004B211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Navarra es la comunidad con la brecha más ancha entre rentabilidades, 6,7% versus el 10,3% de la vivienda alquilada por habitaciones</w:t>
      </w:r>
    </w:p>
    <w:p w14:paraId="4DAAC4FC" w14:textId="77777777" w:rsidR="004B211A" w:rsidRDefault="004B211A">
      <w:pPr>
        <w:spacing w:line="276" w:lineRule="auto"/>
        <w:ind w:right="-574"/>
        <w:rPr>
          <w:rFonts w:ascii="Open Sans Light" w:eastAsia="Open Sans Light" w:hAnsi="Open Sans Light" w:cs="Open Sans Light"/>
          <w:color w:val="303AB2"/>
        </w:rPr>
      </w:pPr>
    </w:p>
    <w:p w14:paraId="2B53D270" w14:textId="77777777" w:rsidR="004B211A"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29 de octubre de 2024</w:t>
      </w:r>
    </w:p>
    <w:p w14:paraId="49BCD2D3" w14:textId="77777777" w:rsidR="004B211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rentabilidad en España de una vivienda de 80 metros cuadrados en septiembre se sitúa en un 6,1% y la de una vivienda compartida de tres habitaciones en un 9,3%, es decir, una diferencia de 3,2 puntos porcentuales,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La rentabilidad de la vivienda en España en 2024”,</w:t>
      </w:r>
      <w:r>
        <w:rPr>
          <w:rFonts w:ascii="Open Sans" w:eastAsia="Open Sans" w:hAnsi="Open Sans" w:cs="Open Sans"/>
          <w:color w:val="000000"/>
          <w:sz w:val="22"/>
          <w:szCs w:val="22"/>
        </w:rPr>
        <w:t xml:space="preserve"> basado en el análisis de los precios de la vivienda en venta y alquiler de septiembre de 2024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6BF0D512" w14:textId="77777777" w:rsidR="004B211A"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highlight w:val="yellow"/>
        </w:rPr>
      </w:pPr>
      <w:r>
        <w:rPr>
          <w:rFonts w:ascii="Open Sans Light" w:eastAsia="Open Sans Light" w:hAnsi="Open Sans Light" w:cs="Open Sans Light"/>
          <w:b/>
          <w:color w:val="303AB2"/>
        </w:rPr>
        <w:t>Rentabilidad de vivienda de 80 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 xml:space="preserve"> completa vs alquiler de 3 habitaciones </w:t>
      </w:r>
      <w:r>
        <w:rPr>
          <w:rFonts w:ascii="Times New Roman" w:eastAsia="Times New Roman" w:hAnsi="Times New Roman" w:cs="Times New Roman"/>
          <w:noProof/>
          <w:color w:val="000000"/>
        </w:rPr>
        <w:drawing>
          <wp:inline distT="0" distB="0" distL="0" distR="0" wp14:anchorId="3638A4BB" wp14:editId="3614653D">
            <wp:extent cx="5494020" cy="2636520"/>
            <wp:effectExtent l="0" t="0" r="0" b="0"/>
            <wp:docPr id="2052484166" name="Gráfico 2052484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2B0D60" w14:textId="77777777" w:rsidR="004B211A" w:rsidRDefault="004B211A">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000000"/>
          <w:highlight w:val="yellow"/>
        </w:rPr>
      </w:pPr>
    </w:p>
    <w:p w14:paraId="3BACDCD7" w14:textId="66BEE087" w:rsidR="004B211A" w:rsidRPr="00BF35E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sidRPr="00BF35E4">
        <w:rPr>
          <w:rFonts w:ascii="Open Sans" w:eastAsia="Open Sans" w:hAnsi="Open Sans" w:cs="Open Sans"/>
          <w:color w:val="000000"/>
          <w:sz w:val="22"/>
          <w:szCs w:val="22"/>
        </w:rPr>
        <w:lastRenderedPageBreak/>
        <w:t xml:space="preserve">“El rendimiento presentado del alquiler de habitaciones sigue siendo el más alto del mercado, muy por encima de otros productos financieros y con una gran estabilidad y proyección a largo plazo. La diferencia entre arrendar una vivienda completa y hacerlo por habitaciones da un 34% más de rentabilidad al propietario. Esta modalidad ha aumentado exponencialmente entre los propietarios de viviendas en alquiler, tras la entrada en vigor de la ley de vivienda, al no encontrar limitaciones en esta tipología de alquiler”, </w:t>
      </w:r>
      <w:r w:rsidRPr="00BF35E4">
        <w:rPr>
          <w:rFonts w:ascii="Open Sans" w:eastAsia="Open Sans" w:hAnsi="Open Sans" w:cs="Open Sans"/>
          <w:b/>
          <w:bCs/>
          <w:color w:val="000000"/>
          <w:sz w:val="22"/>
          <w:szCs w:val="22"/>
        </w:rPr>
        <w:t xml:space="preserve">explica María Matos, directora de Estudios de </w:t>
      </w:r>
      <w:hyperlink r:id="rId11">
        <w:r w:rsidR="00BF35E4" w:rsidRPr="00BF35E4">
          <w:rPr>
            <w:rFonts w:ascii="Open Sans" w:eastAsia="Open Sans" w:hAnsi="Open Sans" w:cs="Open Sans"/>
            <w:b/>
            <w:bCs/>
            <w:color w:val="0000FF"/>
            <w:sz w:val="22"/>
            <w:szCs w:val="22"/>
            <w:u w:val="single"/>
          </w:rPr>
          <w:t>Fotocasa</w:t>
        </w:r>
      </w:hyperlink>
      <w:r w:rsidRPr="00BF35E4">
        <w:rPr>
          <w:rFonts w:ascii="Open Sans" w:eastAsia="Open Sans" w:hAnsi="Open Sans" w:cs="Open Sans"/>
          <w:b/>
          <w:bCs/>
          <w:color w:val="000000"/>
          <w:sz w:val="22"/>
          <w:szCs w:val="22"/>
        </w:rPr>
        <w:t>.</w:t>
      </w:r>
    </w:p>
    <w:p w14:paraId="71A0EA16" w14:textId="77777777" w:rsidR="004B211A"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Comunidad Autónoma</w:t>
      </w:r>
    </w:p>
    <w:p w14:paraId="454140DB" w14:textId="77777777" w:rsidR="004B211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ambos modelos de vivienda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y una vivienda de tres habitaciones), vemos que las rentabilidades que da la misma vivienda son totalmente diferentes en ambos casos. Así, vemos que en la comunidad de </w:t>
      </w:r>
      <w:r>
        <w:rPr>
          <w:rFonts w:ascii="Open Sans" w:eastAsia="Open Sans" w:hAnsi="Open Sans" w:cs="Open Sans"/>
          <w:b/>
          <w:color w:val="000000"/>
          <w:sz w:val="22"/>
          <w:szCs w:val="22"/>
        </w:rPr>
        <w:t>Navarra la rentabilidad de una vivienda de 80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es 6,7%, frente a los 10,3% de rentabilidad que se obtiene si se alquila la misma vivienda por habitaciones</w:t>
      </w:r>
      <w:r>
        <w:rPr>
          <w:rFonts w:ascii="Open Sans" w:eastAsia="Open Sans" w:hAnsi="Open Sans" w:cs="Open Sans"/>
          <w:color w:val="000000"/>
          <w:sz w:val="22"/>
          <w:szCs w:val="22"/>
        </w:rPr>
        <w:t xml:space="preserve"> (es decir, 3,6 puntos de diferencia entre ambas).</w:t>
      </w:r>
    </w:p>
    <w:p w14:paraId="7361FCEE" w14:textId="77777777" w:rsidR="004B211A"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rPr>
        <w:t>Rentabilidad CC.AA. de vivienda de 80 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 xml:space="preserve"> completa vs alquiler de 3 habitaciones</w:t>
      </w:r>
    </w:p>
    <w:p w14:paraId="11311B78" w14:textId="77777777" w:rsidR="004B211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14:anchorId="477C9DB1" wp14:editId="12BA628D">
            <wp:extent cx="5810744" cy="2767965"/>
            <wp:effectExtent l="0" t="0" r="0" b="0"/>
            <wp:docPr id="2052484165" name="Gráfico 2052484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F77861" w14:textId="77777777" w:rsidR="004B211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De esta manera, el orden de las CCAA con las máximas rentabilidades de las viviendas de alquiler por habitaciones es: Navarra con 10,3% (6,7%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Región de Murcia con 9,9% (7,3%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Castilla-La Mancha con 9,9% (7,0%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Cataluña con 9,5% (6,7%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España con 9,3% (6,1%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Comunitat Valenciana con 9,3% (7,2%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Extremadura con 9,2% (6,5%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Aragón con 8,9% (6,6%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La Rioja con 8,8% (6,4%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Castilla y León con 8,5% (7,0%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Asturias con 8,2% (7,0%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w:t>
      </w:r>
      <w:r>
        <w:rPr>
          <w:rFonts w:ascii="Open Sans" w:eastAsia="Open Sans" w:hAnsi="Open Sans" w:cs="Open Sans"/>
          <w:color w:val="000000"/>
          <w:sz w:val="22"/>
          <w:szCs w:val="22"/>
        </w:rPr>
        <w:lastRenderedPageBreak/>
        <w:t>Galicia con 8,0% con (5,9%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País Vasco con 8,0% (5,9%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Cantabria con 7,8% (6,7%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Andalucía con 7,6% (5,4%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Canarias con 7,1% (6,2%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Madrid con 6,0% (5,5%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y Baleares con 5,9% (4,6%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77C06350" w14:textId="77777777" w:rsidR="004B211A"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u w:val="single"/>
        </w:rPr>
        <w:t>Tabla por CCAA</w:t>
      </w:r>
      <w:r>
        <w:rPr>
          <w:rFonts w:ascii="Open Sans Light" w:eastAsia="Open Sans Light" w:hAnsi="Open Sans Light" w:cs="Open Sans Light"/>
          <w:b/>
          <w:color w:val="303AB2"/>
        </w:rPr>
        <w:t>: Rentabilidad de vivienda de 80 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 xml:space="preserve"> completa vs alquiler de 3 habitaciones</w:t>
      </w:r>
    </w:p>
    <w:tbl>
      <w:tblPr>
        <w:tblStyle w:val="a"/>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7"/>
        <w:gridCol w:w="2020"/>
        <w:gridCol w:w="2659"/>
        <w:gridCol w:w="1701"/>
      </w:tblGrid>
      <w:tr w:rsidR="004B211A" w14:paraId="4F7DBCBA" w14:textId="77777777" w:rsidTr="004B211A">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687" w:type="dxa"/>
            <w:vAlign w:val="center"/>
          </w:tcPr>
          <w:p w14:paraId="2AAEF28B"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CCAA</w:t>
            </w:r>
          </w:p>
        </w:tc>
        <w:tc>
          <w:tcPr>
            <w:tcW w:w="2020" w:type="dxa"/>
            <w:vAlign w:val="center"/>
          </w:tcPr>
          <w:p w14:paraId="149B895A" w14:textId="77777777" w:rsidR="004B211A"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Rentabilidad vivienda 80 m</w:t>
            </w:r>
            <w:r>
              <w:rPr>
                <w:rFonts w:ascii="Open Sans" w:eastAsia="Open Sans" w:hAnsi="Open Sans" w:cs="Open Sans"/>
                <w:b w:val="0"/>
                <w:sz w:val="22"/>
                <w:szCs w:val="22"/>
                <w:vertAlign w:val="superscript"/>
              </w:rPr>
              <w:t>2</w:t>
            </w:r>
            <w:r>
              <w:rPr>
                <w:rFonts w:ascii="Open Sans" w:eastAsia="Open Sans" w:hAnsi="Open Sans" w:cs="Open Sans"/>
                <w:b w:val="0"/>
                <w:sz w:val="22"/>
                <w:szCs w:val="22"/>
              </w:rPr>
              <w:t xml:space="preserve"> (sept-24)</w:t>
            </w:r>
          </w:p>
        </w:tc>
        <w:tc>
          <w:tcPr>
            <w:tcW w:w="2659" w:type="dxa"/>
            <w:vAlign w:val="center"/>
          </w:tcPr>
          <w:p w14:paraId="2DF106C8" w14:textId="77777777" w:rsidR="004B211A"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Rentabilidad vivienda compartida de 3 habitaciones (sept-24)</w:t>
            </w:r>
          </w:p>
        </w:tc>
        <w:tc>
          <w:tcPr>
            <w:tcW w:w="1701" w:type="dxa"/>
            <w:vAlign w:val="center"/>
          </w:tcPr>
          <w:p w14:paraId="129DEC45" w14:textId="77777777" w:rsidR="004B211A"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sz w:val="22"/>
                <w:szCs w:val="22"/>
              </w:rPr>
            </w:pPr>
            <w:r>
              <w:rPr>
                <w:rFonts w:ascii="Open Sans" w:eastAsia="Open Sans" w:hAnsi="Open Sans" w:cs="Open Sans"/>
                <w:b w:val="0"/>
                <w:sz w:val="22"/>
                <w:szCs w:val="22"/>
              </w:rPr>
              <w:t>Diferencia punto porcentual</w:t>
            </w:r>
          </w:p>
        </w:tc>
      </w:tr>
      <w:tr w:rsidR="004B211A" w14:paraId="03C09AF3" w14:textId="77777777" w:rsidTr="004B21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25BE051D"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020" w:type="dxa"/>
            <w:vAlign w:val="bottom"/>
          </w:tcPr>
          <w:p w14:paraId="05D6DF5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2659" w:type="dxa"/>
            <w:vAlign w:val="bottom"/>
          </w:tcPr>
          <w:p w14:paraId="1F42A9C1"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c>
          <w:tcPr>
            <w:tcW w:w="1701" w:type="dxa"/>
            <w:vAlign w:val="center"/>
          </w:tcPr>
          <w:p w14:paraId="5B771DD7"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4B211A" w14:paraId="0AF11F1F" w14:textId="77777777" w:rsidTr="004B211A">
        <w:trPr>
          <w:trHeight w:val="257"/>
        </w:trPr>
        <w:tc>
          <w:tcPr>
            <w:cnfStyle w:val="001000000000" w:firstRow="0" w:lastRow="0" w:firstColumn="1" w:lastColumn="0" w:oddVBand="0" w:evenVBand="0" w:oddHBand="0" w:evenHBand="0" w:firstRowFirstColumn="0" w:firstRowLastColumn="0" w:lastRowFirstColumn="0" w:lastRowLastColumn="0"/>
            <w:tcW w:w="2687" w:type="dxa"/>
            <w:shd w:val="clear" w:color="auto" w:fill="2E75B5"/>
            <w:vAlign w:val="bottom"/>
          </w:tcPr>
          <w:p w14:paraId="0F050797"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020" w:type="dxa"/>
            <w:vAlign w:val="bottom"/>
          </w:tcPr>
          <w:p w14:paraId="4F00DEE2"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w:t>
            </w:r>
          </w:p>
        </w:tc>
        <w:tc>
          <w:tcPr>
            <w:tcW w:w="2659" w:type="dxa"/>
            <w:vAlign w:val="bottom"/>
          </w:tcPr>
          <w:p w14:paraId="6F735253"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9,9%</w:t>
            </w:r>
          </w:p>
        </w:tc>
        <w:tc>
          <w:tcPr>
            <w:tcW w:w="1701" w:type="dxa"/>
            <w:vAlign w:val="center"/>
          </w:tcPr>
          <w:p w14:paraId="362A2C45"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w:t>
            </w:r>
          </w:p>
        </w:tc>
      </w:tr>
      <w:tr w:rsidR="004B211A" w14:paraId="7FCCD112" w14:textId="77777777" w:rsidTr="004B21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5F43A9BF"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020" w:type="dxa"/>
            <w:vAlign w:val="bottom"/>
          </w:tcPr>
          <w:p w14:paraId="41D3FB2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2659" w:type="dxa"/>
            <w:vAlign w:val="bottom"/>
          </w:tcPr>
          <w:p w14:paraId="7C56B6D2"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c>
          <w:tcPr>
            <w:tcW w:w="1701" w:type="dxa"/>
            <w:vAlign w:val="center"/>
          </w:tcPr>
          <w:p w14:paraId="25B0843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4B211A" w14:paraId="594C4211" w14:textId="77777777" w:rsidTr="004B211A">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6F7DAE5A"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2020" w:type="dxa"/>
            <w:vAlign w:val="bottom"/>
          </w:tcPr>
          <w:p w14:paraId="439694A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2659" w:type="dxa"/>
            <w:vAlign w:val="bottom"/>
          </w:tcPr>
          <w:p w14:paraId="02D0A78E"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c>
          <w:tcPr>
            <w:tcW w:w="1701" w:type="dxa"/>
            <w:vAlign w:val="center"/>
          </w:tcPr>
          <w:p w14:paraId="19B89581"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4B211A" w14:paraId="6E10A3F4" w14:textId="77777777" w:rsidTr="004B21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shd w:val="clear" w:color="auto" w:fill="FFC000"/>
            <w:vAlign w:val="bottom"/>
          </w:tcPr>
          <w:p w14:paraId="5D8F6C9A" w14:textId="77777777" w:rsidR="004B211A"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España</w:t>
            </w:r>
          </w:p>
        </w:tc>
        <w:tc>
          <w:tcPr>
            <w:tcW w:w="2020" w:type="dxa"/>
            <w:shd w:val="clear" w:color="auto" w:fill="FFC000"/>
            <w:vAlign w:val="bottom"/>
          </w:tcPr>
          <w:p w14:paraId="62463565"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6,1%</w:t>
            </w:r>
          </w:p>
        </w:tc>
        <w:tc>
          <w:tcPr>
            <w:tcW w:w="2659" w:type="dxa"/>
            <w:shd w:val="clear" w:color="auto" w:fill="FFC000"/>
            <w:vAlign w:val="bottom"/>
          </w:tcPr>
          <w:p w14:paraId="3A7B61A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9,3%</w:t>
            </w:r>
          </w:p>
        </w:tc>
        <w:tc>
          <w:tcPr>
            <w:tcW w:w="1701" w:type="dxa"/>
            <w:shd w:val="clear" w:color="auto" w:fill="FFC000"/>
            <w:vAlign w:val="center"/>
          </w:tcPr>
          <w:p w14:paraId="2A5DDDB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3,2</w:t>
            </w:r>
          </w:p>
        </w:tc>
      </w:tr>
      <w:tr w:rsidR="004B211A" w14:paraId="142566E8" w14:textId="77777777" w:rsidTr="004B211A">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0F6EB0FE"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020" w:type="dxa"/>
            <w:vAlign w:val="bottom"/>
          </w:tcPr>
          <w:p w14:paraId="2488C2BD"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c>
          <w:tcPr>
            <w:tcW w:w="2659" w:type="dxa"/>
            <w:vAlign w:val="bottom"/>
          </w:tcPr>
          <w:p w14:paraId="2DA3848F"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c>
          <w:tcPr>
            <w:tcW w:w="1701" w:type="dxa"/>
            <w:vAlign w:val="center"/>
          </w:tcPr>
          <w:p w14:paraId="752128C1"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r>
      <w:tr w:rsidR="004B211A" w14:paraId="628E2B85" w14:textId="77777777" w:rsidTr="004B21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79E9903E"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2020" w:type="dxa"/>
            <w:vAlign w:val="bottom"/>
          </w:tcPr>
          <w:p w14:paraId="104FA30C"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2659" w:type="dxa"/>
            <w:vAlign w:val="bottom"/>
          </w:tcPr>
          <w:p w14:paraId="5A2EB509"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c>
          <w:tcPr>
            <w:tcW w:w="1701" w:type="dxa"/>
            <w:vAlign w:val="center"/>
          </w:tcPr>
          <w:p w14:paraId="4CE40484"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4B211A" w14:paraId="552B791A" w14:textId="77777777" w:rsidTr="004B211A">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032878EB"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2020" w:type="dxa"/>
            <w:vAlign w:val="bottom"/>
          </w:tcPr>
          <w:p w14:paraId="42B37C8E"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2659" w:type="dxa"/>
            <w:vAlign w:val="bottom"/>
          </w:tcPr>
          <w:p w14:paraId="7ABE1B5E"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701" w:type="dxa"/>
            <w:vAlign w:val="center"/>
          </w:tcPr>
          <w:p w14:paraId="6A2CD67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r>
      <w:tr w:rsidR="004B211A" w14:paraId="25759931" w14:textId="77777777" w:rsidTr="004B21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7FD1C24B"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020" w:type="dxa"/>
            <w:vAlign w:val="bottom"/>
          </w:tcPr>
          <w:p w14:paraId="2D17AE02"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2659" w:type="dxa"/>
            <w:vAlign w:val="bottom"/>
          </w:tcPr>
          <w:p w14:paraId="007B58D3"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c>
          <w:tcPr>
            <w:tcW w:w="1701" w:type="dxa"/>
            <w:vAlign w:val="center"/>
          </w:tcPr>
          <w:p w14:paraId="170B3ED1"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4B211A" w14:paraId="477F715A" w14:textId="77777777" w:rsidTr="004B211A">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2B82B3CC"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020" w:type="dxa"/>
            <w:vAlign w:val="bottom"/>
          </w:tcPr>
          <w:p w14:paraId="503863C6"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2659" w:type="dxa"/>
            <w:vAlign w:val="bottom"/>
          </w:tcPr>
          <w:p w14:paraId="1E589024"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c>
          <w:tcPr>
            <w:tcW w:w="1701" w:type="dxa"/>
            <w:vAlign w:val="center"/>
          </w:tcPr>
          <w:p w14:paraId="469E71C5"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4B211A" w14:paraId="51435B00" w14:textId="77777777" w:rsidTr="004B21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7F2C5AEA"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020" w:type="dxa"/>
            <w:vAlign w:val="bottom"/>
          </w:tcPr>
          <w:p w14:paraId="63A8BF50"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2659" w:type="dxa"/>
            <w:vAlign w:val="bottom"/>
          </w:tcPr>
          <w:p w14:paraId="5BC0471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701" w:type="dxa"/>
            <w:vAlign w:val="center"/>
          </w:tcPr>
          <w:p w14:paraId="7A740DD3"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r>
      <w:tr w:rsidR="004B211A" w14:paraId="467AF031" w14:textId="77777777" w:rsidTr="004B211A">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2006F8E0"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2020" w:type="dxa"/>
            <w:vAlign w:val="bottom"/>
          </w:tcPr>
          <w:p w14:paraId="4686761A"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2659" w:type="dxa"/>
            <w:vAlign w:val="bottom"/>
          </w:tcPr>
          <w:p w14:paraId="2F6D9D49"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1701" w:type="dxa"/>
            <w:vAlign w:val="center"/>
          </w:tcPr>
          <w:p w14:paraId="1B37CB32"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r>
      <w:tr w:rsidR="004B211A" w14:paraId="553E0549" w14:textId="77777777" w:rsidTr="004B21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755D5606"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2020" w:type="dxa"/>
            <w:vAlign w:val="bottom"/>
          </w:tcPr>
          <w:p w14:paraId="18BA164C"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2659" w:type="dxa"/>
            <w:vAlign w:val="bottom"/>
          </w:tcPr>
          <w:p w14:paraId="35F62DAA"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1701" w:type="dxa"/>
            <w:vAlign w:val="center"/>
          </w:tcPr>
          <w:p w14:paraId="4042943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r>
      <w:tr w:rsidR="004B211A" w14:paraId="74BD00BA" w14:textId="77777777" w:rsidTr="004B211A">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475D9789"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020" w:type="dxa"/>
            <w:vAlign w:val="bottom"/>
          </w:tcPr>
          <w:p w14:paraId="6C8B50B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2659" w:type="dxa"/>
            <w:vAlign w:val="bottom"/>
          </w:tcPr>
          <w:p w14:paraId="37A35BAF"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c>
          <w:tcPr>
            <w:tcW w:w="1701" w:type="dxa"/>
            <w:vAlign w:val="center"/>
          </w:tcPr>
          <w:p w14:paraId="11012A35"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4B211A" w14:paraId="1DB1E4DE" w14:textId="77777777" w:rsidTr="004B21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11D1D8BC"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2020" w:type="dxa"/>
            <w:vAlign w:val="bottom"/>
          </w:tcPr>
          <w:p w14:paraId="3A744CD5"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2659" w:type="dxa"/>
            <w:vAlign w:val="bottom"/>
          </w:tcPr>
          <w:p w14:paraId="1AB46B7C"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701" w:type="dxa"/>
            <w:vAlign w:val="center"/>
          </w:tcPr>
          <w:p w14:paraId="168C414D"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4B211A" w14:paraId="741FF976" w14:textId="77777777" w:rsidTr="004B211A">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4CA5CD79"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2020" w:type="dxa"/>
            <w:vAlign w:val="bottom"/>
          </w:tcPr>
          <w:p w14:paraId="0FC876F9"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2659" w:type="dxa"/>
            <w:vAlign w:val="bottom"/>
          </w:tcPr>
          <w:p w14:paraId="1888E409"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701" w:type="dxa"/>
            <w:vAlign w:val="center"/>
          </w:tcPr>
          <w:p w14:paraId="56A0DBE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4B211A" w14:paraId="0F1A60DD" w14:textId="77777777" w:rsidTr="004B21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09B222F3"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020" w:type="dxa"/>
            <w:vAlign w:val="bottom"/>
          </w:tcPr>
          <w:p w14:paraId="11F37A27"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2659" w:type="dxa"/>
            <w:vAlign w:val="bottom"/>
          </w:tcPr>
          <w:p w14:paraId="44A1F4A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701" w:type="dxa"/>
            <w:vAlign w:val="center"/>
          </w:tcPr>
          <w:p w14:paraId="14334CEA"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r>
      <w:tr w:rsidR="004B211A" w14:paraId="355C1EA2" w14:textId="77777777" w:rsidTr="004B211A">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0202A614" w14:textId="77777777" w:rsidR="004B211A"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2020" w:type="dxa"/>
            <w:vAlign w:val="bottom"/>
          </w:tcPr>
          <w:p w14:paraId="3AA9EBB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2659" w:type="dxa"/>
            <w:vAlign w:val="bottom"/>
          </w:tcPr>
          <w:p w14:paraId="23C38F0A"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701" w:type="dxa"/>
            <w:vAlign w:val="center"/>
          </w:tcPr>
          <w:p w14:paraId="205343C8"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bl>
    <w:p w14:paraId="2A0FF190" w14:textId="77777777" w:rsidR="004B211A"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40B2EA71" w14:textId="77777777" w:rsidR="004B211A"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análisis de </w:t>
      </w:r>
      <w:hyperlink r:id="rId13">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vemos que, al igual que las comunidades autónomas, en los municipios de España también la rentabilidad de la vivienda alquilada por habitaciones es muy superior a la rentabilidad de un alquiler convencional. En el caso de Burjassot la diferencia entre una rentabilidad y otra alcanza los 7 puntos porcentuales, es decir, por el alquiler de una vivienda se saca 6,5% frente a la rentabilidad del 13,6% que se saca por el alquiler de las habitaciones de esa misma vivienda.</w:t>
      </w:r>
    </w:p>
    <w:p w14:paraId="5B8A4BE0" w14:textId="0F8220FF" w:rsidR="004B211A" w:rsidRDefault="00000000" w:rsidP="00B83741">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De esta manera, el orden de las 10 ciudades con las máximas rentabilidades de las viviendas de alquiler por habitaciones es: Burjassot con 13,6% (6,5%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Sagunto / Sagunt con 13,3% (7,9%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Ponferrada con 10,7% (7,6%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Paterna con 10,6% (7,0%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Lleida Capital </w:t>
      </w:r>
      <w:r>
        <w:rPr>
          <w:rFonts w:ascii="Open Sans" w:eastAsia="Open Sans" w:hAnsi="Open Sans" w:cs="Open Sans"/>
          <w:color w:val="000000"/>
          <w:sz w:val="22"/>
          <w:szCs w:val="22"/>
        </w:rPr>
        <w:lastRenderedPageBreak/>
        <w:t>con 10,3% (6,3%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Talavera de la Reina con 10,0% (7,9%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Alcoy / Alcoi con 9,9% (7,2%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Cartagena con 9,5% (6,8%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L'Hospitalet de Llobregat con 9,1% (8,6%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y Jaén Capital con 8,7% (5,8%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r>
        <w:rPr>
          <w:rFonts w:ascii="Open Sans" w:eastAsia="Open Sans" w:hAnsi="Open Sans" w:cs="Open Sans"/>
          <w:color w:val="000000"/>
          <w:sz w:val="22"/>
          <w:szCs w:val="22"/>
        </w:rPr>
        <w:tab/>
      </w:r>
    </w:p>
    <w:p w14:paraId="638DBE25" w14:textId="52419A24" w:rsidR="004B211A"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el orden de las cinco ciudades con las mínimas rentabilidades de las viviendas de alquiler por habitaciones es: Pozuelo de Alarcón con 4,9</w:t>
      </w:r>
      <w:r w:rsidR="0029258E">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(4,6%</w:t>
      </w:r>
      <w:r w:rsidR="0029258E">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Madrid Capital con 5,0% (4,7%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Granada Capital</w:t>
      </w:r>
      <w:r w:rsidR="0029258E">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5,7%</w:t>
      </w:r>
      <w:r w:rsidR="0029258E">
        <w:rPr>
          <w:rFonts w:ascii="Open Sans" w:eastAsia="Open Sans" w:hAnsi="Open Sans" w:cs="Open Sans"/>
          <w:color w:val="000000"/>
          <w:sz w:val="22"/>
          <w:szCs w:val="22"/>
        </w:rPr>
        <w:t>)</w:t>
      </w:r>
      <w:r>
        <w:rPr>
          <w:rFonts w:ascii="Open Sans" w:eastAsia="Open Sans" w:hAnsi="Open Sans" w:cs="Open Sans"/>
          <w:color w:val="000000"/>
          <w:sz w:val="22"/>
          <w:szCs w:val="22"/>
        </w:rPr>
        <w:t xml:space="preserve"> (4,5%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Salamanca Capital con 5,7% (5,3%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y Santander con 5,7%</w:t>
      </w:r>
      <w:r>
        <w:rPr>
          <w:rFonts w:ascii="Open Sans" w:eastAsia="Open Sans" w:hAnsi="Open Sans" w:cs="Open Sans"/>
          <w:color w:val="000000"/>
          <w:sz w:val="22"/>
          <w:szCs w:val="22"/>
        </w:rPr>
        <w:tab/>
        <w:t>(4,8%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4FC46F40" w14:textId="77777777" w:rsidR="004B211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0"/>
          <w:szCs w:val="20"/>
        </w:rPr>
      </w:pPr>
      <w:r>
        <w:rPr>
          <w:rFonts w:ascii="Open Sans Light" w:eastAsia="Open Sans Light" w:hAnsi="Open Sans Light" w:cs="Open Sans Light"/>
          <w:b/>
          <w:color w:val="303AB2"/>
          <w:u w:val="single"/>
        </w:rPr>
        <w:t>Tabla por municipios</w:t>
      </w:r>
      <w:r>
        <w:rPr>
          <w:rFonts w:ascii="Open Sans Light" w:eastAsia="Open Sans Light" w:hAnsi="Open Sans Light" w:cs="Open Sans Light"/>
          <w:b/>
          <w:color w:val="303AB2"/>
        </w:rPr>
        <w:t>: Rentabilidad de vivienda de 80 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 xml:space="preserve"> completa vs alquiler de 3 habitaciones </w:t>
      </w:r>
    </w:p>
    <w:tbl>
      <w:tblPr>
        <w:tblStyle w:val="a0"/>
        <w:tblW w:w="912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5"/>
        <w:gridCol w:w="2268"/>
        <w:gridCol w:w="1701"/>
        <w:gridCol w:w="2126"/>
        <w:gridCol w:w="1473"/>
      </w:tblGrid>
      <w:tr w:rsidR="004B211A" w14:paraId="24DFCA8A" w14:textId="77777777" w:rsidTr="004B211A">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ECD3F9" w14:textId="77777777" w:rsidR="004B211A" w:rsidRDefault="00000000">
            <w:pPr>
              <w:rPr>
                <w:rFonts w:ascii="Open Sans" w:eastAsia="Open Sans" w:hAnsi="Open Sans" w:cs="Open Sans"/>
                <w:sz w:val="20"/>
                <w:szCs w:val="20"/>
              </w:rPr>
            </w:pPr>
            <w:r>
              <w:rPr>
                <w:rFonts w:ascii="Open Sans" w:eastAsia="Open Sans" w:hAnsi="Open Sans" w:cs="Open Sans"/>
                <w:b w:val="0"/>
                <w:sz w:val="20"/>
                <w:szCs w:val="20"/>
              </w:rPr>
              <w:t>Provincia</w:t>
            </w:r>
          </w:p>
        </w:tc>
        <w:tc>
          <w:tcPr>
            <w:tcW w:w="2268" w:type="dxa"/>
            <w:vAlign w:val="center"/>
          </w:tcPr>
          <w:p w14:paraId="418CDC9C" w14:textId="77777777" w:rsidR="004B211A"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Municipio</w:t>
            </w:r>
          </w:p>
        </w:tc>
        <w:tc>
          <w:tcPr>
            <w:tcW w:w="1701" w:type="dxa"/>
            <w:vAlign w:val="center"/>
          </w:tcPr>
          <w:p w14:paraId="53F82EC1" w14:textId="77777777" w:rsidR="004B211A"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 vivienda 80 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(sept-24)</w:t>
            </w:r>
          </w:p>
        </w:tc>
        <w:tc>
          <w:tcPr>
            <w:tcW w:w="2126" w:type="dxa"/>
            <w:vAlign w:val="center"/>
          </w:tcPr>
          <w:p w14:paraId="73267308" w14:textId="77777777" w:rsidR="004B211A"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sz w:val="20"/>
                <w:szCs w:val="20"/>
              </w:rPr>
            </w:pPr>
            <w:r>
              <w:rPr>
                <w:rFonts w:ascii="Open Sans" w:eastAsia="Open Sans" w:hAnsi="Open Sans" w:cs="Open Sans"/>
                <w:b w:val="0"/>
                <w:sz w:val="20"/>
                <w:szCs w:val="20"/>
              </w:rPr>
              <w:t>Rentabilidad de una vivenda compartida de 3 hab. (sept-24)</w:t>
            </w:r>
          </w:p>
        </w:tc>
        <w:tc>
          <w:tcPr>
            <w:tcW w:w="1473" w:type="dxa"/>
            <w:vAlign w:val="center"/>
          </w:tcPr>
          <w:p w14:paraId="251800B4" w14:textId="77777777" w:rsidR="004B211A"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Diferencia punto porcentual</w:t>
            </w:r>
          </w:p>
        </w:tc>
      </w:tr>
      <w:tr w:rsidR="004B211A" w14:paraId="1D8E8718"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869DF1C"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268" w:type="dxa"/>
            <w:vAlign w:val="bottom"/>
          </w:tcPr>
          <w:p w14:paraId="50A0F9E1"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Burjassot</w:t>
            </w:r>
          </w:p>
        </w:tc>
        <w:tc>
          <w:tcPr>
            <w:tcW w:w="1701" w:type="dxa"/>
            <w:vAlign w:val="bottom"/>
          </w:tcPr>
          <w:p w14:paraId="4A9F1C3B"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6,5%</w:t>
            </w:r>
          </w:p>
        </w:tc>
        <w:tc>
          <w:tcPr>
            <w:tcW w:w="2126" w:type="dxa"/>
            <w:vAlign w:val="bottom"/>
          </w:tcPr>
          <w:p w14:paraId="550AE810"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13,6%</w:t>
            </w:r>
          </w:p>
        </w:tc>
        <w:tc>
          <w:tcPr>
            <w:tcW w:w="1473" w:type="dxa"/>
            <w:vAlign w:val="center"/>
          </w:tcPr>
          <w:p w14:paraId="1E75857B"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7,0</w:t>
            </w:r>
          </w:p>
        </w:tc>
      </w:tr>
      <w:tr w:rsidR="004B211A" w14:paraId="337C5048"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FE15B2A"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268" w:type="dxa"/>
            <w:vAlign w:val="bottom"/>
          </w:tcPr>
          <w:p w14:paraId="037343FC"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Sagunto / Sagunt</w:t>
            </w:r>
          </w:p>
        </w:tc>
        <w:tc>
          <w:tcPr>
            <w:tcW w:w="1701" w:type="dxa"/>
            <w:vAlign w:val="bottom"/>
          </w:tcPr>
          <w:p w14:paraId="7803D969"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7,9%</w:t>
            </w:r>
          </w:p>
        </w:tc>
        <w:tc>
          <w:tcPr>
            <w:tcW w:w="2126" w:type="dxa"/>
            <w:vAlign w:val="bottom"/>
          </w:tcPr>
          <w:p w14:paraId="46B87A32"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13,3%</w:t>
            </w:r>
          </w:p>
        </w:tc>
        <w:tc>
          <w:tcPr>
            <w:tcW w:w="1473" w:type="dxa"/>
            <w:vAlign w:val="center"/>
          </w:tcPr>
          <w:p w14:paraId="2E349D1E"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5,4</w:t>
            </w:r>
          </w:p>
        </w:tc>
      </w:tr>
      <w:tr w:rsidR="004B211A" w14:paraId="1FB5FF88"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3209F77"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León</w:t>
            </w:r>
          </w:p>
        </w:tc>
        <w:tc>
          <w:tcPr>
            <w:tcW w:w="2268" w:type="dxa"/>
            <w:vAlign w:val="bottom"/>
          </w:tcPr>
          <w:p w14:paraId="559272BE"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Ponferrada</w:t>
            </w:r>
          </w:p>
        </w:tc>
        <w:tc>
          <w:tcPr>
            <w:tcW w:w="1701" w:type="dxa"/>
            <w:vAlign w:val="bottom"/>
          </w:tcPr>
          <w:p w14:paraId="6E48CD0B"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7,6%</w:t>
            </w:r>
          </w:p>
        </w:tc>
        <w:tc>
          <w:tcPr>
            <w:tcW w:w="2126" w:type="dxa"/>
            <w:vAlign w:val="bottom"/>
          </w:tcPr>
          <w:p w14:paraId="79EF2005"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10,7%</w:t>
            </w:r>
          </w:p>
        </w:tc>
        <w:tc>
          <w:tcPr>
            <w:tcW w:w="1473" w:type="dxa"/>
            <w:vAlign w:val="center"/>
          </w:tcPr>
          <w:p w14:paraId="65AC57ED"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3,1</w:t>
            </w:r>
          </w:p>
        </w:tc>
      </w:tr>
      <w:tr w:rsidR="004B211A" w14:paraId="02AD6548"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418D57B"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268" w:type="dxa"/>
            <w:vAlign w:val="bottom"/>
          </w:tcPr>
          <w:p w14:paraId="67C297B0"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Paterna</w:t>
            </w:r>
          </w:p>
        </w:tc>
        <w:tc>
          <w:tcPr>
            <w:tcW w:w="1701" w:type="dxa"/>
            <w:vAlign w:val="bottom"/>
          </w:tcPr>
          <w:p w14:paraId="2F422A22"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7,0%</w:t>
            </w:r>
          </w:p>
        </w:tc>
        <w:tc>
          <w:tcPr>
            <w:tcW w:w="2126" w:type="dxa"/>
            <w:vAlign w:val="bottom"/>
          </w:tcPr>
          <w:p w14:paraId="1857231C"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10,6%</w:t>
            </w:r>
          </w:p>
        </w:tc>
        <w:tc>
          <w:tcPr>
            <w:tcW w:w="1473" w:type="dxa"/>
            <w:vAlign w:val="center"/>
          </w:tcPr>
          <w:p w14:paraId="61EAAAF5"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3,6</w:t>
            </w:r>
          </w:p>
        </w:tc>
      </w:tr>
      <w:tr w:rsidR="004B211A" w14:paraId="26BC73A9"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1131A53"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Lleida</w:t>
            </w:r>
          </w:p>
        </w:tc>
        <w:tc>
          <w:tcPr>
            <w:tcW w:w="2268" w:type="dxa"/>
            <w:vAlign w:val="bottom"/>
          </w:tcPr>
          <w:p w14:paraId="64E5D192"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Lleida Capital</w:t>
            </w:r>
          </w:p>
        </w:tc>
        <w:tc>
          <w:tcPr>
            <w:tcW w:w="1701" w:type="dxa"/>
            <w:vAlign w:val="bottom"/>
          </w:tcPr>
          <w:p w14:paraId="5FA5C2B3"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6,3%</w:t>
            </w:r>
          </w:p>
        </w:tc>
        <w:tc>
          <w:tcPr>
            <w:tcW w:w="2126" w:type="dxa"/>
            <w:vAlign w:val="bottom"/>
          </w:tcPr>
          <w:p w14:paraId="752B461C"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10,3%</w:t>
            </w:r>
          </w:p>
        </w:tc>
        <w:tc>
          <w:tcPr>
            <w:tcW w:w="1473" w:type="dxa"/>
            <w:vAlign w:val="center"/>
          </w:tcPr>
          <w:p w14:paraId="182D8E65"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4,0</w:t>
            </w:r>
          </w:p>
        </w:tc>
      </w:tr>
      <w:tr w:rsidR="004B211A" w14:paraId="168E97E5"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6ADF25D"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Toledo</w:t>
            </w:r>
          </w:p>
        </w:tc>
        <w:tc>
          <w:tcPr>
            <w:tcW w:w="2268" w:type="dxa"/>
            <w:vAlign w:val="bottom"/>
          </w:tcPr>
          <w:p w14:paraId="7A3796B3"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Talavera de la Reina</w:t>
            </w:r>
          </w:p>
        </w:tc>
        <w:tc>
          <w:tcPr>
            <w:tcW w:w="1701" w:type="dxa"/>
            <w:vAlign w:val="bottom"/>
          </w:tcPr>
          <w:p w14:paraId="419D44B8"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7,9%</w:t>
            </w:r>
          </w:p>
        </w:tc>
        <w:tc>
          <w:tcPr>
            <w:tcW w:w="2126" w:type="dxa"/>
            <w:vAlign w:val="bottom"/>
          </w:tcPr>
          <w:p w14:paraId="49620BB4"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10,0%</w:t>
            </w:r>
          </w:p>
        </w:tc>
        <w:tc>
          <w:tcPr>
            <w:tcW w:w="1473" w:type="dxa"/>
            <w:vAlign w:val="center"/>
          </w:tcPr>
          <w:p w14:paraId="5167CF75"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2,2</w:t>
            </w:r>
          </w:p>
        </w:tc>
      </w:tr>
      <w:tr w:rsidR="004B211A" w14:paraId="4BDCF34B"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765DE3E"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Alicante</w:t>
            </w:r>
          </w:p>
        </w:tc>
        <w:tc>
          <w:tcPr>
            <w:tcW w:w="2268" w:type="dxa"/>
            <w:vAlign w:val="bottom"/>
          </w:tcPr>
          <w:p w14:paraId="1A0BD741"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Alcoy / Alcoi</w:t>
            </w:r>
          </w:p>
        </w:tc>
        <w:tc>
          <w:tcPr>
            <w:tcW w:w="1701" w:type="dxa"/>
            <w:vAlign w:val="bottom"/>
          </w:tcPr>
          <w:p w14:paraId="534D8D49"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7,2%</w:t>
            </w:r>
          </w:p>
        </w:tc>
        <w:tc>
          <w:tcPr>
            <w:tcW w:w="2126" w:type="dxa"/>
            <w:vAlign w:val="bottom"/>
          </w:tcPr>
          <w:p w14:paraId="61321DF5"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9,9%</w:t>
            </w:r>
          </w:p>
        </w:tc>
        <w:tc>
          <w:tcPr>
            <w:tcW w:w="1473" w:type="dxa"/>
            <w:vAlign w:val="center"/>
          </w:tcPr>
          <w:p w14:paraId="5AB4242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2,7</w:t>
            </w:r>
          </w:p>
        </w:tc>
      </w:tr>
      <w:tr w:rsidR="004B211A" w14:paraId="5FBBCBEB"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66E6460"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Murcia</w:t>
            </w:r>
          </w:p>
        </w:tc>
        <w:tc>
          <w:tcPr>
            <w:tcW w:w="2268" w:type="dxa"/>
            <w:vAlign w:val="bottom"/>
          </w:tcPr>
          <w:p w14:paraId="040DB8CE"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Cartagena</w:t>
            </w:r>
          </w:p>
        </w:tc>
        <w:tc>
          <w:tcPr>
            <w:tcW w:w="1701" w:type="dxa"/>
            <w:vAlign w:val="bottom"/>
          </w:tcPr>
          <w:p w14:paraId="1D77691E"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6,8%</w:t>
            </w:r>
          </w:p>
        </w:tc>
        <w:tc>
          <w:tcPr>
            <w:tcW w:w="2126" w:type="dxa"/>
            <w:vAlign w:val="bottom"/>
          </w:tcPr>
          <w:p w14:paraId="090852CF"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9,5%</w:t>
            </w:r>
          </w:p>
        </w:tc>
        <w:tc>
          <w:tcPr>
            <w:tcW w:w="1473" w:type="dxa"/>
            <w:vAlign w:val="center"/>
          </w:tcPr>
          <w:p w14:paraId="1F5D777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2,7</w:t>
            </w:r>
          </w:p>
        </w:tc>
      </w:tr>
      <w:tr w:rsidR="004B211A" w14:paraId="583FF621"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28AD41B"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268" w:type="dxa"/>
            <w:vAlign w:val="bottom"/>
          </w:tcPr>
          <w:p w14:paraId="62F7F290"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L'Hospitalet de Llobregat</w:t>
            </w:r>
          </w:p>
        </w:tc>
        <w:tc>
          <w:tcPr>
            <w:tcW w:w="1701" w:type="dxa"/>
            <w:vAlign w:val="bottom"/>
          </w:tcPr>
          <w:p w14:paraId="5D21679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8,6%</w:t>
            </w:r>
          </w:p>
        </w:tc>
        <w:tc>
          <w:tcPr>
            <w:tcW w:w="2126" w:type="dxa"/>
            <w:vAlign w:val="bottom"/>
          </w:tcPr>
          <w:p w14:paraId="658FC732"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9,1%</w:t>
            </w:r>
          </w:p>
        </w:tc>
        <w:tc>
          <w:tcPr>
            <w:tcW w:w="1473" w:type="dxa"/>
            <w:vAlign w:val="center"/>
          </w:tcPr>
          <w:p w14:paraId="57D9C3F8"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0,5</w:t>
            </w:r>
          </w:p>
        </w:tc>
      </w:tr>
      <w:tr w:rsidR="004B211A" w14:paraId="648911A7"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8D2458D"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Jaén</w:t>
            </w:r>
          </w:p>
        </w:tc>
        <w:tc>
          <w:tcPr>
            <w:tcW w:w="2268" w:type="dxa"/>
            <w:vAlign w:val="bottom"/>
          </w:tcPr>
          <w:p w14:paraId="25C30BD7"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Jaén Capital</w:t>
            </w:r>
          </w:p>
        </w:tc>
        <w:tc>
          <w:tcPr>
            <w:tcW w:w="1701" w:type="dxa"/>
            <w:vAlign w:val="bottom"/>
          </w:tcPr>
          <w:p w14:paraId="46A9F3DF"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5,8%</w:t>
            </w:r>
          </w:p>
        </w:tc>
        <w:tc>
          <w:tcPr>
            <w:tcW w:w="2126" w:type="dxa"/>
            <w:vAlign w:val="bottom"/>
          </w:tcPr>
          <w:p w14:paraId="00FD97C5"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8,7%</w:t>
            </w:r>
          </w:p>
        </w:tc>
        <w:tc>
          <w:tcPr>
            <w:tcW w:w="1473" w:type="dxa"/>
            <w:vAlign w:val="center"/>
          </w:tcPr>
          <w:p w14:paraId="1BB4074F"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2,9</w:t>
            </w:r>
          </w:p>
        </w:tc>
      </w:tr>
      <w:tr w:rsidR="004B211A" w14:paraId="153C4C5B"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772299"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268" w:type="dxa"/>
            <w:vAlign w:val="bottom"/>
          </w:tcPr>
          <w:p w14:paraId="6A773187"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Badalona</w:t>
            </w:r>
          </w:p>
        </w:tc>
        <w:tc>
          <w:tcPr>
            <w:tcW w:w="1701" w:type="dxa"/>
            <w:vAlign w:val="bottom"/>
          </w:tcPr>
          <w:p w14:paraId="79B4023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7,2%</w:t>
            </w:r>
          </w:p>
        </w:tc>
        <w:tc>
          <w:tcPr>
            <w:tcW w:w="2126" w:type="dxa"/>
            <w:vAlign w:val="bottom"/>
          </w:tcPr>
          <w:p w14:paraId="09C734E9"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8,7%</w:t>
            </w:r>
          </w:p>
        </w:tc>
        <w:tc>
          <w:tcPr>
            <w:tcW w:w="1473" w:type="dxa"/>
            <w:vAlign w:val="center"/>
          </w:tcPr>
          <w:p w14:paraId="3A45723C"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w:t>
            </w:r>
          </w:p>
        </w:tc>
      </w:tr>
      <w:tr w:rsidR="004B211A" w14:paraId="72503740"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549E965"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268" w:type="dxa"/>
            <w:vAlign w:val="bottom"/>
          </w:tcPr>
          <w:p w14:paraId="3F8B9338"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Móstoles</w:t>
            </w:r>
          </w:p>
        </w:tc>
        <w:tc>
          <w:tcPr>
            <w:tcW w:w="1701" w:type="dxa"/>
            <w:vAlign w:val="bottom"/>
          </w:tcPr>
          <w:p w14:paraId="689BA8C7"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6,3%</w:t>
            </w:r>
          </w:p>
        </w:tc>
        <w:tc>
          <w:tcPr>
            <w:tcW w:w="2126" w:type="dxa"/>
            <w:vAlign w:val="bottom"/>
          </w:tcPr>
          <w:p w14:paraId="36A6C78A"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8,5%</w:t>
            </w:r>
          </w:p>
        </w:tc>
        <w:tc>
          <w:tcPr>
            <w:tcW w:w="1473" w:type="dxa"/>
            <w:vAlign w:val="center"/>
          </w:tcPr>
          <w:p w14:paraId="3741CC87"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2,3</w:t>
            </w:r>
          </w:p>
        </w:tc>
      </w:tr>
      <w:tr w:rsidR="004B211A" w14:paraId="5F4E12D0"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A6474C9"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Murcia</w:t>
            </w:r>
          </w:p>
        </w:tc>
        <w:tc>
          <w:tcPr>
            <w:tcW w:w="2268" w:type="dxa"/>
            <w:vAlign w:val="bottom"/>
          </w:tcPr>
          <w:p w14:paraId="4AE0F11A"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Murcia Capital</w:t>
            </w:r>
          </w:p>
        </w:tc>
        <w:tc>
          <w:tcPr>
            <w:tcW w:w="1701" w:type="dxa"/>
            <w:vAlign w:val="bottom"/>
          </w:tcPr>
          <w:p w14:paraId="328E411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5,9%</w:t>
            </w:r>
          </w:p>
        </w:tc>
        <w:tc>
          <w:tcPr>
            <w:tcW w:w="2126" w:type="dxa"/>
            <w:vAlign w:val="bottom"/>
          </w:tcPr>
          <w:p w14:paraId="16651177"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8,3%</w:t>
            </w:r>
          </w:p>
        </w:tc>
        <w:tc>
          <w:tcPr>
            <w:tcW w:w="1473" w:type="dxa"/>
            <w:vAlign w:val="center"/>
          </w:tcPr>
          <w:p w14:paraId="3E5BB57B"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2,4</w:t>
            </w:r>
          </w:p>
        </w:tc>
      </w:tr>
      <w:tr w:rsidR="004B211A" w14:paraId="3AD9E97C"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1349B50"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León</w:t>
            </w:r>
          </w:p>
        </w:tc>
        <w:tc>
          <w:tcPr>
            <w:tcW w:w="2268" w:type="dxa"/>
            <w:vAlign w:val="bottom"/>
          </w:tcPr>
          <w:p w14:paraId="6A373F86"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León Capital</w:t>
            </w:r>
          </w:p>
        </w:tc>
        <w:tc>
          <w:tcPr>
            <w:tcW w:w="1701" w:type="dxa"/>
            <w:vAlign w:val="bottom"/>
          </w:tcPr>
          <w:p w14:paraId="648CF45C"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6,1%</w:t>
            </w:r>
          </w:p>
        </w:tc>
        <w:tc>
          <w:tcPr>
            <w:tcW w:w="2126" w:type="dxa"/>
            <w:vAlign w:val="bottom"/>
          </w:tcPr>
          <w:p w14:paraId="0E8750DB"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8,3%</w:t>
            </w:r>
          </w:p>
        </w:tc>
        <w:tc>
          <w:tcPr>
            <w:tcW w:w="1473" w:type="dxa"/>
            <w:vAlign w:val="center"/>
          </w:tcPr>
          <w:p w14:paraId="78359674"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2,2</w:t>
            </w:r>
          </w:p>
        </w:tc>
      </w:tr>
      <w:tr w:rsidR="004B211A" w14:paraId="0F6346AB"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4DF11F0"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Castellón</w:t>
            </w:r>
          </w:p>
        </w:tc>
        <w:tc>
          <w:tcPr>
            <w:tcW w:w="2268" w:type="dxa"/>
            <w:vAlign w:val="bottom"/>
          </w:tcPr>
          <w:p w14:paraId="0CC00081"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Castellón de la Plana / Castelló de la Plana</w:t>
            </w:r>
          </w:p>
        </w:tc>
        <w:tc>
          <w:tcPr>
            <w:tcW w:w="1701" w:type="dxa"/>
            <w:vAlign w:val="bottom"/>
          </w:tcPr>
          <w:p w14:paraId="3CDFFFF3"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6,8%</w:t>
            </w:r>
          </w:p>
        </w:tc>
        <w:tc>
          <w:tcPr>
            <w:tcW w:w="2126" w:type="dxa"/>
            <w:vAlign w:val="bottom"/>
          </w:tcPr>
          <w:p w14:paraId="786AD1C2"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8,3%</w:t>
            </w:r>
          </w:p>
        </w:tc>
        <w:tc>
          <w:tcPr>
            <w:tcW w:w="1473" w:type="dxa"/>
            <w:vAlign w:val="center"/>
          </w:tcPr>
          <w:p w14:paraId="34FE006E"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w:t>
            </w:r>
          </w:p>
        </w:tc>
      </w:tr>
      <w:tr w:rsidR="004B211A" w14:paraId="36B06A03"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E9AC544"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268" w:type="dxa"/>
            <w:vAlign w:val="bottom"/>
          </w:tcPr>
          <w:p w14:paraId="428EB5EB"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Getafe</w:t>
            </w:r>
          </w:p>
        </w:tc>
        <w:tc>
          <w:tcPr>
            <w:tcW w:w="1701" w:type="dxa"/>
            <w:vAlign w:val="bottom"/>
          </w:tcPr>
          <w:p w14:paraId="77E5C7B8"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6,3%</w:t>
            </w:r>
          </w:p>
        </w:tc>
        <w:tc>
          <w:tcPr>
            <w:tcW w:w="2126" w:type="dxa"/>
            <w:vAlign w:val="bottom"/>
          </w:tcPr>
          <w:p w14:paraId="452BC565"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8,3%</w:t>
            </w:r>
          </w:p>
        </w:tc>
        <w:tc>
          <w:tcPr>
            <w:tcW w:w="1473" w:type="dxa"/>
            <w:vAlign w:val="center"/>
          </w:tcPr>
          <w:p w14:paraId="3B408EBB"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2,0</w:t>
            </w:r>
          </w:p>
        </w:tc>
      </w:tr>
      <w:tr w:rsidR="004B211A" w14:paraId="5EE39055"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8DFB2E8"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Sevilla</w:t>
            </w:r>
          </w:p>
        </w:tc>
        <w:tc>
          <w:tcPr>
            <w:tcW w:w="2268" w:type="dxa"/>
            <w:vAlign w:val="bottom"/>
          </w:tcPr>
          <w:p w14:paraId="28DF4281"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Sevilla Capital</w:t>
            </w:r>
          </w:p>
        </w:tc>
        <w:tc>
          <w:tcPr>
            <w:tcW w:w="1701" w:type="dxa"/>
            <w:vAlign w:val="bottom"/>
          </w:tcPr>
          <w:p w14:paraId="180708A3"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5,8%</w:t>
            </w:r>
          </w:p>
        </w:tc>
        <w:tc>
          <w:tcPr>
            <w:tcW w:w="2126" w:type="dxa"/>
            <w:vAlign w:val="bottom"/>
          </w:tcPr>
          <w:p w14:paraId="60E30A6A"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8,2%</w:t>
            </w:r>
          </w:p>
        </w:tc>
        <w:tc>
          <w:tcPr>
            <w:tcW w:w="1473" w:type="dxa"/>
            <w:vAlign w:val="center"/>
          </w:tcPr>
          <w:p w14:paraId="01135D01"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2,4</w:t>
            </w:r>
          </w:p>
        </w:tc>
      </w:tr>
      <w:tr w:rsidR="004B211A" w14:paraId="072AF08D"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B24E3B8"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Almería</w:t>
            </w:r>
          </w:p>
        </w:tc>
        <w:tc>
          <w:tcPr>
            <w:tcW w:w="2268" w:type="dxa"/>
            <w:vAlign w:val="bottom"/>
          </w:tcPr>
          <w:p w14:paraId="31410327"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Almería Capital</w:t>
            </w:r>
          </w:p>
        </w:tc>
        <w:tc>
          <w:tcPr>
            <w:tcW w:w="1701" w:type="dxa"/>
            <w:vAlign w:val="bottom"/>
          </w:tcPr>
          <w:p w14:paraId="2622CBEE"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6,4%</w:t>
            </w:r>
          </w:p>
        </w:tc>
        <w:tc>
          <w:tcPr>
            <w:tcW w:w="2126" w:type="dxa"/>
            <w:vAlign w:val="bottom"/>
          </w:tcPr>
          <w:p w14:paraId="1FF63E5B"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8,0%</w:t>
            </w:r>
          </w:p>
        </w:tc>
        <w:tc>
          <w:tcPr>
            <w:tcW w:w="1473" w:type="dxa"/>
            <w:vAlign w:val="center"/>
          </w:tcPr>
          <w:p w14:paraId="44C2FB2E"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w:t>
            </w:r>
          </w:p>
        </w:tc>
      </w:tr>
      <w:tr w:rsidR="004B211A" w14:paraId="4188B124"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55B06B9"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Bizkaia</w:t>
            </w:r>
          </w:p>
        </w:tc>
        <w:tc>
          <w:tcPr>
            <w:tcW w:w="2268" w:type="dxa"/>
            <w:vAlign w:val="bottom"/>
          </w:tcPr>
          <w:p w14:paraId="601DB535"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Bilbao</w:t>
            </w:r>
          </w:p>
        </w:tc>
        <w:tc>
          <w:tcPr>
            <w:tcW w:w="1701" w:type="dxa"/>
            <w:vAlign w:val="bottom"/>
          </w:tcPr>
          <w:p w14:paraId="6EBD8F7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5,5%</w:t>
            </w:r>
          </w:p>
        </w:tc>
        <w:tc>
          <w:tcPr>
            <w:tcW w:w="2126" w:type="dxa"/>
            <w:vAlign w:val="bottom"/>
          </w:tcPr>
          <w:p w14:paraId="7935A091"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8,0%</w:t>
            </w:r>
          </w:p>
        </w:tc>
        <w:tc>
          <w:tcPr>
            <w:tcW w:w="1473" w:type="dxa"/>
            <w:vAlign w:val="center"/>
          </w:tcPr>
          <w:p w14:paraId="195DE0E0"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2,5</w:t>
            </w:r>
          </w:p>
        </w:tc>
      </w:tr>
      <w:tr w:rsidR="004B211A" w14:paraId="4EA95ADD"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4007BA9"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Alicante</w:t>
            </w:r>
          </w:p>
        </w:tc>
        <w:tc>
          <w:tcPr>
            <w:tcW w:w="2268" w:type="dxa"/>
            <w:vAlign w:val="bottom"/>
          </w:tcPr>
          <w:p w14:paraId="1194C41C"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Elche / Elx</w:t>
            </w:r>
          </w:p>
        </w:tc>
        <w:tc>
          <w:tcPr>
            <w:tcW w:w="1701" w:type="dxa"/>
            <w:vAlign w:val="bottom"/>
          </w:tcPr>
          <w:p w14:paraId="1334251D"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5,5%</w:t>
            </w:r>
          </w:p>
        </w:tc>
        <w:tc>
          <w:tcPr>
            <w:tcW w:w="2126" w:type="dxa"/>
            <w:vAlign w:val="bottom"/>
          </w:tcPr>
          <w:p w14:paraId="5280933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7,9%</w:t>
            </w:r>
          </w:p>
        </w:tc>
        <w:tc>
          <w:tcPr>
            <w:tcW w:w="1473" w:type="dxa"/>
            <w:vAlign w:val="center"/>
          </w:tcPr>
          <w:p w14:paraId="299B877C"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2,4</w:t>
            </w:r>
          </w:p>
        </w:tc>
      </w:tr>
      <w:tr w:rsidR="004B211A" w14:paraId="38C89F78"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20FC0AD"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268" w:type="dxa"/>
            <w:vAlign w:val="bottom"/>
          </w:tcPr>
          <w:p w14:paraId="415F985F"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Alcorcón</w:t>
            </w:r>
          </w:p>
        </w:tc>
        <w:tc>
          <w:tcPr>
            <w:tcW w:w="1701" w:type="dxa"/>
            <w:vAlign w:val="bottom"/>
          </w:tcPr>
          <w:p w14:paraId="0B654118"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6,9%</w:t>
            </w:r>
          </w:p>
        </w:tc>
        <w:tc>
          <w:tcPr>
            <w:tcW w:w="2126" w:type="dxa"/>
            <w:vAlign w:val="bottom"/>
          </w:tcPr>
          <w:p w14:paraId="467EDB42"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7,8%</w:t>
            </w:r>
          </w:p>
        </w:tc>
        <w:tc>
          <w:tcPr>
            <w:tcW w:w="1473" w:type="dxa"/>
            <w:vAlign w:val="center"/>
          </w:tcPr>
          <w:p w14:paraId="0BAE4CE5"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0,9</w:t>
            </w:r>
          </w:p>
        </w:tc>
      </w:tr>
      <w:tr w:rsidR="004B211A" w14:paraId="45838658"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39A93DE"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268" w:type="dxa"/>
            <w:vAlign w:val="bottom"/>
          </w:tcPr>
          <w:p w14:paraId="5C2753E2"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Fuenlabrada</w:t>
            </w:r>
          </w:p>
        </w:tc>
        <w:tc>
          <w:tcPr>
            <w:tcW w:w="1701" w:type="dxa"/>
            <w:vAlign w:val="bottom"/>
          </w:tcPr>
          <w:p w14:paraId="6BC9F3B2"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6,8%</w:t>
            </w:r>
          </w:p>
        </w:tc>
        <w:tc>
          <w:tcPr>
            <w:tcW w:w="2126" w:type="dxa"/>
            <w:vAlign w:val="bottom"/>
          </w:tcPr>
          <w:p w14:paraId="3D96D166"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7,7%</w:t>
            </w:r>
          </w:p>
        </w:tc>
        <w:tc>
          <w:tcPr>
            <w:tcW w:w="1473" w:type="dxa"/>
            <w:vAlign w:val="center"/>
          </w:tcPr>
          <w:p w14:paraId="5DEC18E2"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0,9</w:t>
            </w:r>
          </w:p>
        </w:tc>
      </w:tr>
      <w:tr w:rsidR="004B211A" w14:paraId="24549EDB"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1C5BB8D"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Albacete</w:t>
            </w:r>
          </w:p>
        </w:tc>
        <w:tc>
          <w:tcPr>
            <w:tcW w:w="2268" w:type="dxa"/>
            <w:vAlign w:val="bottom"/>
          </w:tcPr>
          <w:p w14:paraId="79B90B67"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Albacete Capital</w:t>
            </w:r>
          </w:p>
        </w:tc>
        <w:tc>
          <w:tcPr>
            <w:tcW w:w="1701" w:type="dxa"/>
            <w:vAlign w:val="bottom"/>
          </w:tcPr>
          <w:p w14:paraId="4AF75FE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5,3%</w:t>
            </w:r>
          </w:p>
        </w:tc>
        <w:tc>
          <w:tcPr>
            <w:tcW w:w="2126" w:type="dxa"/>
            <w:vAlign w:val="bottom"/>
          </w:tcPr>
          <w:p w14:paraId="0F2834DC"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7,6%</w:t>
            </w:r>
          </w:p>
        </w:tc>
        <w:tc>
          <w:tcPr>
            <w:tcW w:w="1473" w:type="dxa"/>
            <w:vAlign w:val="center"/>
          </w:tcPr>
          <w:p w14:paraId="14809804"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2,4</w:t>
            </w:r>
          </w:p>
        </w:tc>
      </w:tr>
      <w:tr w:rsidR="004B211A" w14:paraId="75C718ED"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D5F0362"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lastRenderedPageBreak/>
              <w:t>Cádiz</w:t>
            </w:r>
          </w:p>
        </w:tc>
        <w:tc>
          <w:tcPr>
            <w:tcW w:w="2268" w:type="dxa"/>
            <w:vAlign w:val="bottom"/>
          </w:tcPr>
          <w:p w14:paraId="2111BFEA"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Jerez de la Frontera</w:t>
            </w:r>
          </w:p>
        </w:tc>
        <w:tc>
          <w:tcPr>
            <w:tcW w:w="1701" w:type="dxa"/>
            <w:vAlign w:val="bottom"/>
          </w:tcPr>
          <w:p w14:paraId="40FC2A68"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6,9%</w:t>
            </w:r>
          </w:p>
        </w:tc>
        <w:tc>
          <w:tcPr>
            <w:tcW w:w="2126" w:type="dxa"/>
            <w:vAlign w:val="bottom"/>
          </w:tcPr>
          <w:p w14:paraId="24F3ACAD"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7,6%</w:t>
            </w:r>
          </w:p>
        </w:tc>
        <w:tc>
          <w:tcPr>
            <w:tcW w:w="1473" w:type="dxa"/>
            <w:vAlign w:val="center"/>
          </w:tcPr>
          <w:p w14:paraId="33343AF8"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0,7</w:t>
            </w:r>
          </w:p>
        </w:tc>
      </w:tr>
      <w:tr w:rsidR="004B211A" w14:paraId="13132173"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2143E52"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Cuenca</w:t>
            </w:r>
          </w:p>
        </w:tc>
        <w:tc>
          <w:tcPr>
            <w:tcW w:w="2268" w:type="dxa"/>
            <w:vAlign w:val="bottom"/>
          </w:tcPr>
          <w:p w14:paraId="0DA7C44E"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Cuenca Capital</w:t>
            </w:r>
          </w:p>
        </w:tc>
        <w:tc>
          <w:tcPr>
            <w:tcW w:w="1701" w:type="dxa"/>
            <w:vAlign w:val="bottom"/>
          </w:tcPr>
          <w:p w14:paraId="7822A931"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5,6%</w:t>
            </w:r>
          </w:p>
        </w:tc>
        <w:tc>
          <w:tcPr>
            <w:tcW w:w="2126" w:type="dxa"/>
            <w:vAlign w:val="bottom"/>
          </w:tcPr>
          <w:p w14:paraId="64C1BA3B"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7,5%</w:t>
            </w:r>
          </w:p>
        </w:tc>
        <w:tc>
          <w:tcPr>
            <w:tcW w:w="1473" w:type="dxa"/>
            <w:vAlign w:val="center"/>
          </w:tcPr>
          <w:p w14:paraId="771245F8"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2,0</w:t>
            </w:r>
          </w:p>
        </w:tc>
      </w:tr>
      <w:tr w:rsidR="004B211A" w14:paraId="39332332"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FF6F10C"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La Rioja</w:t>
            </w:r>
          </w:p>
        </w:tc>
        <w:tc>
          <w:tcPr>
            <w:tcW w:w="2268" w:type="dxa"/>
            <w:vAlign w:val="bottom"/>
          </w:tcPr>
          <w:p w14:paraId="1F8A4303"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Logroño</w:t>
            </w:r>
          </w:p>
        </w:tc>
        <w:tc>
          <w:tcPr>
            <w:tcW w:w="1701" w:type="dxa"/>
            <w:vAlign w:val="bottom"/>
          </w:tcPr>
          <w:p w14:paraId="163981EA"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5,3%</w:t>
            </w:r>
          </w:p>
        </w:tc>
        <w:tc>
          <w:tcPr>
            <w:tcW w:w="2126" w:type="dxa"/>
            <w:vAlign w:val="bottom"/>
          </w:tcPr>
          <w:p w14:paraId="3739ADD9"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7,5%</w:t>
            </w:r>
          </w:p>
        </w:tc>
        <w:tc>
          <w:tcPr>
            <w:tcW w:w="1473" w:type="dxa"/>
            <w:vAlign w:val="center"/>
          </w:tcPr>
          <w:p w14:paraId="3ACF2E61"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2,3</w:t>
            </w:r>
          </w:p>
        </w:tc>
      </w:tr>
      <w:tr w:rsidR="004B211A" w14:paraId="25861021"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D9F47A"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268" w:type="dxa"/>
            <w:vAlign w:val="bottom"/>
          </w:tcPr>
          <w:p w14:paraId="3984D8D1"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Terrassa</w:t>
            </w:r>
          </w:p>
        </w:tc>
        <w:tc>
          <w:tcPr>
            <w:tcW w:w="1701" w:type="dxa"/>
            <w:vAlign w:val="bottom"/>
          </w:tcPr>
          <w:p w14:paraId="387EA45D"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6,7%</w:t>
            </w:r>
          </w:p>
        </w:tc>
        <w:tc>
          <w:tcPr>
            <w:tcW w:w="2126" w:type="dxa"/>
            <w:vAlign w:val="bottom"/>
          </w:tcPr>
          <w:p w14:paraId="6D7466D7"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7,5%</w:t>
            </w:r>
          </w:p>
        </w:tc>
        <w:tc>
          <w:tcPr>
            <w:tcW w:w="1473" w:type="dxa"/>
            <w:vAlign w:val="center"/>
          </w:tcPr>
          <w:p w14:paraId="259A24E4"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0,8</w:t>
            </w:r>
          </w:p>
        </w:tc>
      </w:tr>
      <w:tr w:rsidR="004B211A" w14:paraId="6C1CA31E"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325788A"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Navarra</w:t>
            </w:r>
          </w:p>
        </w:tc>
        <w:tc>
          <w:tcPr>
            <w:tcW w:w="2268" w:type="dxa"/>
            <w:vAlign w:val="bottom"/>
          </w:tcPr>
          <w:p w14:paraId="6F8E0299"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Pamplona / Iruña</w:t>
            </w:r>
          </w:p>
        </w:tc>
        <w:tc>
          <w:tcPr>
            <w:tcW w:w="1701" w:type="dxa"/>
            <w:vAlign w:val="bottom"/>
          </w:tcPr>
          <w:p w14:paraId="360697D3"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4,7%</w:t>
            </w:r>
          </w:p>
        </w:tc>
        <w:tc>
          <w:tcPr>
            <w:tcW w:w="2126" w:type="dxa"/>
            <w:vAlign w:val="bottom"/>
          </w:tcPr>
          <w:p w14:paraId="35FB5763"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w:t>
            </w:r>
          </w:p>
        </w:tc>
        <w:tc>
          <w:tcPr>
            <w:tcW w:w="1473" w:type="dxa"/>
            <w:vAlign w:val="center"/>
          </w:tcPr>
          <w:p w14:paraId="065453B9"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2,8</w:t>
            </w:r>
          </w:p>
        </w:tc>
      </w:tr>
      <w:tr w:rsidR="004B211A" w14:paraId="2B394428"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1AA979B"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268" w:type="dxa"/>
            <w:vAlign w:val="bottom"/>
          </w:tcPr>
          <w:p w14:paraId="2886E9C1"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Leganés</w:t>
            </w:r>
          </w:p>
        </w:tc>
        <w:tc>
          <w:tcPr>
            <w:tcW w:w="1701" w:type="dxa"/>
            <w:vAlign w:val="bottom"/>
          </w:tcPr>
          <w:p w14:paraId="5AC25FC9"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5,2%</w:t>
            </w:r>
          </w:p>
        </w:tc>
        <w:tc>
          <w:tcPr>
            <w:tcW w:w="2126" w:type="dxa"/>
            <w:vAlign w:val="bottom"/>
          </w:tcPr>
          <w:p w14:paraId="6DE19794"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w:t>
            </w:r>
          </w:p>
        </w:tc>
        <w:tc>
          <w:tcPr>
            <w:tcW w:w="1473" w:type="dxa"/>
            <w:vAlign w:val="center"/>
          </w:tcPr>
          <w:p w14:paraId="028108B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2,2</w:t>
            </w:r>
          </w:p>
        </w:tc>
      </w:tr>
      <w:tr w:rsidR="004B211A" w14:paraId="25FDB144"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EF871EC"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Valladolid</w:t>
            </w:r>
          </w:p>
        </w:tc>
        <w:tc>
          <w:tcPr>
            <w:tcW w:w="2268" w:type="dxa"/>
            <w:vAlign w:val="bottom"/>
          </w:tcPr>
          <w:p w14:paraId="2C374ED7"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Valladolid Capital</w:t>
            </w:r>
          </w:p>
        </w:tc>
        <w:tc>
          <w:tcPr>
            <w:tcW w:w="1701" w:type="dxa"/>
            <w:vAlign w:val="bottom"/>
          </w:tcPr>
          <w:p w14:paraId="60D85B5B"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5,5%</w:t>
            </w:r>
          </w:p>
        </w:tc>
        <w:tc>
          <w:tcPr>
            <w:tcW w:w="2126" w:type="dxa"/>
            <w:vAlign w:val="bottom"/>
          </w:tcPr>
          <w:p w14:paraId="6735965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w:t>
            </w:r>
          </w:p>
        </w:tc>
        <w:tc>
          <w:tcPr>
            <w:tcW w:w="1473" w:type="dxa"/>
            <w:vAlign w:val="center"/>
          </w:tcPr>
          <w:p w14:paraId="0DD45641"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1,9</w:t>
            </w:r>
          </w:p>
        </w:tc>
      </w:tr>
      <w:tr w:rsidR="004B211A" w14:paraId="3C2895F9"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0863348"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Zaragoza</w:t>
            </w:r>
          </w:p>
        </w:tc>
        <w:tc>
          <w:tcPr>
            <w:tcW w:w="2268" w:type="dxa"/>
            <w:vAlign w:val="bottom"/>
          </w:tcPr>
          <w:p w14:paraId="0769FFC4"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Zaragoza Capital</w:t>
            </w:r>
          </w:p>
        </w:tc>
        <w:tc>
          <w:tcPr>
            <w:tcW w:w="1701" w:type="dxa"/>
            <w:vAlign w:val="bottom"/>
          </w:tcPr>
          <w:p w14:paraId="0885B4E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6,1%</w:t>
            </w:r>
          </w:p>
        </w:tc>
        <w:tc>
          <w:tcPr>
            <w:tcW w:w="2126" w:type="dxa"/>
            <w:vAlign w:val="bottom"/>
          </w:tcPr>
          <w:p w14:paraId="0C7AE72E"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w:t>
            </w:r>
          </w:p>
        </w:tc>
        <w:tc>
          <w:tcPr>
            <w:tcW w:w="1473" w:type="dxa"/>
            <w:vAlign w:val="center"/>
          </w:tcPr>
          <w:p w14:paraId="62038595"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w:t>
            </w:r>
          </w:p>
        </w:tc>
      </w:tr>
      <w:tr w:rsidR="004B211A" w14:paraId="23AB5DE2"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C0E3A0F"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Alicante</w:t>
            </w:r>
          </w:p>
        </w:tc>
        <w:tc>
          <w:tcPr>
            <w:tcW w:w="2268" w:type="dxa"/>
            <w:vAlign w:val="bottom"/>
          </w:tcPr>
          <w:p w14:paraId="48D65207"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Alicante / Alacant</w:t>
            </w:r>
          </w:p>
        </w:tc>
        <w:tc>
          <w:tcPr>
            <w:tcW w:w="1701" w:type="dxa"/>
            <w:vAlign w:val="bottom"/>
          </w:tcPr>
          <w:p w14:paraId="6115A4B1"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6,3%</w:t>
            </w:r>
          </w:p>
        </w:tc>
        <w:tc>
          <w:tcPr>
            <w:tcW w:w="2126" w:type="dxa"/>
            <w:vAlign w:val="bottom"/>
          </w:tcPr>
          <w:p w14:paraId="165C0573"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7,1%</w:t>
            </w:r>
          </w:p>
        </w:tc>
        <w:tc>
          <w:tcPr>
            <w:tcW w:w="1473" w:type="dxa"/>
            <w:vAlign w:val="center"/>
          </w:tcPr>
          <w:p w14:paraId="6349DCE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0,8</w:t>
            </w:r>
          </w:p>
        </w:tc>
      </w:tr>
      <w:tr w:rsidR="004B211A" w14:paraId="010480E0"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03D7F26"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Córdoba</w:t>
            </w:r>
          </w:p>
        </w:tc>
        <w:tc>
          <w:tcPr>
            <w:tcW w:w="2268" w:type="dxa"/>
            <w:vAlign w:val="bottom"/>
          </w:tcPr>
          <w:p w14:paraId="52437253"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Córdoba Capital</w:t>
            </w:r>
          </w:p>
        </w:tc>
        <w:tc>
          <w:tcPr>
            <w:tcW w:w="1701" w:type="dxa"/>
            <w:vAlign w:val="bottom"/>
          </w:tcPr>
          <w:p w14:paraId="0085C9BA"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5,9%</w:t>
            </w:r>
          </w:p>
        </w:tc>
        <w:tc>
          <w:tcPr>
            <w:tcW w:w="2126" w:type="dxa"/>
            <w:vAlign w:val="bottom"/>
          </w:tcPr>
          <w:p w14:paraId="279891D4"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7,0%</w:t>
            </w:r>
          </w:p>
        </w:tc>
        <w:tc>
          <w:tcPr>
            <w:tcW w:w="1473" w:type="dxa"/>
            <w:vAlign w:val="center"/>
          </w:tcPr>
          <w:p w14:paraId="231F40C5"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w:t>
            </w:r>
          </w:p>
        </w:tc>
      </w:tr>
      <w:tr w:rsidR="004B211A" w14:paraId="068D5197"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4D0CF28"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268" w:type="dxa"/>
            <w:vAlign w:val="bottom"/>
          </w:tcPr>
          <w:p w14:paraId="79A7EF15"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Alcalá de Henares</w:t>
            </w:r>
          </w:p>
        </w:tc>
        <w:tc>
          <w:tcPr>
            <w:tcW w:w="1701" w:type="dxa"/>
            <w:vAlign w:val="bottom"/>
          </w:tcPr>
          <w:p w14:paraId="3A8BF982"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6,3%</w:t>
            </w:r>
          </w:p>
        </w:tc>
        <w:tc>
          <w:tcPr>
            <w:tcW w:w="2126" w:type="dxa"/>
            <w:vAlign w:val="bottom"/>
          </w:tcPr>
          <w:p w14:paraId="26EFB3E3"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6,9%</w:t>
            </w:r>
          </w:p>
        </w:tc>
        <w:tc>
          <w:tcPr>
            <w:tcW w:w="1473" w:type="dxa"/>
            <w:vAlign w:val="center"/>
          </w:tcPr>
          <w:p w14:paraId="54D4E621"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0,7</w:t>
            </w:r>
          </w:p>
        </w:tc>
      </w:tr>
      <w:tr w:rsidR="004B211A" w14:paraId="64288CE7"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67FB9E9"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Cádiz</w:t>
            </w:r>
          </w:p>
        </w:tc>
        <w:tc>
          <w:tcPr>
            <w:tcW w:w="2268" w:type="dxa"/>
            <w:vAlign w:val="bottom"/>
          </w:tcPr>
          <w:p w14:paraId="1D0C185B"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Cádiz Capital</w:t>
            </w:r>
          </w:p>
        </w:tc>
        <w:tc>
          <w:tcPr>
            <w:tcW w:w="1701" w:type="dxa"/>
            <w:vAlign w:val="bottom"/>
          </w:tcPr>
          <w:p w14:paraId="740F2682"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4,5%</w:t>
            </w:r>
          </w:p>
        </w:tc>
        <w:tc>
          <w:tcPr>
            <w:tcW w:w="2126" w:type="dxa"/>
            <w:vAlign w:val="bottom"/>
          </w:tcPr>
          <w:p w14:paraId="04454610"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6,8%</w:t>
            </w:r>
          </w:p>
        </w:tc>
        <w:tc>
          <w:tcPr>
            <w:tcW w:w="1473" w:type="dxa"/>
            <w:vAlign w:val="center"/>
          </w:tcPr>
          <w:p w14:paraId="709D789A"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2,3</w:t>
            </w:r>
          </w:p>
        </w:tc>
      </w:tr>
      <w:tr w:rsidR="004B211A" w14:paraId="09D939CC"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2B2558F"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Asturias</w:t>
            </w:r>
          </w:p>
        </w:tc>
        <w:tc>
          <w:tcPr>
            <w:tcW w:w="2268" w:type="dxa"/>
            <w:vAlign w:val="bottom"/>
          </w:tcPr>
          <w:p w14:paraId="0E89080C"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Oviedo</w:t>
            </w:r>
          </w:p>
        </w:tc>
        <w:tc>
          <w:tcPr>
            <w:tcW w:w="1701" w:type="dxa"/>
            <w:vAlign w:val="bottom"/>
          </w:tcPr>
          <w:p w14:paraId="3A067793"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5,9%</w:t>
            </w:r>
          </w:p>
        </w:tc>
        <w:tc>
          <w:tcPr>
            <w:tcW w:w="2126" w:type="dxa"/>
            <w:vAlign w:val="bottom"/>
          </w:tcPr>
          <w:p w14:paraId="25260A43"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6,8%</w:t>
            </w:r>
          </w:p>
        </w:tc>
        <w:tc>
          <w:tcPr>
            <w:tcW w:w="1473" w:type="dxa"/>
            <w:vAlign w:val="center"/>
          </w:tcPr>
          <w:p w14:paraId="3F64673C"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0,9</w:t>
            </w:r>
          </w:p>
        </w:tc>
      </w:tr>
      <w:tr w:rsidR="004B211A" w14:paraId="7299B836"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D8B0825"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Burgos</w:t>
            </w:r>
          </w:p>
        </w:tc>
        <w:tc>
          <w:tcPr>
            <w:tcW w:w="2268" w:type="dxa"/>
            <w:vAlign w:val="bottom"/>
          </w:tcPr>
          <w:p w14:paraId="09C466C2"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Burgos Capital</w:t>
            </w:r>
          </w:p>
        </w:tc>
        <w:tc>
          <w:tcPr>
            <w:tcW w:w="1701" w:type="dxa"/>
            <w:vAlign w:val="bottom"/>
          </w:tcPr>
          <w:p w14:paraId="4EA6E8E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5,9%</w:t>
            </w:r>
          </w:p>
        </w:tc>
        <w:tc>
          <w:tcPr>
            <w:tcW w:w="2126" w:type="dxa"/>
            <w:vAlign w:val="bottom"/>
          </w:tcPr>
          <w:p w14:paraId="7442E519"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6,7%</w:t>
            </w:r>
          </w:p>
        </w:tc>
        <w:tc>
          <w:tcPr>
            <w:tcW w:w="1473" w:type="dxa"/>
            <w:vAlign w:val="center"/>
          </w:tcPr>
          <w:p w14:paraId="455BECD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0,8</w:t>
            </w:r>
          </w:p>
        </w:tc>
      </w:tr>
      <w:tr w:rsidR="004B211A" w14:paraId="3D651816"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E3CF418"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Las Palmas</w:t>
            </w:r>
          </w:p>
        </w:tc>
        <w:tc>
          <w:tcPr>
            <w:tcW w:w="2268" w:type="dxa"/>
            <w:vAlign w:val="bottom"/>
          </w:tcPr>
          <w:p w14:paraId="536CF597"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Las Palmas de Gran Canaria</w:t>
            </w:r>
          </w:p>
        </w:tc>
        <w:tc>
          <w:tcPr>
            <w:tcW w:w="1701" w:type="dxa"/>
            <w:vAlign w:val="bottom"/>
          </w:tcPr>
          <w:p w14:paraId="16167687"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2126" w:type="dxa"/>
            <w:vAlign w:val="bottom"/>
          </w:tcPr>
          <w:p w14:paraId="76CDD642"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6,7%</w:t>
            </w:r>
          </w:p>
        </w:tc>
        <w:tc>
          <w:tcPr>
            <w:tcW w:w="1473" w:type="dxa"/>
            <w:vAlign w:val="center"/>
          </w:tcPr>
          <w:p w14:paraId="51A18B2D"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0,4</w:t>
            </w:r>
          </w:p>
        </w:tc>
      </w:tr>
      <w:tr w:rsidR="004B211A" w14:paraId="5E724DC9"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A59DC8E"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268" w:type="dxa"/>
            <w:vAlign w:val="bottom"/>
          </w:tcPr>
          <w:p w14:paraId="146F2841"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Valencia Capital</w:t>
            </w:r>
          </w:p>
        </w:tc>
        <w:tc>
          <w:tcPr>
            <w:tcW w:w="1701" w:type="dxa"/>
            <w:vAlign w:val="bottom"/>
          </w:tcPr>
          <w:p w14:paraId="0767F1FA"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5,9%</w:t>
            </w:r>
          </w:p>
        </w:tc>
        <w:tc>
          <w:tcPr>
            <w:tcW w:w="2126" w:type="dxa"/>
            <w:vAlign w:val="bottom"/>
          </w:tcPr>
          <w:p w14:paraId="39BAA550"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6,6%</w:t>
            </w:r>
          </w:p>
        </w:tc>
        <w:tc>
          <w:tcPr>
            <w:tcW w:w="1473" w:type="dxa"/>
            <w:vAlign w:val="center"/>
          </w:tcPr>
          <w:p w14:paraId="4864CF52"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0,7</w:t>
            </w:r>
          </w:p>
        </w:tc>
      </w:tr>
      <w:tr w:rsidR="004B211A" w14:paraId="5D779BB0"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21EFF6B"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Pontevedra</w:t>
            </w:r>
          </w:p>
        </w:tc>
        <w:tc>
          <w:tcPr>
            <w:tcW w:w="2268" w:type="dxa"/>
            <w:vAlign w:val="bottom"/>
          </w:tcPr>
          <w:p w14:paraId="5A399F2F"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Vigo</w:t>
            </w:r>
          </w:p>
        </w:tc>
        <w:tc>
          <w:tcPr>
            <w:tcW w:w="1701" w:type="dxa"/>
            <w:vAlign w:val="bottom"/>
          </w:tcPr>
          <w:p w14:paraId="6F9CBCD1"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4,4%</w:t>
            </w:r>
          </w:p>
        </w:tc>
        <w:tc>
          <w:tcPr>
            <w:tcW w:w="2126" w:type="dxa"/>
            <w:vAlign w:val="bottom"/>
          </w:tcPr>
          <w:p w14:paraId="6B048998"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1473" w:type="dxa"/>
            <w:vAlign w:val="center"/>
          </w:tcPr>
          <w:p w14:paraId="281F8D2C"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w:t>
            </w:r>
          </w:p>
        </w:tc>
      </w:tr>
      <w:tr w:rsidR="004B211A" w14:paraId="4C8D87A6"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09C8C73"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Illes Balears</w:t>
            </w:r>
          </w:p>
        </w:tc>
        <w:tc>
          <w:tcPr>
            <w:tcW w:w="2268" w:type="dxa"/>
            <w:vAlign w:val="bottom"/>
          </w:tcPr>
          <w:p w14:paraId="20C4E5A1"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Palma de Mallorca</w:t>
            </w:r>
          </w:p>
        </w:tc>
        <w:tc>
          <w:tcPr>
            <w:tcW w:w="1701" w:type="dxa"/>
            <w:vAlign w:val="bottom"/>
          </w:tcPr>
          <w:p w14:paraId="3CAA20C3"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4,6%</w:t>
            </w:r>
          </w:p>
        </w:tc>
        <w:tc>
          <w:tcPr>
            <w:tcW w:w="2126" w:type="dxa"/>
            <w:vAlign w:val="bottom"/>
          </w:tcPr>
          <w:p w14:paraId="65B7B96C"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6,0%</w:t>
            </w:r>
          </w:p>
        </w:tc>
        <w:tc>
          <w:tcPr>
            <w:tcW w:w="1473" w:type="dxa"/>
            <w:vAlign w:val="center"/>
          </w:tcPr>
          <w:p w14:paraId="5451433E"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w:t>
            </w:r>
          </w:p>
        </w:tc>
      </w:tr>
      <w:tr w:rsidR="004B211A" w14:paraId="29C80DDD"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C99DB3F"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268" w:type="dxa"/>
            <w:vAlign w:val="bottom"/>
          </w:tcPr>
          <w:p w14:paraId="657CE7F6"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Barcelona Capital</w:t>
            </w:r>
          </w:p>
        </w:tc>
        <w:tc>
          <w:tcPr>
            <w:tcW w:w="1701" w:type="dxa"/>
            <w:vAlign w:val="bottom"/>
          </w:tcPr>
          <w:p w14:paraId="03DBADC0"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5,5%</w:t>
            </w:r>
          </w:p>
        </w:tc>
        <w:tc>
          <w:tcPr>
            <w:tcW w:w="2126" w:type="dxa"/>
            <w:vAlign w:val="bottom"/>
          </w:tcPr>
          <w:p w14:paraId="1DA54903"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6,0%</w:t>
            </w:r>
          </w:p>
        </w:tc>
        <w:tc>
          <w:tcPr>
            <w:tcW w:w="1473" w:type="dxa"/>
            <w:vAlign w:val="center"/>
          </w:tcPr>
          <w:p w14:paraId="68EEBCA6"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0,5</w:t>
            </w:r>
          </w:p>
        </w:tc>
      </w:tr>
      <w:tr w:rsidR="004B211A" w14:paraId="66326BA8"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AC89DCA"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Málaga</w:t>
            </w:r>
          </w:p>
        </w:tc>
        <w:tc>
          <w:tcPr>
            <w:tcW w:w="2268" w:type="dxa"/>
            <w:vAlign w:val="bottom"/>
          </w:tcPr>
          <w:p w14:paraId="7D5A4BA9"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Málaga Capital</w:t>
            </w:r>
          </w:p>
        </w:tc>
        <w:tc>
          <w:tcPr>
            <w:tcW w:w="1701" w:type="dxa"/>
            <w:vAlign w:val="bottom"/>
          </w:tcPr>
          <w:p w14:paraId="0C15873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4,6%</w:t>
            </w:r>
          </w:p>
        </w:tc>
        <w:tc>
          <w:tcPr>
            <w:tcW w:w="2126" w:type="dxa"/>
            <w:vAlign w:val="bottom"/>
          </w:tcPr>
          <w:p w14:paraId="30F0DCFD"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473" w:type="dxa"/>
            <w:vAlign w:val="center"/>
          </w:tcPr>
          <w:p w14:paraId="235A9C7F"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w:t>
            </w:r>
          </w:p>
        </w:tc>
      </w:tr>
      <w:tr w:rsidR="004B211A" w14:paraId="5E6D12B3"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758FCB9"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2268" w:type="dxa"/>
            <w:vAlign w:val="bottom"/>
          </w:tcPr>
          <w:p w14:paraId="6BE4263D"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Santander</w:t>
            </w:r>
          </w:p>
        </w:tc>
        <w:tc>
          <w:tcPr>
            <w:tcW w:w="1701" w:type="dxa"/>
            <w:vAlign w:val="bottom"/>
          </w:tcPr>
          <w:p w14:paraId="2A9BD49E"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4,8%</w:t>
            </w:r>
          </w:p>
        </w:tc>
        <w:tc>
          <w:tcPr>
            <w:tcW w:w="2126" w:type="dxa"/>
            <w:vAlign w:val="bottom"/>
          </w:tcPr>
          <w:p w14:paraId="37387EF3"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473" w:type="dxa"/>
            <w:vAlign w:val="center"/>
          </w:tcPr>
          <w:p w14:paraId="0D6B0A0B"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0,9</w:t>
            </w:r>
          </w:p>
        </w:tc>
      </w:tr>
      <w:tr w:rsidR="004B211A" w14:paraId="6A546AB9"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9733A8A"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Salamanca</w:t>
            </w:r>
          </w:p>
        </w:tc>
        <w:tc>
          <w:tcPr>
            <w:tcW w:w="2268" w:type="dxa"/>
            <w:vAlign w:val="bottom"/>
          </w:tcPr>
          <w:p w14:paraId="74998DFB"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Salamanca Capital</w:t>
            </w:r>
          </w:p>
        </w:tc>
        <w:tc>
          <w:tcPr>
            <w:tcW w:w="1701" w:type="dxa"/>
            <w:vAlign w:val="bottom"/>
          </w:tcPr>
          <w:p w14:paraId="41E8CBD2"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5,3%</w:t>
            </w:r>
          </w:p>
        </w:tc>
        <w:tc>
          <w:tcPr>
            <w:tcW w:w="2126" w:type="dxa"/>
            <w:vAlign w:val="bottom"/>
          </w:tcPr>
          <w:p w14:paraId="1AE01806"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473" w:type="dxa"/>
            <w:vAlign w:val="center"/>
          </w:tcPr>
          <w:p w14:paraId="220664C4"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0,4</w:t>
            </w:r>
          </w:p>
        </w:tc>
      </w:tr>
      <w:tr w:rsidR="004B211A" w14:paraId="1844F795" w14:textId="77777777" w:rsidTr="004B211A">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38F2BE6"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Granada</w:t>
            </w:r>
          </w:p>
        </w:tc>
        <w:tc>
          <w:tcPr>
            <w:tcW w:w="2268" w:type="dxa"/>
            <w:vAlign w:val="bottom"/>
          </w:tcPr>
          <w:p w14:paraId="6693F796" w14:textId="77777777" w:rsidR="004B211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Granada Capital</w:t>
            </w:r>
          </w:p>
        </w:tc>
        <w:tc>
          <w:tcPr>
            <w:tcW w:w="1701" w:type="dxa"/>
            <w:vAlign w:val="bottom"/>
          </w:tcPr>
          <w:p w14:paraId="558E17F2"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4,5%</w:t>
            </w:r>
          </w:p>
        </w:tc>
        <w:tc>
          <w:tcPr>
            <w:tcW w:w="2126" w:type="dxa"/>
            <w:vAlign w:val="bottom"/>
          </w:tcPr>
          <w:p w14:paraId="473992AE"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5,7%</w:t>
            </w:r>
          </w:p>
        </w:tc>
        <w:tc>
          <w:tcPr>
            <w:tcW w:w="1473" w:type="dxa"/>
            <w:vAlign w:val="center"/>
          </w:tcPr>
          <w:p w14:paraId="06BCE90B" w14:textId="77777777" w:rsidR="004B211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w:t>
            </w:r>
          </w:p>
        </w:tc>
      </w:tr>
      <w:tr w:rsidR="004B211A" w14:paraId="7EBD03B8" w14:textId="77777777" w:rsidTr="004B21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8DAC587" w14:textId="77777777" w:rsidR="004B211A"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268" w:type="dxa"/>
            <w:vAlign w:val="bottom"/>
          </w:tcPr>
          <w:p w14:paraId="6BD8A0EF" w14:textId="77777777" w:rsidR="004B211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Madrid Capital</w:t>
            </w:r>
          </w:p>
        </w:tc>
        <w:tc>
          <w:tcPr>
            <w:tcW w:w="1701" w:type="dxa"/>
            <w:vAlign w:val="bottom"/>
          </w:tcPr>
          <w:p w14:paraId="70A2E94E"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4,7%</w:t>
            </w:r>
          </w:p>
        </w:tc>
        <w:tc>
          <w:tcPr>
            <w:tcW w:w="2126" w:type="dxa"/>
            <w:vAlign w:val="bottom"/>
          </w:tcPr>
          <w:p w14:paraId="34DD5889"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5,0%</w:t>
            </w:r>
          </w:p>
        </w:tc>
        <w:tc>
          <w:tcPr>
            <w:tcW w:w="1473" w:type="dxa"/>
            <w:vAlign w:val="center"/>
          </w:tcPr>
          <w:p w14:paraId="2A9A5BB5" w14:textId="77777777" w:rsidR="004B211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0,3</w:t>
            </w:r>
          </w:p>
        </w:tc>
      </w:tr>
    </w:tbl>
    <w:p w14:paraId="3444A94C" w14:textId="77777777" w:rsidR="004B211A" w:rsidRDefault="004B211A">
      <w:pPr>
        <w:spacing w:line="276" w:lineRule="auto"/>
        <w:ind w:right="-716"/>
        <w:jc w:val="right"/>
        <w:rPr>
          <w:rFonts w:ascii="Open Sans Light" w:eastAsia="Open Sans Light" w:hAnsi="Open Sans Light" w:cs="Open Sans Light"/>
          <w:b/>
          <w:color w:val="303AB2"/>
        </w:rPr>
      </w:pPr>
    </w:p>
    <w:p w14:paraId="29D52F2F" w14:textId="77777777" w:rsidR="00B83741" w:rsidRDefault="00B83741">
      <w:pPr>
        <w:spacing w:line="276" w:lineRule="auto"/>
        <w:ind w:right="-716"/>
        <w:jc w:val="right"/>
        <w:rPr>
          <w:rFonts w:ascii="Open Sans Light" w:eastAsia="Open Sans Light" w:hAnsi="Open Sans Light" w:cs="Open Sans Light"/>
          <w:b/>
          <w:color w:val="303AB2"/>
        </w:rPr>
      </w:pPr>
    </w:p>
    <w:p w14:paraId="491FA166" w14:textId="0E388864" w:rsidR="004B211A"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D7FA942" w14:textId="77777777" w:rsidR="004B211A"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3" w:name="_heading=h.2s8eyo1" w:colFirst="0" w:colLast="0"/>
    <w:bookmarkEnd w:id="3"/>
    <w:p w14:paraId="058D35B4" w14:textId="77777777" w:rsidR="004B211A"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1551DD03" w14:textId="77777777" w:rsidR="004B211A" w:rsidRDefault="00000000">
      <w:pPr>
        <w:shd w:val="clear" w:color="auto" w:fill="FFFFFF"/>
        <w:spacing w:before="280" w:after="280" w:line="276" w:lineRule="auto"/>
        <w:ind w:right="-716"/>
        <w:jc w:val="both"/>
        <w:rPr>
          <w:rFonts w:ascii="Open Sans" w:eastAsia="Open Sans" w:hAnsi="Open Sans" w:cs="Open Sans"/>
          <w:color w:val="000000"/>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2F3A6181" w14:textId="77777777" w:rsidR="00B83741" w:rsidRDefault="00B83741">
      <w:pPr>
        <w:spacing w:line="276" w:lineRule="auto"/>
        <w:ind w:right="-716"/>
        <w:jc w:val="right"/>
        <w:rPr>
          <w:rFonts w:ascii="Open Sans Light" w:eastAsia="Open Sans Light" w:hAnsi="Open Sans Light" w:cs="Open Sans Light"/>
          <w:b/>
          <w:color w:val="303AB2"/>
        </w:rPr>
      </w:pPr>
    </w:p>
    <w:p w14:paraId="00986C6C" w14:textId="727FE328" w:rsidR="004B211A"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728424C7" w14:textId="77777777" w:rsidR="004B211A" w:rsidRDefault="00000000">
      <w:pPr>
        <w:spacing w:before="143" w:after="200"/>
        <w:ind w:right="-716"/>
        <w:jc w:val="both"/>
        <w:rPr>
          <w:rFonts w:ascii="Open Sans" w:eastAsia="Open Sans" w:hAnsi="Open Sans" w:cs="Open Sans"/>
        </w:rPr>
      </w:pPr>
      <w:r>
        <w:rPr>
          <w:rFonts w:ascii="Open Sans" w:eastAsia="Open Sans" w:hAnsi="Open Sans" w:cs="Open Sans"/>
          <w:sz w:val="22"/>
          <w:szCs w:val="22"/>
        </w:rPr>
        <w:lastRenderedPageBreak/>
        <w:t>Adevinta Spain es una compañía líder en marketplaces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283D350" w14:textId="77777777" w:rsidR="004B211A"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64E9488" w14:textId="77777777" w:rsidR="004B211A"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2FA4F189" w14:textId="77777777" w:rsidR="004B211A"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65D2DD39" w14:textId="77777777" w:rsidR="004B211A" w:rsidRDefault="004B211A">
      <w:pPr>
        <w:spacing w:after="160"/>
        <w:ind w:right="-716"/>
        <w:jc w:val="both"/>
        <w:rPr>
          <w:rFonts w:ascii="Open Sans" w:eastAsia="Open Sans" w:hAnsi="Open Sans" w:cs="Open Sans"/>
        </w:rPr>
      </w:pPr>
    </w:p>
    <w:p w14:paraId="657DC658" w14:textId="77777777" w:rsidR="004B211A"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52F1ABA" w14:textId="77777777" w:rsidR="004B211A"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B21159C" w14:textId="77777777" w:rsidR="004B211A" w:rsidRDefault="00000000">
      <w:pPr>
        <w:shd w:val="clear" w:color="auto" w:fill="FFFFFF"/>
        <w:spacing w:line="276" w:lineRule="auto"/>
        <w:ind w:right="-716"/>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5F46B273" w14:textId="77777777" w:rsidR="004B211A"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638C922" w14:textId="77777777" w:rsidR="004B211A" w:rsidRDefault="004B211A">
      <w:pPr>
        <w:spacing w:line="276" w:lineRule="auto"/>
        <w:ind w:right="-716"/>
        <w:rPr>
          <w:rFonts w:ascii="Open Sans Light" w:eastAsia="Open Sans Light" w:hAnsi="Open Sans Light" w:cs="Open Sans Light"/>
          <w:b/>
          <w:color w:val="303AB2"/>
          <w:sz w:val="22"/>
          <w:szCs w:val="22"/>
        </w:rPr>
      </w:pPr>
    </w:p>
    <w:p w14:paraId="3B88F1A6" w14:textId="77777777" w:rsidR="004B211A" w:rsidRDefault="004B211A">
      <w:pPr>
        <w:spacing w:line="276" w:lineRule="auto"/>
        <w:ind w:right="-716"/>
        <w:rPr>
          <w:rFonts w:ascii="Open Sans Light" w:eastAsia="Open Sans Light" w:hAnsi="Open Sans Light" w:cs="Open Sans Light"/>
          <w:b/>
          <w:color w:val="303AB2"/>
          <w:sz w:val="22"/>
          <w:szCs w:val="22"/>
        </w:rPr>
      </w:pPr>
    </w:p>
    <w:p w14:paraId="0FAB2E0C" w14:textId="77777777" w:rsidR="004B211A"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5123370" w14:textId="77777777" w:rsidR="004B211A" w:rsidRDefault="00000000">
      <w:pPr>
        <w:shd w:val="clear" w:color="auto" w:fill="FFFFFF"/>
        <w:ind w:right="-716"/>
        <w:rPr>
          <w:rFonts w:ascii="Arial" w:eastAsia="Arial" w:hAnsi="Arial" w:cs="Arial"/>
          <w:color w:val="222222"/>
          <w:sz w:val="22"/>
          <w:szCs w:val="22"/>
        </w:rPr>
      </w:pP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164C288E" w14:textId="77777777" w:rsidR="004B211A" w:rsidRDefault="00000000">
      <w:pPr>
        <w:shd w:val="clear" w:color="auto" w:fill="FFFFFF"/>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Fanny Merino</w:t>
      </w:r>
    </w:p>
    <w:p w14:paraId="02BC9366" w14:textId="77777777" w:rsidR="004B211A" w:rsidRDefault="00000000">
      <w:pPr>
        <w:shd w:val="clear" w:color="auto" w:fill="FFFFFF"/>
        <w:ind w:right="-716"/>
        <w:rPr>
          <w:rFonts w:ascii="Open Sans" w:eastAsia="Open Sans" w:hAnsi="Open Sans" w:cs="Open Sans"/>
          <w:b/>
          <w:color w:val="000000"/>
          <w:sz w:val="22"/>
          <w:szCs w:val="22"/>
        </w:rPr>
      </w:pPr>
      <w:hyperlink r:id="rId26">
        <w:r>
          <w:rPr>
            <w:rFonts w:ascii="Open Sans" w:eastAsia="Open Sans" w:hAnsi="Open Sans" w:cs="Open Sans"/>
            <w:color w:val="0000FF"/>
            <w:sz w:val="22"/>
            <w:szCs w:val="22"/>
            <w:u w:val="single"/>
          </w:rPr>
          <w:t>emerino@llorenteycuenca.com</w:t>
        </w:r>
      </w:hyperlink>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176F724B" w14:textId="77777777" w:rsidR="004B211A" w:rsidRDefault="00000000">
      <w:pPr>
        <w:shd w:val="clear" w:color="auto" w:fill="FFFFFF"/>
        <w:ind w:right="-716"/>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2980709B" w14:textId="77777777" w:rsidR="004B211A" w:rsidRDefault="004B211A">
      <w:pPr>
        <w:shd w:val="clear" w:color="auto" w:fill="FFFFFF"/>
        <w:ind w:right="-716"/>
        <w:rPr>
          <w:rFonts w:ascii="Open Sans" w:eastAsia="Open Sans" w:hAnsi="Open Sans" w:cs="Open Sans"/>
          <w:color w:val="000000"/>
          <w:sz w:val="22"/>
          <w:szCs w:val="22"/>
        </w:rPr>
      </w:pPr>
    </w:p>
    <w:p w14:paraId="3F6CAE1E" w14:textId="77777777" w:rsidR="004B211A" w:rsidRDefault="004B211A">
      <w:pPr>
        <w:spacing w:line="276" w:lineRule="auto"/>
        <w:ind w:right="-574"/>
        <w:jc w:val="right"/>
        <w:rPr>
          <w:rFonts w:ascii="Open Sans" w:eastAsia="Open Sans" w:hAnsi="Open Sans" w:cs="Open Sans"/>
          <w:color w:val="000000"/>
          <w:sz w:val="21"/>
          <w:szCs w:val="21"/>
        </w:rPr>
      </w:pPr>
    </w:p>
    <w:sectPr w:rsidR="004B211A">
      <w:footerReference w:type="default" r:id="rId27"/>
      <w:pgSz w:w="11900" w:h="16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F5E86" w14:textId="77777777" w:rsidR="00567D04" w:rsidRDefault="00567D04">
      <w:r>
        <w:separator/>
      </w:r>
    </w:p>
  </w:endnote>
  <w:endnote w:type="continuationSeparator" w:id="0">
    <w:p w14:paraId="3541AF2B" w14:textId="77777777" w:rsidR="00567D04" w:rsidRDefault="0056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ACA00AA-F31F-4F04-81E6-4B76FE1FBAC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45C17BF-E227-45A7-A904-7AB4A59FF231}"/>
    <w:embedBold r:id="rId3" w:fontKey="{B9653CCA-62E2-4759-B739-6F5F7D8197B3}"/>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D10CE30D-2555-484C-A498-15E2A85FAE0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E16CD64-EBAC-4103-B1C5-A1D7BF824019}"/>
    <w:embedItalic r:id="rId6" w:fontKey="{57E2DA18-E5D8-451E-A803-C4704CCCF44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C71D5A1-CF5E-4B06-82BE-73C5301869FB}"/>
    <w:embedBold r:id="rId8" w:fontKey="{24628C41-A4F5-426C-A2DC-656193EBBFF3}"/>
    <w:embedBoldItalic r:id="rId9" w:fontKey="{34D366C2-83E7-4BF8-9B76-1394BC4C639E}"/>
  </w:font>
  <w:font w:name="Open Sans Light">
    <w:charset w:val="00"/>
    <w:family w:val="swiss"/>
    <w:pitch w:val="variable"/>
    <w:sig w:usb0="E00002EF" w:usb1="4000205B" w:usb2="00000028" w:usb3="00000000" w:csb0="0000019F" w:csb1="00000000"/>
    <w:embedRegular r:id="rId10" w:fontKey="{F1435B84-3FA9-4ED6-9043-E32422771D29}"/>
    <w:embedBold r:id="rId11" w:fontKey="{F532F1D1-734F-494B-8A14-4B7EE6DCD182}"/>
  </w:font>
  <w:font w:name="Calibri Light">
    <w:panose1 w:val="020F0302020204030204"/>
    <w:charset w:val="00"/>
    <w:family w:val="swiss"/>
    <w:pitch w:val="variable"/>
    <w:sig w:usb0="E4002EFF" w:usb1="C000247B" w:usb2="00000009" w:usb3="00000000" w:csb0="000001FF" w:csb1="00000000"/>
    <w:embedRegular r:id="rId12" w:fontKey="{117B4BC5-C5A2-4C34-B5D6-E363374807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1DDEF" w14:textId="77777777" w:rsidR="004B211A" w:rsidRDefault="00000000">
    <w:pPr>
      <w:pBdr>
        <w:top w:val="nil"/>
        <w:left w:val="nil"/>
        <w:bottom w:val="nil"/>
        <w:right w:val="nil"/>
        <w:between w:val="nil"/>
      </w:pBdr>
      <w:tabs>
        <w:tab w:val="center" w:pos="4252"/>
        <w:tab w:val="right" w:pos="8504"/>
      </w:tabs>
      <w:jc w:val="right"/>
      <w:rPr>
        <w:color w:val="000000"/>
      </w:rPr>
    </w:pPr>
    <w:r>
      <w:rPr>
        <w:color w:val="4472C4"/>
        <w:sz w:val="20"/>
        <w:szCs w:val="20"/>
      </w:rPr>
      <w:t xml:space="preserve">pág. </w:t>
    </w:r>
    <w:r>
      <w:rPr>
        <w:color w:val="4472C4"/>
        <w:sz w:val="20"/>
        <w:szCs w:val="20"/>
      </w:rPr>
      <w:fldChar w:fldCharType="begin"/>
    </w:r>
    <w:r>
      <w:rPr>
        <w:color w:val="4472C4"/>
        <w:sz w:val="20"/>
        <w:szCs w:val="20"/>
      </w:rPr>
      <w:instrText>PAGE</w:instrText>
    </w:r>
    <w:r>
      <w:rPr>
        <w:color w:val="4472C4"/>
        <w:sz w:val="20"/>
        <w:szCs w:val="20"/>
      </w:rPr>
      <w:fldChar w:fldCharType="separate"/>
    </w:r>
    <w:r w:rsidR="00B83741">
      <w:rPr>
        <w:noProof/>
        <w:color w:val="4472C4"/>
        <w:sz w:val="20"/>
        <w:szCs w:val="20"/>
      </w:rPr>
      <w:t>1</w:t>
    </w:r>
    <w:r>
      <w:rPr>
        <w:color w:val="4472C4"/>
        <w:sz w:val="20"/>
        <w:szCs w:val="20"/>
      </w:rPr>
      <w:fldChar w:fldCharType="end"/>
    </w:r>
  </w:p>
  <w:p w14:paraId="58CBE786" w14:textId="77777777" w:rsidR="004B211A" w:rsidRDefault="004B211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77A7C" w14:textId="77777777" w:rsidR="00567D04" w:rsidRDefault="00567D04">
      <w:r>
        <w:separator/>
      </w:r>
    </w:p>
  </w:footnote>
  <w:footnote w:type="continuationSeparator" w:id="0">
    <w:p w14:paraId="38AA9200" w14:textId="77777777" w:rsidR="00567D04" w:rsidRDefault="00567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C15DE4"/>
    <w:multiLevelType w:val="multilevel"/>
    <w:tmpl w:val="63ECA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4825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11A"/>
    <w:rsid w:val="0029258E"/>
    <w:rsid w:val="004B211A"/>
    <w:rsid w:val="00567D04"/>
    <w:rsid w:val="00957C95"/>
    <w:rsid w:val="00B83741"/>
    <w:rsid w:val="00BF35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BBA2"/>
  <w15:docId w15:val="{BF5E9B8F-4854-4E3F-A841-BF790674B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65"/>
    <w:rPr>
      <w:lang w:val="es-ES_tradnl"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Refdecomentario">
    <w:name w:val="annotation reference"/>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link w:val="Textocomentario"/>
    <w:uiPriority w:val="99"/>
    <w:semiHidden/>
    <w:rsid w:val="00964BED"/>
    <w:rPr>
      <w:sz w:val="20"/>
      <w:szCs w:val="20"/>
    </w:rPr>
  </w:style>
  <w:style w:type="character" w:styleId="Mencinsinresolver">
    <w:name w:val="Unresolved Mention"/>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eastAsia="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o">
    <w:name w:val="Texto"/>
    <w:basedOn w:val="Normal"/>
    <w:uiPriority w:val="99"/>
    <w:rsid w:val="0014415E"/>
    <w:rPr>
      <w:rFonts w:ascii="Gill Sans MT" w:eastAsia="Times New Roman" w:hAnsi="Gill Sans MT" w:cs="Arial"/>
      <w:sz w:val="22"/>
      <w:szCs w:val="22"/>
      <w:lang w:val="pt-BR" w:eastAsia="es-ES"/>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eastAsia="es-ES"/>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E34DF1"/>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01-SCHIBSTED\04-ESTUDIO%20NdP\RENTABILIDAD\PISO%20COMPARTIDO\SEPTIEMBRE%202024\PRENSA%20RENTABILIDAD%20COMPARTIR%20sep%202024%20o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Mi%20unidad\01-SCHIBSTED\04-ESTUDIO%20NdP\RENTABILIDAD\PISO%20COMPARTIDO\SEPTIEMBRE%202024\PRENSA%20RENTABILIDAD%20COMPARTIR%20sep%202024%20o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Tabla!$F$5</c:f>
              <c:strCache>
                <c:ptCount val="1"/>
                <c:pt idx="0">
                  <c:v>Rentabilidad vivienda 80 metros</c:v>
                </c:pt>
              </c:strCache>
            </c:strRef>
          </c:tx>
          <c:spPr>
            <a:ln w="22225" cap="rnd" cmpd="sng" algn="ctr">
              <a:solidFill>
                <a:schemeClr val="accent1"/>
              </a:solidFill>
              <a:round/>
            </a:ln>
            <a:effectLst/>
          </c:spPr>
          <c:marker>
            <c:symbol val="none"/>
          </c:marker>
          <c:dLbls>
            <c:dLbl>
              <c:idx val="0"/>
              <c:layout>
                <c:manualLayout>
                  <c:x val="-3.8364936150162156E-2"/>
                  <c:y val="5.1387461459403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A3-441A-8AA7-882BA53B2CE2}"/>
                </c:ext>
              </c:extLst>
            </c:dLbl>
            <c:dLbl>
              <c:idx val="1"/>
              <c:layout>
                <c:manualLayout>
                  <c:x val="-3.8364936150162197E-2"/>
                  <c:y val="4.1109969167523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A3-441A-8AA7-882BA53B2CE2}"/>
                </c:ext>
              </c:extLst>
            </c:dLbl>
            <c:dLbl>
              <c:idx val="2"/>
              <c:layout>
                <c:manualLayout>
                  <c:x val="-3.8364936150162156E-2"/>
                  <c:y val="3.0832476875642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A3-441A-8AA7-882BA53B2CE2}"/>
                </c:ext>
              </c:extLst>
            </c:dLbl>
            <c:dLbl>
              <c:idx val="3"/>
              <c:layout>
                <c:manualLayout>
                  <c:x val="-3.8364936150162114E-2"/>
                  <c:y val="5.1387461459403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A3-441A-8AA7-882BA53B2CE2}"/>
                </c:ext>
              </c:extLst>
            </c:dLbl>
            <c:dLbl>
              <c:idx val="4"/>
              <c:layout>
                <c:manualLayout>
                  <c:x val="-4.3040017964093902E-2"/>
                  <c:y val="5.1387461459403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A3-441A-8AA7-882BA53B2CE2}"/>
                </c:ext>
              </c:extLst>
            </c:dLbl>
            <c:dLbl>
              <c:idx val="5"/>
              <c:layout>
                <c:manualLayout>
                  <c:x val="-4.0702477057128025E-2"/>
                  <c:y val="5.1387461459403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A3-441A-8AA7-882BA53B2CE2}"/>
                </c:ext>
              </c:extLst>
            </c:dLbl>
            <c:dLbl>
              <c:idx val="6"/>
              <c:layout>
                <c:manualLayout>
                  <c:x val="-3.602739524319637E-2"/>
                  <c:y val="4.1109969167523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A3-441A-8AA7-882BA53B2CE2}"/>
                </c:ext>
              </c:extLst>
            </c:dLbl>
            <c:dLbl>
              <c:idx val="7"/>
              <c:layout>
                <c:manualLayout>
                  <c:x val="-4.0702477057128116E-2"/>
                  <c:y val="4.1109969167523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A3-441A-8AA7-882BA53B2CE2}"/>
                </c:ext>
              </c:extLst>
            </c:dLbl>
            <c:dLbl>
              <c:idx val="8"/>
              <c:layout>
                <c:manualLayout>
                  <c:x val="-3.8364936150162329E-2"/>
                  <c:y val="4.6248715313463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A3-441A-8AA7-882BA53B2CE2}"/>
                </c:ext>
              </c:extLst>
            </c:dLbl>
            <c:dLbl>
              <c:idx val="9"/>
              <c:layout>
                <c:manualLayout>
                  <c:x val="-4.0702477057128025E-2"/>
                  <c:y val="5.6526207605344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4A3-441A-8AA7-882BA53B2CE2}"/>
                </c:ext>
              </c:extLst>
            </c:dLbl>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Tabla!$E$6:$E$15</c:f>
              <c:strCache>
                <c:ptCount val="10"/>
                <c:pt idx="0">
                  <c:v>T3                               2015</c:v>
                </c:pt>
                <c:pt idx="1">
                  <c:v>T3                               2016</c:v>
                </c:pt>
                <c:pt idx="2">
                  <c:v>T3                               2017</c:v>
                </c:pt>
                <c:pt idx="3">
                  <c:v>T3                               2018</c:v>
                </c:pt>
                <c:pt idx="4">
                  <c:v>T3                               2019</c:v>
                </c:pt>
                <c:pt idx="5">
                  <c:v>T3                               2020</c:v>
                </c:pt>
                <c:pt idx="6">
                  <c:v>T3                               2021</c:v>
                </c:pt>
                <c:pt idx="7">
                  <c:v>T3                               2022</c:v>
                </c:pt>
                <c:pt idx="8">
                  <c:v>T3                               2023</c:v>
                </c:pt>
                <c:pt idx="9">
                  <c:v>T3                               2024</c:v>
                </c:pt>
              </c:strCache>
            </c:strRef>
          </c:cat>
          <c:val>
            <c:numRef>
              <c:f>Tabla!$F$6:$F$15</c:f>
              <c:numCache>
                <c:formatCode>0.0%</c:formatCode>
                <c:ptCount val="10"/>
                <c:pt idx="0">
                  <c:v>5.0014994777345778E-2</c:v>
                </c:pt>
                <c:pt idx="1">
                  <c:v>5.2068411536991065E-2</c:v>
                </c:pt>
                <c:pt idx="2">
                  <c:v>5.700878739744393E-2</c:v>
                </c:pt>
                <c:pt idx="3">
                  <c:v>6.0824552433209285E-2</c:v>
                </c:pt>
                <c:pt idx="4">
                  <c:v>6.0869227162337253E-2</c:v>
                </c:pt>
                <c:pt idx="5">
                  <c:v>6.9835868369575241E-2</c:v>
                </c:pt>
                <c:pt idx="6">
                  <c:v>6.4321055525013757E-2</c:v>
                </c:pt>
                <c:pt idx="7">
                  <c:v>6.1833211477342234E-2</c:v>
                </c:pt>
                <c:pt idx="8">
                  <c:v>6.2196397443346894E-2</c:v>
                </c:pt>
                <c:pt idx="9">
                  <c:v>6.1054178363479608E-2</c:v>
                </c:pt>
              </c:numCache>
            </c:numRef>
          </c:val>
          <c:smooth val="0"/>
          <c:extLst>
            <c:ext xmlns:c16="http://schemas.microsoft.com/office/drawing/2014/chart" uri="{C3380CC4-5D6E-409C-BE32-E72D297353CC}">
              <c16:uniqueId val="{00000000-F4A3-441A-8AA7-882BA53B2CE2}"/>
            </c:ext>
          </c:extLst>
        </c:ser>
        <c:ser>
          <c:idx val="1"/>
          <c:order val="1"/>
          <c:tx>
            <c:strRef>
              <c:f>Tabla!$G$5</c:f>
              <c:strCache>
                <c:ptCount val="1"/>
                <c:pt idx="0">
                  <c:v>Rentabilidad vivienda compartida de 3 habitaciones</c:v>
                </c:pt>
              </c:strCache>
            </c:strRef>
          </c:tx>
          <c:spPr>
            <a:ln w="22225" cap="rnd" cmpd="sng" algn="ctr">
              <a:solidFill>
                <a:schemeClr val="accent2"/>
              </a:solidFill>
              <a:round/>
            </a:ln>
            <a:effectLst/>
          </c:spPr>
          <c:marker>
            <c:symbol val="none"/>
          </c:marker>
          <c:dLbls>
            <c:dLbl>
              <c:idx val="0"/>
              <c:layout>
                <c:manualLayout>
                  <c:x val="-3.8364936150162156E-2"/>
                  <c:y val="-2.5693730729701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A3-441A-8AA7-882BA53B2CE2}"/>
                </c:ext>
              </c:extLst>
            </c:dLbl>
            <c:dLbl>
              <c:idx val="1"/>
              <c:layout>
                <c:manualLayout>
                  <c:x val="-4.0702477057128046E-2"/>
                  <c:y val="-3.597122302158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A3-441A-8AA7-882BA53B2CE2}"/>
                </c:ext>
              </c:extLst>
            </c:dLbl>
            <c:dLbl>
              <c:idx val="2"/>
              <c:layout>
                <c:manualLayout>
                  <c:x val="-3.8364936150162156E-2"/>
                  <c:y val="-3.5971223021582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A3-441A-8AA7-882BA53B2CE2}"/>
                </c:ext>
              </c:extLst>
            </c:dLbl>
            <c:dLbl>
              <c:idx val="3"/>
              <c:layout>
                <c:manualLayout>
                  <c:x val="-3.8364936150162114E-2"/>
                  <c:y val="-4.6248715313463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A3-441A-8AA7-882BA53B2CE2}"/>
                </c:ext>
              </c:extLst>
            </c:dLbl>
            <c:dLbl>
              <c:idx val="4"/>
              <c:layout>
                <c:manualLayout>
                  <c:x val="-3.8364936150162156E-2"/>
                  <c:y val="-4.1109969167523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A3-441A-8AA7-882BA53B2CE2}"/>
                </c:ext>
              </c:extLst>
            </c:dLbl>
            <c:dLbl>
              <c:idx val="5"/>
              <c:layout>
                <c:manualLayout>
                  <c:x val="-3.8364936150162156E-2"/>
                  <c:y val="-4.1109969167523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A3-441A-8AA7-882BA53B2CE2}"/>
                </c:ext>
              </c:extLst>
            </c:dLbl>
            <c:dLbl>
              <c:idx val="6"/>
              <c:layout>
                <c:manualLayout>
                  <c:x val="-3.8364936150162239E-2"/>
                  <c:y val="-4.1109969167523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A3-441A-8AA7-882BA53B2CE2}"/>
                </c:ext>
              </c:extLst>
            </c:dLbl>
            <c:dLbl>
              <c:idx val="7"/>
              <c:layout>
                <c:manualLayout>
                  <c:x val="-3.8364936150162156E-2"/>
                  <c:y val="-4.1109969167523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A3-441A-8AA7-882BA53B2CE2}"/>
                </c:ext>
              </c:extLst>
            </c:dLbl>
            <c:dLbl>
              <c:idx val="8"/>
              <c:layout>
                <c:manualLayout>
                  <c:x val="-3.8364936150162329E-2"/>
                  <c:y val="-4.1109969167523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A3-441A-8AA7-882BA53B2CE2}"/>
                </c:ext>
              </c:extLst>
            </c:dLbl>
            <c:dLbl>
              <c:idx val="9"/>
              <c:layout>
                <c:manualLayout>
                  <c:x val="-4.0702477057128025E-2"/>
                  <c:y val="-3.083247687564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A3-441A-8AA7-882BA53B2CE2}"/>
                </c:ext>
              </c:extLst>
            </c:dLbl>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Tabla!$E$6:$E$15</c:f>
              <c:strCache>
                <c:ptCount val="10"/>
                <c:pt idx="0">
                  <c:v>T3                               2015</c:v>
                </c:pt>
                <c:pt idx="1">
                  <c:v>T3                               2016</c:v>
                </c:pt>
                <c:pt idx="2">
                  <c:v>T3                               2017</c:v>
                </c:pt>
                <c:pt idx="3">
                  <c:v>T3                               2018</c:v>
                </c:pt>
                <c:pt idx="4">
                  <c:v>T3                               2019</c:v>
                </c:pt>
                <c:pt idx="5">
                  <c:v>T3                               2020</c:v>
                </c:pt>
                <c:pt idx="6">
                  <c:v>T3                               2021</c:v>
                </c:pt>
                <c:pt idx="7">
                  <c:v>T3                               2022</c:v>
                </c:pt>
                <c:pt idx="8">
                  <c:v>T3                               2023</c:v>
                </c:pt>
                <c:pt idx="9">
                  <c:v>T3                               2024</c:v>
                </c:pt>
              </c:strCache>
            </c:strRef>
          </c:cat>
          <c:val>
            <c:numRef>
              <c:f>Tabla!$G$6:$G$15</c:f>
              <c:numCache>
                <c:formatCode>0.0%</c:formatCode>
                <c:ptCount val="10"/>
                <c:pt idx="0">
                  <c:v>6.8072522228481508E-2</c:v>
                </c:pt>
                <c:pt idx="1">
                  <c:v>8.3583550977663873E-2</c:v>
                </c:pt>
                <c:pt idx="2">
                  <c:v>8.9502921846082092E-2</c:v>
                </c:pt>
                <c:pt idx="3">
                  <c:v>7.6261135750836997E-2</c:v>
                </c:pt>
                <c:pt idx="4">
                  <c:v>7.193628724689724E-2</c:v>
                </c:pt>
                <c:pt idx="5">
                  <c:v>7.8297127561000726E-2</c:v>
                </c:pt>
                <c:pt idx="6">
                  <c:v>8.3367604770161141E-2</c:v>
                </c:pt>
                <c:pt idx="7">
                  <c:v>9.7190349005505897E-2</c:v>
                </c:pt>
                <c:pt idx="8">
                  <c:v>9.4867635095874495E-2</c:v>
                </c:pt>
                <c:pt idx="9">
                  <c:v>9.3471373421726539E-2</c:v>
                </c:pt>
              </c:numCache>
            </c:numRef>
          </c:val>
          <c:smooth val="0"/>
          <c:extLst>
            <c:ext xmlns:c16="http://schemas.microsoft.com/office/drawing/2014/chart" uri="{C3380CC4-5D6E-409C-BE32-E72D297353CC}">
              <c16:uniqueId val="{00000001-F4A3-441A-8AA7-882BA53B2CE2}"/>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5846928"/>
        <c:axId val="85848368"/>
      </c:lineChart>
      <c:catAx>
        <c:axId val="858469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es-ES"/>
          </a:p>
        </c:txPr>
        <c:crossAx val="85848368"/>
        <c:crosses val="autoZero"/>
        <c:auto val="1"/>
        <c:lblAlgn val="ctr"/>
        <c:lblOffset val="100"/>
        <c:noMultiLvlLbl val="0"/>
      </c:catAx>
      <c:valAx>
        <c:axId val="858483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es-ES"/>
          </a:p>
        </c:txPr>
        <c:crossAx val="858469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5.000000000000001E-2"/>
          <c:y val="0.90407336672843952"/>
          <c:w val="0.9"/>
          <c:h val="8.051039483373931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800"/>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691548338114739E-2"/>
          <c:y val="2.9432091807519246E-2"/>
          <c:w val="0.91236844712928067"/>
          <c:h val="0.57953117181756275"/>
        </c:manualLayout>
      </c:layout>
      <c:lineChart>
        <c:grouping val="standard"/>
        <c:varyColors val="0"/>
        <c:ser>
          <c:idx val="0"/>
          <c:order val="0"/>
          <c:tx>
            <c:strRef>
              <c:f>Tabla!$F$28</c:f>
              <c:strCache>
                <c:ptCount val="1"/>
                <c:pt idx="0">
                  <c:v>Rentabilidad vivienda 80 metros</c:v>
                </c:pt>
              </c:strCache>
            </c:strRef>
          </c:tx>
          <c:spPr>
            <a:ln w="22225" cap="rnd" cmpd="sng" algn="ctr">
              <a:solidFill>
                <a:schemeClr val="accent1"/>
              </a:solidFill>
              <a:round/>
            </a:ln>
            <a:effectLst/>
          </c:spPr>
          <c:marker>
            <c:symbol val="none"/>
          </c:marker>
          <c:dLbls>
            <c:dLbl>
              <c:idx val="0"/>
              <c:layout>
                <c:manualLayout>
                  <c:x val="-3.8305789646492283E-2"/>
                  <c:y val="3.670566643725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3C2-4110-9C06-A29E3B5349DB}"/>
                </c:ext>
              </c:extLst>
            </c:dLbl>
            <c:dLbl>
              <c:idx val="1"/>
              <c:layout>
                <c:manualLayout>
                  <c:x val="-3.6116887380978437E-2"/>
                  <c:y val="4.5882083046570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3C2-4110-9C06-A29E3B5349DB}"/>
                </c:ext>
              </c:extLst>
            </c:dLbl>
            <c:dLbl>
              <c:idx val="2"/>
              <c:layout>
                <c:manualLayout>
                  <c:x val="-3.8305789646492283E-2"/>
                  <c:y val="4.129387474191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3C2-4110-9C06-A29E3B5349DB}"/>
                </c:ext>
              </c:extLst>
            </c:dLbl>
            <c:dLbl>
              <c:idx val="3"/>
              <c:layout>
                <c:manualLayout>
                  <c:x val="-4.2683594177520011E-2"/>
                  <c:y val="3.670566643725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3C2-4110-9C06-A29E3B5349DB}"/>
                </c:ext>
              </c:extLst>
            </c:dLbl>
            <c:dLbl>
              <c:idx val="4"/>
              <c:layout>
                <c:manualLayout>
                  <c:x val="-4.049469191200613E-2"/>
                  <c:y val="2.7529249827942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3C2-4110-9C06-A29E3B5349DB}"/>
                </c:ext>
              </c:extLst>
            </c:dLbl>
            <c:dLbl>
              <c:idx val="5"/>
              <c:layout>
                <c:manualLayout>
                  <c:x val="-4.049469191200613E-2"/>
                  <c:y val="3.670566643725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3C2-4110-9C06-A29E3B5349DB}"/>
                </c:ext>
              </c:extLst>
            </c:dLbl>
            <c:dLbl>
              <c:idx val="6"/>
              <c:layout>
                <c:manualLayout>
                  <c:x val="-3.8305789646492283E-2"/>
                  <c:y val="3.670566643725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3C2-4110-9C06-A29E3B5349DB}"/>
                </c:ext>
              </c:extLst>
            </c:dLbl>
            <c:dLbl>
              <c:idx val="7"/>
              <c:layout>
                <c:manualLayout>
                  <c:x val="-3.8305789646492283E-2"/>
                  <c:y val="3.2117458132599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3C2-4110-9C06-A29E3B5349DB}"/>
                </c:ext>
              </c:extLst>
            </c:dLbl>
            <c:dLbl>
              <c:idx val="8"/>
              <c:layout>
                <c:manualLayout>
                  <c:x val="-3.8305789646492283E-2"/>
                  <c:y val="2.2941041523285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3C2-4110-9C06-A29E3B5349DB}"/>
                </c:ext>
              </c:extLst>
            </c:dLbl>
            <c:dLbl>
              <c:idx val="9"/>
              <c:layout>
                <c:manualLayout>
                  <c:x val="-3.8305789646492283E-2"/>
                  <c:y val="3.2117458132599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3C2-4110-9C06-A29E3B5349DB}"/>
                </c:ext>
              </c:extLst>
            </c:dLbl>
            <c:dLbl>
              <c:idx val="10"/>
              <c:layout>
                <c:manualLayout>
                  <c:x val="-3.8305789646492366E-2"/>
                  <c:y val="3.670566643725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3C2-4110-9C06-A29E3B5349DB}"/>
                </c:ext>
              </c:extLst>
            </c:dLbl>
            <c:dLbl>
              <c:idx val="11"/>
              <c:layout>
                <c:manualLayout>
                  <c:x val="-3.8305789646492443E-2"/>
                  <c:y val="2.2941041523285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3C2-4110-9C06-A29E3B5349DB}"/>
                </c:ext>
              </c:extLst>
            </c:dLbl>
            <c:dLbl>
              <c:idx val="12"/>
              <c:layout>
                <c:manualLayout>
                  <c:x val="-3.8305789646492366E-2"/>
                  <c:y val="2.7529249827942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3C2-4110-9C06-A29E3B5349DB}"/>
                </c:ext>
              </c:extLst>
            </c:dLbl>
            <c:dLbl>
              <c:idx val="13"/>
              <c:layout>
                <c:manualLayout>
                  <c:x val="-4.049469191200613E-2"/>
                  <c:y val="3.6705666437256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3C2-4110-9C06-A29E3B5349DB}"/>
                </c:ext>
              </c:extLst>
            </c:dLbl>
            <c:dLbl>
              <c:idx val="14"/>
              <c:layout>
                <c:manualLayout>
                  <c:x val="-3.8305789646492283E-2"/>
                  <c:y val="2.2941041523285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3C2-4110-9C06-A29E3B5349DB}"/>
                </c:ext>
              </c:extLst>
            </c:dLbl>
            <c:dLbl>
              <c:idx val="15"/>
              <c:layout>
                <c:manualLayout>
                  <c:x val="-4.049469191200613E-2"/>
                  <c:y val="3.6705666437256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3C2-4110-9C06-A29E3B5349DB}"/>
                </c:ext>
              </c:extLst>
            </c:dLbl>
            <c:dLbl>
              <c:idx val="16"/>
              <c:layout>
                <c:manualLayout>
                  <c:x val="-3.8305789646492283E-2"/>
                  <c:y val="4.5882083046570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3C2-4110-9C06-A29E3B5349DB}"/>
                </c:ext>
              </c:extLst>
            </c:dLbl>
            <c:dLbl>
              <c:idx val="17"/>
              <c:layout>
                <c:manualLayout>
                  <c:x val="-1.1975363646470038E-2"/>
                  <c:y val="1.8352833218628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3C2-4110-9C06-A29E3B5349DB}"/>
                </c:ext>
              </c:extLst>
            </c:dLbl>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Calibri (Cuerpo)"/>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Tabla!$E$29:$E$46</c:f>
              <c:strCache>
                <c:ptCount val="18"/>
                <c:pt idx="0">
                  <c:v>Navarra</c:v>
                </c:pt>
                <c:pt idx="1">
                  <c:v>Región de Murcia</c:v>
                </c:pt>
                <c:pt idx="2">
                  <c:v>Castilla-La Mancha</c:v>
                </c:pt>
                <c:pt idx="3">
                  <c:v>Cataluña</c:v>
                </c:pt>
                <c:pt idx="4">
                  <c:v>España</c:v>
                </c:pt>
                <c:pt idx="5">
                  <c:v>Comunitat Valenciana</c:v>
                </c:pt>
                <c:pt idx="6">
                  <c:v>Extremadura</c:v>
                </c:pt>
                <c:pt idx="7">
                  <c:v>Aragón</c:v>
                </c:pt>
                <c:pt idx="8">
                  <c:v>La Rioja</c:v>
                </c:pt>
                <c:pt idx="9">
                  <c:v>Castilla y León</c:v>
                </c:pt>
                <c:pt idx="10">
                  <c:v>Asturias</c:v>
                </c:pt>
                <c:pt idx="11">
                  <c:v>Galicia</c:v>
                </c:pt>
                <c:pt idx="12">
                  <c:v>País Vasco</c:v>
                </c:pt>
                <c:pt idx="13">
                  <c:v>Cantabria</c:v>
                </c:pt>
                <c:pt idx="14">
                  <c:v>Andalucía</c:v>
                </c:pt>
                <c:pt idx="15">
                  <c:v>Canarias</c:v>
                </c:pt>
                <c:pt idx="16">
                  <c:v>Madrid</c:v>
                </c:pt>
                <c:pt idx="17">
                  <c:v>Baleares</c:v>
                </c:pt>
              </c:strCache>
            </c:strRef>
          </c:cat>
          <c:val>
            <c:numRef>
              <c:f>Tabla!$F$29:$F$46</c:f>
              <c:numCache>
                <c:formatCode>0.0%</c:formatCode>
                <c:ptCount val="18"/>
                <c:pt idx="0">
                  <c:v>6.6885741704713994E-2</c:v>
                </c:pt>
                <c:pt idx="1">
                  <c:v>7.3271320209625762E-2</c:v>
                </c:pt>
                <c:pt idx="2">
                  <c:v>7.0020022065132997E-2</c:v>
                </c:pt>
                <c:pt idx="3">
                  <c:v>6.6788936359684928E-2</c:v>
                </c:pt>
                <c:pt idx="4">
                  <c:v>6.1054178363479608E-2</c:v>
                </c:pt>
                <c:pt idx="5">
                  <c:v>7.2038611265591496E-2</c:v>
                </c:pt>
                <c:pt idx="6">
                  <c:v>6.4997076593256681E-2</c:v>
                </c:pt>
                <c:pt idx="7">
                  <c:v>6.5988395381041204E-2</c:v>
                </c:pt>
                <c:pt idx="8">
                  <c:v>6.420015199585026E-2</c:v>
                </c:pt>
                <c:pt idx="9">
                  <c:v>7.0070570886875919E-2</c:v>
                </c:pt>
                <c:pt idx="10">
                  <c:v>6.9867510247121442E-2</c:v>
                </c:pt>
                <c:pt idx="11">
                  <c:v>5.8595377760682126E-2</c:v>
                </c:pt>
                <c:pt idx="12">
                  <c:v>5.8646644627481745E-2</c:v>
                </c:pt>
                <c:pt idx="13">
                  <c:v>6.723209490679144E-2</c:v>
                </c:pt>
                <c:pt idx="14">
                  <c:v>5.4424472943610504E-2</c:v>
                </c:pt>
                <c:pt idx="15">
                  <c:v>6.164074486327125E-2</c:v>
                </c:pt>
                <c:pt idx="16">
                  <c:v>5.5143647185639966E-2</c:v>
                </c:pt>
                <c:pt idx="17">
                  <c:v>4.5555041158071831E-2</c:v>
                </c:pt>
              </c:numCache>
            </c:numRef>
          </c:val>
          <c:smooth val="0"/>
          <c:extLst>
            <c:ext xmlns:c16="http://schemas.microsoft.com/office/drawing/2014/chart" uri="{C3380CC4-5D6E-409C-BE32-E72D297353CC}">
              <c16:uniqueId val="{00000000-93C2-4110-9C06-A29E3B5349DB}"/>
            </c:ext>
          </c:extLst>
        </c:ser>
        <c:ser>
          <c:idx val="1"/>
          <c:order val="1"/>
          <c:tx>
            <c:strRef>
              <c:f>Tabla!$G$28</c:f>
              <c:strCache>
                <c:ptCount val="1"/>
                <c:pt idx="0">
                  <c:v>Rentabilidad vivienda compartida de 3 habitaciones</c:v>
                </c:pt>
              </c:strCache>
            </c:strRef>
          </c:tx>
          <c:spPr>
            <a:ln w="22225" cap="rnd" cmpd="sng" algn="ctr">
              <a:solidFill>
                <a:schemeClr val="accent2"/>
              </a:solidFill>
              <a:round/>
            </a:ln>
            <a:effectLst/>
          </c:spPr>
          <c:marker>
            <c:symbol val="none"/>
          </c:marker>
          <c:dLbls>
            <c:dLbl>
              <c:idx val="0"/>
              <c:layout>
                <c:manualLayout>
                  <c:x val="-4.3296486811863863E-2"/>
                  <c:y val="-2.7529249827942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C2-4110-9C06-A29E3B5349DB}"/>
                </c:ext>
              </c:extLst>
            </c:dLbl>
            <c:dLbl>
              <c:idx val="1"/>
              <c:layout>
                <c:manualLayout>
                  <c:x val="-3.8305789646492304E-2"/>
                  <c:y val="-4.1293874741913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C2-4110-9C06-A29E3B5349DB}"/>
                </c:ext>
              </c:extLst>
            </c:dLbl>
            <c:dLbl>
              <c:idx val="2"/>
              <c:layout>
                <c:manualLayout>
                  <c:x val="-3.6116887380978457E-2"/>
                  <c:y val="-2.2941041523285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C2-4110-9C06-A29E3B5349DB}"/>
                </c:ext>
              </c:extLst>
            </c:dLbl>
            <c:dLbl>
              <c:idx val="3"/>
              <c:layout>
                <c:manualLayout>
                  <c:x val="-3.8305789646492283E-2"/>
                  <c:y val="-2.2941041523285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C2-4110-9C06-A29E3B5349DB}"/>
                </c:ext>
              </c:extLst>
            </c:dLbl>
            <c:dLbl>
              <c:idx val="4"/>
              <c:layout>
                <c:manualLayout>
                  <c:x val="-3.6116887380978437E-2"/>
                  <c:y val="-2.2941041523285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C2-4110-9C06-A29E3B5349DB}"/>
                </c:ext>
              </c:extLst>
            </c:dLbl>
            <c:dLbl>
              <c:idx val="5"/>
              <c:layout>
                <c:manualLayout>
                  <c:x val="-3.8305789646492325E-2"/>
                  <c:y val="-1.8352833218628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C2-4110-9C06-A29E3B5349DB}"/>
                </c:ext>
              </c:extLst>
            </c:dLbl>
            <c:dLbl>
              <c:idx val="6"/>
              <c:layout>
                <c:manualLayout>
                  <c:x val="-3.8305789646492283E-2"/>
                  <c:y val="-2.2941041523285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C2-4110-9C06-A29E3B5349DB}"/>
                </c:ext>
              </c:extLst>
            </c:dLbl>
            <c:dLbl>
              <c:idx val="7"/>
              <c:layout>
                <c:manualLayout>
                  <c:x val="-3.8305789646492283E-2"/>
                  <c:y val="-2.7529249827942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C2-4110-9C06-A29E3B5349DB}"/>
                </c:ext>
              </c:extLst>
            </c:dLbl>
            <c:dLbl>
              <c:idx val="8"/>
              <c:layout>
                <c:manualLayout>
                  <c:x val="-3.8305789646492283E-2"/>
                  <c:y val="-2.752924982794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C2-4110-9C06-A29E3B5349DB}"/>
                </c:ext>
              </c:extLst>
            </c:dLbl>
            <c:dLbl>
              <c:idx val="9"/>
              <c:layout>
                <c:manualLayout>
                  <c:x val="-3.6116887380978437E-2"/>
                  <c:y val="-2.2941041523285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C2-4110-9C06-A29E3B5349DB}"/>
                </c:ext>
              </c:extLst>
            </c:dLbl>
            <c:dLbl>
              <c:idx val="10"/>
              <c:layout>
                <c:manualLayout>
                  <c:x val="-3.8305789646492366E-2"/>
                  <c:y val="-2.2941041523285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3C2-4110-9C06-A29E3B5349DB}"/>
                </c:ext>
              </c:extLst>
            </c:dLbl>
            <c:dLbl>
              <c:idx val="11"/>
              <c:layout>
                <c:manualLayout>
                  <c:x val="-3.8305789646492443E-2"/>
                  <c:y val="-1.8352833218628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3C2-4110-9C06-A29E3B5349DB}"/>
                </c:ext>
              </c:extLst>
            </c:dLbl>
            <c:dLbl>
              <c:idx val="12"/>
              <c:layout>
                <c:manualLayout>
                  <c:x val="-3.8305789646492366E-2"/>
                  <c:y val="-1.3764624913971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3C2-4110-9C06-A29E3B5349DB}"/>
                </c:ext>
              </c:extLst>
            </c:dLbl>
            <c:dLbl>
              <c:idx val="13"/>
              <c:layout>
                <c:manualLayout>
                  <c:x val="-4.049469191200613E-2"/>
                  <c:y val="-2.2941041523285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C2-4110-9C06-A29E3B5349DB}"/>
                </c:ext>
              </c:extLst>
            </c:dLbl>
            <c:dLbl>
              <c:idx val="14"/>
              <c:layout>
                <c:manualLayout>
                  <c:x val="-3.8305789646492283E-2"/>
                  <c:y val="-2.7529249827942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C2-4110-9C06-A29E3B5349DB}"/>
                </c:ext>
              </c:extLst>
            </c:dLbl>
            <c:dLbl>
              <c:idx val="15"/>
              <c:layout>
                <c:manualLayout>
                  <c:x val="-3.8305789646492283E-2"/>
                  <c:y val="-1.8352833218628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3C2-4110-9C06-A29E3B5349DB}"/>
                </c:ext>
              </c:extLst>
            </c:dLbl>
            <c:dLbl>
              <c:idx val="16"/>
              <c:layout>
                <c:manualLayout>
                  <c:x val="-3.8305789646492283E-2"/>
                  <c:y val="-2.2941041523285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3C2-4110-9C06-A29E3B5349DB}"/>
                </c:ext>
              </c:extLst>
            </c:dLbl>
            <c:dLbl>
              <c:idx val="17"/>
              <c:layout>
                <c:manualLayout>
                  <c:x val="-1.1975363646470038E-2"/>
                  <c:y val="-2.7529249827942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3C2-4110-9C06-A29E3B5349DB}"/>
                </c:ext>
              </c:extLst>
            </c:dLbl>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Calibri (Cuerpo)"/>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Tabla!$E$29:$E$46</c:f>
              <c:strCache>
                <c:ptCount val="18"/>
                <c:pt idx="0">
                  <c:v>Navarra</c:v>
                </c:pt>
                <c:pt idx="1">
                  <c:v>Región de Murcia</c:v>
                </c:pt>
                <c:pt idx="2">
                  <c:v>Castilla-La Mancha</c:v>
                </c:pt>
                <c:pt idx="3">
                  <c:v>Cataluña</c:v>
                </c:pt>
                <c:pt idx="4">
                  <c:v>España</c:v>
                </c:pt>
                <c:pt idx="5">
                  <c:v>Comunitat Valenciana</c:v>
                </c:pt>
                <c:pt idx="6">
                  <c:v>Extremadura</c:v>
                </c:pt>
                <c:pt idx="7">
                  <c:v>Aragón</c:v>
                </c:pt>
                <c:pt idx="8">
                  <c:v>La Rioja</c:v>
                </c:pt>
                <c:pt idx="9">
                  <c:v>Castilla y León</c:v>
                </c:pt>
                <c:pt idx="10">
                  <c:v>Asturias</c:v>
                </c:pt>
                <c:pt idx="11">
                  <c:v>Galicia</c:v>
                </c:pt>
                <c:pt idx="12">
                  <c:v>País Vasco</c:v>
                </c:pt>
                <c:pt idx="13">
                  <c:v>Cantabria</c:v>
                </c:pt>
                <c:pt idx="14">
                  <c:v>Andalucía</c:v>
                </c:pt>
                <c:pt idx="15">
                  <c:v>Canarias</c:v>
                </c:pt>
                <c:pt idx="16">
                  <c:v>Madrid</c:v>
                </c:pt>
                <c:pt idx="17">
                  <c:v>Baleares</c:v>
                </c:pt>
              </c:strCache>
            </c:strRef>
          </c:cat>
          <c:val>
            <c:numRef>
              <c:f>Tabla!$G$29:$G$46</c:f>
              <c:numCache>
                <c:formatCode>0.0%</c:formatCode>
                <c:ptCount val="18"/>
                <c:pt idx="0">
                  <c:v>0.10327085817314684</c:v>
                </c:pt>
                <c:pt idx="1">
                  <c:v>9.8643084931927458E-2</c:v>
                </c:pt>
                <c:pt idx="2">
                  <c:v>9.8601724349282882E-2</c:v>
                </c:pt>
                <c:pt idx="3">
                  <c:v>9.5349157717302596E-2</c:v>
                </c:pt>
                <c:pt idx="4">
                  <c:v>9.3471373421726539E-2</c:v>
                </c:pt>
                <c:pt idx="5">
                  <c:v>9.2923998967188379E-2</c:v>
                </c:pt>
                <c:pt idx="6">
                  <c:v>9.2021535763009157E-2</c:v>
                </c:pt>
                <c:pt idx="7">
                  <c:v>8.9128108584442478E-2</c:v>
                </c:pt>
                <c:pt idx="8">
                  <c:v>8.8046310481682072E-2</c:v>
                </c:pt>
                <c:pt idx="9">
                  <c:v>8.547997419422794E-2</c:v>
                </c:pt>
                <c:pt idx="10">
                  <c:v>8.1978672381243928E-2</c:v>
                </c:pt>
                <c:pt idx="11">
                  <c:v>7.9940378882584859E-2</c:v>
                </c:pt>
                <c:pt idx="12">
                  <c:v>7.9768308399170734E-2</c:v>
                </c:pt>
                <c:pt idx="13">
                  <c:v>7.7998374353491037E-2</c:v>
                </c:pt>
                <c:pt idx="14">
                  <c:v>7.6318939698515165E-2</c:v>
                </c:pt>
                <c:pt idx="15">
                  <c:v>7.0657283174393071E-2</c:v>
                </c:pt>
                <c:pt idx="16">
                  <c:v>6.027979566012092E-2</c:v>
                </c:pt>
                <c:pt idx="17">
                  <c:v>5.923103849324194E-2</c:v>
                </c:pt>
              </c:numCache>
            </c:numRef>
          </c:val>
          <c:smooth val="0"/>
          <c:extLst>
            <c:ext xmlns:c16="http://schemas.microsoft.com/office/drawing/2014/chart" uri="{C3380CC4-5D6E-409C-BE32-E72D297353CC}">
              <c16:uniqueId val="{00000001-93C2-4110-9C06-A29E3B5349DB}"/>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5846928"/>
        <c:axId val="85848368"/>
      </c:lineChart>
      <c:catAx>
        <c:axId val="858469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Calibri (Cuerpo)"/>
                <a:ea typeface="+mn-ea"/>
                <a:cs typeface="+mn-cs"/>
              </a:defRPr>
            </a:pPr>
            <a:endParaRPr lang="es-ES"/>
          </a:p>
        </c:txPr>
        <c:crossAx val="85848368"/>
        <c:crosses val="autoZero"/>
        <c:auto val="1"/>
        <c:lblAlgn val="ctr"/>
        <c:lblOffset val="100"/>
        <c:noMultiLvlLbl val="0"/>
      </c:catAx>
      <c:valAx>
        <c:axId val="858483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Calibri (Cuerpo)"/>
                <a:ea typeface="+mn-ea"/>
                <a:cs typeface="+mn-cs"/>
              </a:defRPr>
            </a:pPr>
            <a:endParaRPr lang="es-ES"/>
          </a:p>
        </c:txPr>
        <c:crossAx val="858469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2323295693981122"/>
          <c:y val="0.91989241193439941"/>
          <c:w val="0.75353391376586842"/>
          <c:h val="6.63429631516294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Calibri (Cuerpo)"/>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Calibri (Cuerpo)"/>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9gml4KSi/H/GIboJgibLdwls7g==">CgMxLjAyCGguZ2pkZ3hzMgloLjMwajB6bGwyCWguMWZvYjl0ZTIJaC4yczhleW8xOAByITFmcFBqV2oyTWp6elZaWnFqWVFueDJnS2t6VEc4SkRDRg==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1562</Words>
  <Characters>8595</Characters>
  <Application>Microsoft Office Word</Application>
  <DocSecurity>0</DocSecurity>
  <Lines>71</Lines>
  <Paragraphs>20</Paragraphs>
  <ScaleCrop>false</ScaleCrop>
  <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5</cp:revision>
  <cp:lastPrinted>2024-10-28T07:59:00Z</cp:lastPrinted>
  <dcterms:created xsi:type="dcterms:W3CDTF">2024-10-15T07:38:00Z</dcterms:created>
  <dcterms:modified xsi:type="dcterms:W3CDTF">2024-10-28T08:02:00Z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2024-10-15T07:38:27Z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9e8f4abe-0493-4428-9643-733fd548dca3</vt:lpwstr>
  </property>
  <property fmtid="{D5CDD505-2E9C-101B-9397-08002B2CF9AE}" pid="8" name="MSIP_Label_defa4170-0d19-0005-0004-bc88714345d2_ContentBits">
    <vt:lpwstr>0</vt:lpwstr>
  </property>
</Properties>
</file>