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D6A271" w14:textId="77777777" w:rsidR="00995C12" w:rsidRDefault="00000000">
      <w:r>
        <w:rPr>
          <w:noProof/>
        </w:rPr>
        <w:drawing>
          <wp:anchor distT="0" distB="0" distL="114300" distR="114300" simplePos="0" relativeHeight="251658240" behindDoc="0" locked="0" layoutInCell="1" hidden="0" allowOverlap="1" wp14:anchorId="23C39D63" wp14:editId="2279B655">
            <wp:simplePos x="0" y="0"/>
            <wp:positionH relativeFrom="column">
              <wp:posOffset>-1080132</wp:posOffset>
            </wp:positionH>
            <wp:positionV relativeFrom="paragraph">
              <wp:posOffset>-654683</wp:posOffset>
            </wp:positionV>
            <wp:extent cx="7581265" cy="1019175"/>
            <wp:effectExtent l="0" t="0" r="0" b="0"/>
            <wp:wrapNone/>
            <wp:docPr id="209379020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7B22921A" w14:textId="77777777" w:rsidR="00995C12" w:rsidRDefault="00995C12">
      <w:pPr>
        <w:jc w:val="right"/>
        <w:rPr>
          <w:rFonts w:ascii="National" w:eastAsia="National" w:hAnsi="National" w:cs="National"/>
          <w:color w:val="303AB2"/>
          <w:sz w:val="36"/>
          <w:szCs w:val="36"/>
        </w:rPr>
      </w:pPr>
    </w:p>
    <w:p w14:paraId="784BF377" w14:textId="77777777" w:rsidR="00995C12" w:rsidRDefault="00995C12">
      <w:pPr>
        <w:rPr>
          <w:rFonts w:ascii="National" w:eastAsia="National" w:hAnsi="National" w:cs="National"/>
          <w:color w:val="303AB2"/>
          <w:sz w:val="18"/>
          <w:szCs w:val="18"/>
        </w:rPr>
      </w:pPr>
    </w:p>
    <w:p w14:paraId="14C81E89" w14:textId="77777777" w:rsidR="00995C12" w:rsidRDefault="00000000">
      <w:pPr>
        <w:spacing w:line="276" w:lineRule="auto"/>
        <w:jc w:val="center"/>
        <w:rPr>
          <w:rFonts w:ascii="National" w:eastAsia="National" w:hAnsi="National" w:cs="National"/>
          <w:b/>
          <w:color w:val="1DBDC5"/>
          <w:sz w:val="30"/>
          <w:szCs w:val="30"/>
        </w:rPr>
      </w:pPr>
      <w:r>
        <w:rPr>
          <w:rFonts w:ascii="National" w:eastAsia="National" w:hAnsi="National" w:cs="National"/>
          <w:b/>
          <w:color w:val="1DBDC5"/>
          <w:sz w:val="30"/>
          <w:szCs w:val="30"/>
        </w:rPr>
        <w:t>EXPERIENCIA EN ALQUILER EN 2024</w:t>
      </w:r>
    </w:p>
    <w:p w14:paraId="5C481C73" w14:textId="77777777" w:rsidR="00995C12" w:rsidRDefault="00000000">
      <w:pPr>
        <w:jc w:val="center"/>
        <w:rPr>
          <w:rFonts w:ascii="National" w:eastAsia="National" w:hAnsi="National" w:cs="National"/>
          <w:b/>
          <w:color w:val="303AB2"/>
          <w:sz w:val="50"/>
          <w:szCs w:val="50"/>
        </w:rPr>
      </w:pPr>
      <w:r>
        <w:rPr>
          <w:rFonts w:ascii="National" w:eastAsia="National" w:hAnsi="National" w:cs="National"/>
          <w:b/>
          <w:color w:val="303AB2"/>
          <w:sz w:val="50"/>
          <w:szCs w:val="50"/>
        </w:rPr>
        <w:t xml:space="preserve">El 92% de los inquilinos cree que el precio del alquiler es caro </w:t>
      </w:r>
    </w:p>
    <w:p w14:paraId="557847D6" w14:textId="77777777" w:rsidR="00995C12" w:rsidRDefault="00995C12">
      <w:pPr>
        <w:spacing w:line="276" w:lineRule="auto"/>
        <w:ind w:right="4"/>
        <w:jc w:val="both"/>
        <w:rPr>
          <w:rFonts w:ascii="Open Sans" w:eastAsia="Open Sans" w:hAnsi="Open Sans" w:cs="Open Sans"/>
          <w:color w:val="303AB2"/>
        </w:rPr>
      </w:pPr>
    </w:p>
    <w:p w14:paraId="0268B157" w14:textId="77777777" w:rsidR="00995C12"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color w:val="000000"/>
          <w:sz w:val="22"/>
          <w:szCs w:val="22"/>
        </w:rPr>
        <w:t>Los jóvenes son el colectivo que más considera que el precio de la vivienda de alquiler es caro</w:t>
      </w:r>
    </w:p>
    <w:p w14:paraId="05680CDC" w14:textId="77777777" w:rsidR="00995C12"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color w:val="000000"/>
          <w:sz w:val="22"/>
          <w:szCs w:val="22"/>
        </w:rPr>
        <w:t>El 80% de los inquilinos pronostica que los precios del alquiler continuarán subiendo en los pr</w:t>
      </w:r>
      <w:r>
        <w:rPr>
          <w:rFonts w:ascii="Open Sans" w:eastAsia="Open Sans" w:hAnsi="Open Sans" w:cs="Open Sans"/>
          <w:sz w:val="22"/>
          <w:szCs w:val="22"/>
        </w:rPr>
        <w:t>óximos ejercicios</w:t>
      </w:r>
    </w:p>
    <w:p w14:paraId="03C1F486" w14:textId="77777777" w:rsidR="00995C12" w:rsidRDefault="00000000">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sz w:val="22"/>
          <w:szCs w:val="22"/>
        </w:rPr>
        <w:t>El 76% atribuye el aumento del alquiler a la inflación y los tipos de interés, seguido de los alquileres vacacionales (70%) y el aumento de la demanda (69%)</w:t>
      </w:r>
    </w:p>
    <w:p w14:paraId="42CE5D4F" w14:textId="77777777" w:rsidR="00995C12" w:rsidRDefault="00000000">
      <w:pPr>
        <w:numPr>
          <w:ilvl w:val="0"/>
          <w:numId w:val="1"/>
        </w:numPr>
        <w:spacing w:line="276" w:lineRule="auto"/>
        <w:ind w:right="283"/>
        <w:jc w:val="both"/>
        <w:rPr>
          <w:rFonts w:ascii="Open Sans" w:eastAsia="Open Sans" w:hAnsi="Open Sans" w:cs="Open Sans"/>
          <w:sz w:val="22"/>
          <w:szCs w:val="22"/>
        </w:rPr>
      </w:pPr>
      <w:r>
        <w:rPr>
          <w:rFonts w:ascii="Open Sans" w:eastAsia="Open Sans" w:hAnsi="Open Sans" w:cs="Open Sans"/>
          <w:sz w:val="22"/>
          <w:szCs w:val="22"/>
        </w:rPr>
        <w:t>La escasez de oferta es señalada como uno de los principales motivos por los que se incrementa el precio del arrendamiento en España (67%)</w:t>
      </w:r>
    </w:p>
    <w:p w14:paraId="01DE89D4" w14:textId="77777777" w:rsidR="00995C12" w:rsidRDefault="00995C12">
      <w:pPr>
        <w:pBdr>
          <w:top w:val="nil"/>
          <w:left w:val="nil"/>
          <w:bottom w:val="nil"/>
          <w:right w:val="nil"/>
          <w:between w:val="nil"/>
        </w:pBdr>
        <w:spacing w:line="276" w:lineRule="auto"/>
        <w:jc w:val="both"/>
        <w:rPr>
          <w:rFonts w:ascii="Open Sans" w:eastAsia="Open Sans" w:hAnsi="Open Sans" w:cs="Open Sans"/>
          <w:color w:val="000000"/>
          <w:sz w:val="22"/>
          <w:szCs w:val="22"/>
        </w:rPr>
      </w:pPr>
    </w:p>
    <w:p w14:paraId="515A4CB3" w14:textId="77777777" w:rsidR="00995C12" w:rsidRDefault="00995C12">
      <w:pPr>
        <w:pBdr>
          <w:top w:val="nil"/>
          <w:left w:val="nil"/>
          <w:bottom w:val="nil"/>
          <w:right w:val="nil"/>
          <w:between w:val="nil"/>
        </w:pBdr>
        <w:spacing w:line="276" w:lineRule="auto"/>
        <w:jc w:val="both"/>
        <w:rPr>
          <w:rFonts w:ascii="Open Sans Light" w:eastAsia="Open Sans Light" w:hAnsi="Open Sans Light" w:cs="Open Sans Light"/>
          <w:b/>
          <w:color w:val="303AB2"/>
          <w:sz w:val="22"/>
          <w:szCs w:val="22"/>
          <w:highlight w:val="yellow"/>
        </w:rPr>
      </w:pPr>
    </w:p>
    <w:p w14:paraId="103D6233" w14:textId="3AB8E5C1" w:rsidR="00995C12" w:rsidRPr="00322AE7"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sidRPr="00322AE7">
        <w:rPr>
          <w:rFonts w:ascii="Open Sans Light" w:eastAsia="Open Sans Light" w:hAnsi="Open Sans Light" w:cs="Open Sans Light"/>
          <w:b/>
          <w:color w:val="303AB2"/>
        </w:rPr>
        <w:t xml:space="preserve">Madrid, </w:t>
      </w:r>
      <w:r w:rsidR="00322AE7" w:rsidRPr="00322AE7">
        <w:rPr>
          <w:rFonts w:ascii="Open Sans Light" w:eastAsia="Open Sans Light" w:hAnsi="Open Sans Light" w:cs="Open Sans Light"/>
          <w:b/>
          <w:color w:val="303AB2"/>
        </w:rPr>
        <w:t>7 de noviembre</w:t>
      </w:r>
      <w:r w:rsidRPr="00322AE7">
        <w:rPr>
          <w:rFonts w:ascii="Open Sans Light" w:eastAsia="Open Sans Light" w:hAnsi="Open Sans Light" w:cs="Open Sans Light"/>
          <w:b/>
          <w:color w:val="303AB2"/>
        </w:rPr>
        <w:t xml:space="preserve"> de 2024</w:t>
      </w:r>
    </w:p>
    <w:p w14:paraId="1DECE99D" w14:textId="77777777" w:rsidR="00995C12" w:rsidRDefault="00995C12">
      <w:pPr>
        <w:pBdr>
          <w:top w:val="nil"/>
          <w:left w:val="nil"/>
          <w:bottom w:val="nil"/>
          <w:right w:val="nil"/>
          <w:between w:val="nil"/>
        </w:pBdr>
        <w:spacing w:line="276" w:lineRule="auto"/>
        <w:jc w:val="both"/>
        <w:rPr>
          <w:rFonts w:ascii="Open Sans" w:eastAsia="Open Sans" w:hAnsi="Open Sans" w:cs="Open Sans"/>
        </w:rPr>
      </w:pPr>
    </w:p>
    <w:p w14:paraId="24CAF086" w14:textId="654CFF0E" w:rsidR="00995C12" w:rsidRDefault="00000000">
      <w:pPr>
        <w:spacing w:line="276" w:lineRule="auto"/>
        <w:ind w:right="4"/>
        <w:jc w:val="both"/>
        <w:rPr>
          <w:rFonts w:ascii="Open Sans" w:eastAsia="Open Sans" w:hAnsi="Open Sans" w:cs="Open Sans"/>
          <w:sz w:val="22"/>
          <w:szCs w:val="22"/>
        </w:rPr>
      </w:pPr>
      <w:r>
        <w:rPr>
          <w:rFonts w:ascii="Open Sans" w:eastAsia="Open Sans" w:hAnsi="Open Sans" w:cs="Open Sans"/>
          <w:b/>
          <w:sz w:val="22"/>
          <w:szCs w:val="22"/>
        </w:rPr>
        <w:t>La percepción de que el arrendamiento es caro o muy caro cada vez está más extendida entre quienes buscan una vivienda en este mercado</w:t>
      </w:r>
      <w:r>
        <w:rPr>
          <w:rFonts w:ascii="Open Sans" w:eastAsia="Open Sans" w:hAnsi="Open Sans" w:cs="Open Sans"/>
          <w:sz w:val="22"/>
          <w:szCs w:val="22"/>
        </w:rPr>
        <w:t xml:space="preserve">. Así, en 2024 son el 77% los demandantes que creen que los precios son muy caros, un punto porcentual más que el año anterior, cuando ya se había incrementado en otros cuatro puntos respecto a 2022. Por su parte, </w:t>
      </w:r>
      <w:r>
        <w:rPr>
          <w:rFonts w:ascii="Open Sans" w:eastAsia="Open Sans" w:hAnsi="Open Sans" w:cs="Open Sans"/>
          <w:b/>
          <w:sz w:val="22"/>
          <w:szCs w:val="22"/>
        </w:rPr>
        <w:t>los que se limitan a considerar simplemente ‘caros’ estos precios se sitúan en el 15%</w:t>
      </w:r>
      <w:r>
        <w:rPr>
          <w:rFonts w:ascii="Open Sans" w:eastAsia="Open Sans" w:hAnsi="Open Sans" w:cs="Open Sans"/>
          <w:sz w:val="22"/>
          <w:szCs w:val="22"/>
        </w:rPr>
        <w:t xml:space="preserve">, dos puntos menos que en 2023. Esto significa que la percepción continúa virando desde la sensación de encarecimiento ligero hacia la de una situación cada vez más extrema. Así lo muestra el informe </w:t>
      </w:r>
      <w:r w:rsidR="00322AE7">
        <w:rPr>
          <w:rFonts w:ascii="Open Sans" w:eastAsia="Open Sans" w:hAnsi="Open Sans" w:cs="Open Sans"/>
          <w:sz w:val="22"/>
          <w:szCs w:val="22"/>
        </w:rPr>
        <w:t>“</w:t>
      </w:r>
      <w:hyperlink r:id="rId9" w:history="1">
        <w:r w:rsidR="00322AE7" w:rsidRPr="00703971">
          <w:rPr>
            <w:rStyle w:val="Hipervnculo"/>
            <w:rFonts w:ascii="Open Sans" w:eastAsia="Open Sans" w:hAnsi="Open Sans" w:cs="Open Sans"/>
            <w:b/>
            <w:i/>
            <w:sz w:val="22"/>
            <w:szCs w:val="22"/>
          </w:rPr>
          <w:t>Experiencia en alquiler en 2024</w:t>
        </w:r>
      </w:hyperlink>
      <w:r w:rsidR="00322AE7">
        <w:rPr>
          <w:rFonts w:ascii="Open Sans" w:eastAsia="Open Sans" w:hAnsi="Open Sans" w:cs="Open Sans"/>
          <w:sz w:val="22"/>
          <w:szCs w:val="22"/>
        </w:rPr>
        <w:t xml:space="preserve">” </w:t>
      </w:r>
      <w:r>
        <w:rPr>
          <w:rFonts w:ascii="Open Sans" w:eastAsia="Open Sans" w:hAnsi="Open Sans" w:cs="Open Sans"/>
          <w:sz w:val="22"/>
          <w:szCs w:val="22"/>
        </w:rPr>
        <w:t>que pretende trazar una exhaustiva radiografía del mercado inmobiliario en alquiler.</w:t>
      </w:r>
    </w:p>
    <w:p w14:paraId="1879F8E8" w14:textId="77777777" w:rsidR="00995C12" w:rsidRDefault="00995C12">
      <w:pPr>
        <w:spacing w:line="276" w:lineRule="auto"/>
        <w:ind w:right="4"/>
        <w:jc w:val="both"/>
        <w:rPr>
          <w:rFonts w:ascii="Open Sans" w:eastAsia="Open Sans" w:hAnsi="Open Sans" w:cs="Open Sans"/>
          <w:sz w:val="22"/>
          <w:szCs w:val="22"/>
        </w:rPr>
      </w:pPr>
    </w:p>
    <w:p w14:paraId="1A4EA6EA" w14:textId="77777777" w:rsidR="00995C12" w:rsidRDefault="00000000">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 xml:space="preserve">Si sumamos ambos valores, la conclusión es que </w:t>
      </w:r>
      <w:r>
        <w:rPr>
          <w:rFonts w:ascii="Open Sans" w:eastAsia="Open Sans" w:hAnsi="Open Sans" w:cs="Open Sans"/>
          <w:b/>
          <w:sz w:val="22"/>
          <w:szCs w:val="22"/>
        </w:rPr>
        <w:t>el 92% de las personas demandantes de alquiler en España creen que los precios son caros o muy caros</w:t>
      </w:r>
      <w:r>
        <w:rPr>
          <w:rFonts w:ascii="Open Sans" w:eastAsia="Open Sans" w:hAnsi="Open Sans" w:cs="Open Sans"/>
          <w:sz w:val="22"/>
          <w:szCs w:val="22"/>
        </w:rPr>
        <w:t>. Se trata de una cifra levemente inferior al 93% de 2023, si bien continúa la afluencia desde el ‘caro’ hacia el ‘muy caro’. Las cifras siguen, de este modo, ahondando en la tendencia que, salvo por un fugaz periodo tras la pandemia, han mantenido en los últimos siete años.</w:t>
      </w:r>
    </w:p>
    <w:p w14:paraId="56660F30" w14:textId="77777777" w:rsidR="00995C12" w:rsidRDefault="00995C12">
      <w:pPr>
        <w:spacing w:line="276" w:lineRule="auto"/>
        <w:ind w:right="4"/>
        <w:jc w:val="both"/>
        <w:rPr>
          <w:rFonts w:ascii="Open Sans" w:eastAsia="Open Sans" w:hAnsi="Open Sans" w:cs="Open Sans"/>
          <w:sz w:val="22"/>
          <w:szCs w:val="22"/>
        </w:rPr>
      </w:pPr>
    </w:p>
    <w:p w14:paraId="24617669" w14:textId="77777777" w:rsidR="00995C12" w:rsidRDefault="00995C12">
      <w:pPr>
        <w:spacing w:line="276" w:lineRule="auto"/>
        <w:ind w:right="4"/>
        <w:jc w:val="both"/>
        <w:rPr>
          <w:rFonts w:ascii="Open Sans" w:eastAsia="Open Sans" w:hAnsi="Open Sans" w:cs="Open Sans"/>
          <w:sz w:val="22"/>
          <w:szCs w:val="22"/>
        </w:rPr>
      </w:pPr>
    </w:p>
    <w:p w14:paraId="4A08690B" w14:textId="77777777" w:rsidR="00995C12" w:rsidRDefault="00995C12">
      <w:pPr>
        <w:spacing w:line="276" w:lineRule="auto"/>
        <w:ind w:right="4"/>
        <w:jc w:val="both"/>
        <w:rPr>
          <w:rFonts w:ascii="Open Sans" w:eastAsia="Open Sans" w:hAnsi="Open Sans" w:cs="Open Sans"/>
          <w:sz w:val="22"/>
          <w:szCs w:val="22"/>
        </w:rPr>
      </w:pPr>
    </w:p>
    <w:p w14:paraId="3FB2AF1A" w14:textId="77777777" w:rsidR="00995C12" w:rsidRDefault="00995C12">
      <w:pPr>
        <w:spacing w:line="276" w:lineRule="auto"/>
        <w:ind w:right="4"/>
        <w:jc w:val="both"/>
        <w:rPr>
          <w:rFonts w:ascii="Open Sans" w:eastAsia="Open Sans" w:hAnsi="Open Sans" w:cs="Open Sans"/>
          <w:sz w:val="22"/>
          <w:szCs w:val="22"/>
        </w:rPr>
      </w:pPr>
    </w:p>
    <w:p w14:paraId="44F445B2" w14:textId="77777777" w:rsidR="00995C12" w:rsidRDefault="00995C12">
      <w:pPr>
        <w:spacing w:line="276" w:lineRule="auto"/>
        <w:ind w:right="4"/>
        <w:jc w:val="both"/>
        <w:rPr>
          <w:rFonts w:ascii="Open Sans" w:eastAsia="Open Sans" w:hAnsi="Open Sans" w:cs="Open Sans"/>
          <w:sz w:val="22"/>
          <w:szCs w:val="22"/>
        </w:rPr>
      </w:pPr>
    </w:p>
    <w:p w14:paraId="23523CF7" w14:textId="7D80DDD5" w:rsidR="00995C12" w:rsidRDefault="00491462">
      <w:r>
        <w:rPr>
          <w:noProof/>
        </w:rPr>
        <w:drawing>
          <wp:inline distT="0" distB="0" distL="0" distR="0" wp14:anchorId="53CB399A" wp14:editId="1E6CD248">
            <wp:extent cx="5760720" cy="3721100"/>
            <wp:effectExtent l="0" t="0" r="0" b="0"/>
            <wp:docPr id="2057937879"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937879" name="Imagen 1" descr="Gráfico, Gráfico de líneas&#10;&#10;Descripción generada automáticamente"/>
                    <pic:cNvPicPr/>
                  </pic:nvPicPr>
                  <pic:blipFill>
                    <a:blip r:embed="rId10"/>
                    <a:stretch>
                      <a:fillRect/>
                    </a:stretch>
                  </pic:blipFill>
                  <pic:spPr>
                    <a:xfrm>
                      <a:off x="0" y="0"/>
                      <a:ext cx="5760720" cy="3721100"/>
                    </a:xfrm>
                    <a:prstGeom prst="rect">
                      <a:avLst/>
                    </a:prstGeom>
                  </pic:spPr>
                </pic:pic>
              </a:graphicData>
            </a:graphic>
          </wp:inline>
        </w:drawing>
      </w:r>
    </w:p>
    <w:p w14:paraId="5ABE809B" w14:textId="77777777" w:rsidR="00491462" w:rsidRDefault="00491462">
      <w:pPr>
        <w:spacing w:line="276" w:lineRule="auto"/>
        <w:ind w:right="4"/>
        <w:jc w:val="both"/>
        <w:rPr>
          <w:rFonts w:ascii="Open Sans" w:eastAsia="Open Sans" w:hAnsi="Open Sans" w:cs="Open Sans"/>
          <w:sz w:val="22"/>
          <w:szCs w:val="22"/>
        </w:rPr>
      </w:pPr>
    </w:p>
    <w:p w14:paraId="24F9854E" w14:textId="4FCBDBDD" w:rsidR="00995C12" w:rsidRDefault="00000000">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 xml:space="preserve">“Los inquilinos están en lo cierto. Nunca en la historia del arrendamiento habían tenido que hacer frente a un precio de la vivienda tan alto como ahora. Los precios del alquiler están en máximos históricos desde 2022. Una situación que pone de manifiesto las dificultades de acceso a la vivienda, en la que los inquilinos tienen que destinar el 43% de su salario para pagar la renta mensual, el mayor porcentaje hasta ahora. La percepción en cuanto a previsiones también es cierta. Es probable que el precio del alquiler siga en aumento en los próximos meses, debido al gran desequilibrio existente entre oferta y demanda. Para estabilizar el mercado y que los precios puedan tender a bajar, es necesario incentivar la cooperación entre el sector público y privado para promover el alquiler, la rehabilitación y cesión de inmuebles, fortalecer la seguridad jurídica y la estabilidad regulatoria y mejorar el transporte público en las zonas metropolitanas”, </w:t>
      </w:r>
      <w:r w:rsidRPr="00491462">
        <w:rPr>
          <w:rFonts w:ascii="Open Sans" w:eastAsia="Open Sans" w:hAnsi="Open Sans" w:cs="Open Sans"/>
          <w:b/>
          <w:bCs/>
          <w:sz w:val="22"/>
          <w:szCs w:val="22"/>
        </w:rPr>
        <w:t xml:space="preserve">comenta María Matos, directora de Estudios y portavoz de </w:t>
      </w:r>
      <w:hyperlink r:id="rId11">
        <w:r w:rsidR="00995C12" w:rsidRPr="00491462">
          <w:rPr>
            <w:rFonts w:ascii="Open Sans" w:eastAsia="Open Sans" w:hAnsi="Open Sans" w:cs="Open Sans"/>
            <w:b/>
            <w:bCs/>
            <w:color w:val="1155CC"/>
            <w:sz w:val="22"/>
            <w:szCs w:val="22"/>
            <w:u w:val="single"/>
          </w:rPr>
          <w:t>Fotocasa</w:t>
        </w:r>
      </w:hyperlink>
      <w:r w:rsidRPr="00491462">
        <w:rPr>
          <w:rFonts w:ascii="Open Sans" w:eastAsia="Open Sans" w:hAnsi="Open Sans" w:cs="Open Sans"/>
          <w:b/>
          <w:bCs/>
          <w:sz w:val="22"/>
          <w:szCs w:val="22"/>
        </w:rPr>
        <w:t>.</w:t>
      </w:r>
      <w:r>
        <w:rPr>
          <w:rFonts w:ascii="Open Sans" w:eastAsia="Open Sans" w:hAnsi="Open Sans" w:cs="Open Sans"/>
          <w:sz w:val="22"/>
          <w:szCs w:val="22"/>
        </w:rPr>
        <w:t xml:space="preserve"> </w:t>
      </w:r>
    </w:p>
    <w:p w14:paraId="137BD64F" w14:textId="77777777" w:rsidR="00995C12" w:rsidRDefault="00995C12">
      <w:pPr>
        <w:spacing w:line="276" w:lineRule="auto"/>
        <w:ind w:right="4"/>
        <w:jc w:val="both"/>
        <w:rPr>
          <w:rFonts w:ascii="Open Sans" w:eastAsia="Open Sans" w:hAnsi="Open Sans" w:cs="Open Sans"/>
          <w:sz w:val="22"/>
          <w:szCs w:val="22"/>
        </w:rPr>
      </w:pPr>
    </w:p>
    <w:p w14:paraId="10D9476E" w14:textId="77777777" w:rsidR="00995C12" w:rsidRDefault="00000000">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 xml:space="preserve">Si se acerca la mirada al análisis por grupos de edad, se observa que </w:t>
      </w:r>
      <w:r>
        <w:rPr>
          <w:rFonts w:ascii="Open Sans" w:eastAsia="Open Sans" w:hAnsi="Open Sans" w:cs="Open Sans"/>
          <w:b/>
          <w:sz w:val="22"/>
          <w:szCs w:val="22"/>
        </w:rPr>
        <w:t xml:space="preserve">a partir de los 25 años se dispara la percepción de encarecimiento en la vivienda de alquiler. </w:t>
      </w:r>
      <w:r>
        <w:rPr>
          <w:rFonts w:ascii="Open Sans" w:eastAsia="Open Sans" w:hAnsi="Open Sans" w:cs="Open Sans"/>
          <w:sz w:val="22"/>
          <w:szCs w:val="22"/>
        </w:rPr>
        <w:t>Así, mientras que antes de esa edad los que lo consideran muy caro son únicamente el 61% (cinco puntos porcentuales menos que en 2023</w:t>
      </w:r>
      <w:r>
        <w:rPr>
          <w:rFonts w:ascii="Open Sans" w:eastAsia="Open Sans" w:hAnsi="Open Sans" w:cs="Open Sans"/>
          <w:b/>
          <w:sz w:val="22"/>
          <w:szCs w:val="22"/>
        </w:rPr>
        <w:t>), a partir de los 25 la cifra sube hasta el 79%</w:t>
      </w:r>
      <w:r>
        <w:rPr>
          <w:rFonts w:ascii="Open Sans" w:eastAsia="Open Sans" w:hAnsi="Open Sans" w:cs="Open Sans"/>
          <w:sz w:val="22"/>
          <w:szCs w:val="22"/>
        </w:rPr>
        <w:t>, para mantenerse en este registro de manera aproximada en el resto de los grupos. En este sentido, la cifra más alta se alcanza entre los 45 y los 54 años, donde esta opinión llega hasta el 84%.</w:t>
      </w:r>
    </w:p>
    <w:p w14:paraId="36214883" w14:textId="77777777" w:rsidR="00491462" w:rsidRDefault="00491462">
      <w:pPr>
        <w:spacing w:line="276" w:lineRule="auto"/>
        <w:ind w:right="4"/>
        <w:jc w:val="both"/>
        <w:rPr>
          <w:rFonts w:ascii="Open Sans" w:eastAsia="Open Sans" w:hAnsi="Open Sans" w:cs="Open Sans"/>
          <w:sz w:val="22"/>
          <w:szCs w:val="22"/>
        </w:rPr>
      </w:pPr>
    </w:p>
    <w:p w14:paraId="4BF17FD2" w14:textId="77777777" w:rsidR="00491462" w:rsidRDefault="00491462">
      <w:pPr>
        <w:spacing w:line="276" w:lineRule="auto"/>
        <w:ind w:right="4"/>
        <w:jc w:val="both"/>
        <w:rPr>
          <w:rFonts w:ascii="Open Sans" w:eastAsia="Open Sans" w:hAnsi="Open Sans" w:cs="Open Sans"/>
          <w:sz w:val="22"/>
          <w:szCs w:val="22"/>
        </w:rPr>
      </w:pPr>
      <w:r>
        <w:rPr>
          <w:noProof/>
        </w:rPr>
        <w:lastRenderedPageBreak/>
        <w:drawing>
          <wp:inline distT="0" distB="0" distL="0" distR="0" wp14:anchorId="3284244E" wp14:editId="7CF28BB5">
            <wp:extent cx="5760720" cy="4225290"/>
            <wp:effectExtent l="0" t="0" r="0" b="3810"/>
            <wp:docPr id="1328826873"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826873" name="Imagen 1" descr="Gráfico, Gráfico de barras&#10;&#10;Descripción generada automáticamente"/>
                    <pic:cNvPicPr/>
                  </pic:nvPicPr>
                  <pic:blipFill>
                    <a:blip r:embed="rId12"/>
                    <a:stretch>
                      <a:fillRect/>
                    </a:stretch>
                  </pic:blipFill>
                  <pic:spPr>
                    <a:xfrm>
                      <a:off x="0" y="0"/>
                      <a:ext cx="5760720" cy="4225290"/>
                    </a:xfrm>
                    <a:prstGeom prst="rect">
                      <a:avLst/>
                    </a:prstGeom>
                  </pic:spPr>
                </pic:pic>
              </a:graphicData>
            </a:graphic>
          </wp:inline>
        </w:drawing>
      </w:r>
    </w:p>
    <w:p w14:paraId="3CBCAD62" w14:textId="77777777" w:rsidR="00491462" w:rsidRDefault="00491462">
      <w:pPr>
        <w:spacing w:line="276" w:lineRule="auto"/>
        <w:ind w:right="4"/>
        <w:jc w:val="both"/>
        <w:rPr>
          <w:rFonts w:ascii="Open Sans" w:eastAsia="Open Sans" w:hAnsi="Open Sans" w:cs="Open Sans"/>
          <w:sz w:val="22"/>
          <w:szCs w:val="22"/>
        </w:rPr>
      </w:pPr>
    </w:p>
    <w:p w14:paraId="1D629F7E" w14:textId="2D54551B" w:rsidR="00995C12" w:rsidRDefault="00000000">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Otra importante cuestión que se le plantea a los inquilin</w:t>
      </w:r>
      <w:r w:rsidR="00491462">
        <w:rPr>
          <w:rFonts w:ascii="Open Sans" w:eastAsia="Open Sans" w:hAnsi="Open Sans" w:cs="Open Sans"/>
          <w:sz w:val="22"/>
          <w:szCs w:val="22"/>
        </w:rPr>
        <w:t>o</w:t>
      </w:r>
      <w:r>
        <w:rPr>
          <w:rFonts w:ascii="Open Sans" w:eastAsia="Open Sans" w:hAnsi="Open Sans" w:cs="Open Sans"/>
          <w:sz w:val="22"/>
          <w:szCs w:val="22"/>
        </w:rPr>
        <w:t xml:space="preserve">s es la que tiene que ver sobre su perspectiva respecto a la evolución de los precios. Así, </w:t>
      </w:r>
      <w:r>
        <w:rPr>
          <w:rFonts w:ascii="Open Sans" w:eastAsia="Open Sans" w:hAnsi="Open Sans" w:cs="Open Sans"/>
          <w:b/>
          <w:sz w:val="22"/>
          <w:szCs w:val="22"/>
        </w:rPr>
        <w:t>ocho de cada diez consultados creen que los precios seguirán subiendo</w:t>
      </w:r>
      <w:r>
        <w:rPr>
          <w:rFonts w:ascii="Open Sans" w:eastAsia="Open Sans" w:hAnsi="Open Sans" w:cs="Open Sans"/>
          <w:sz w:val="22"/>
          <w:szCs w:val="22"/>
        </w:rPr>
        <w:t>. Este 80% es el mismo porcentaje que el año anterior, aunque con leve tendencia al alza. Por su parte, el 17% opina que las tarifas son más o menos estables, mientras que solo el 3% prevé que tiendan a bajar.</w:t>
      </w:r>
    </w:p>
    <w:p w14:paraId="6B8D734C" w14:textId="77777777" w:rsidR="00995C12" w:rsidRDefault="00995C12">
      <w:pPr>
        <w:spacing w:line="276" w:lineRule="auto"/>
        <w:ind w:right="4"/>
        <w:jc w:val="both"/>
        <w:rPr>
          <w:rFonts w:ascii="Open Sans" w:eastAsia="Open Sans" w:hAnsi="Open Sans" w:cs="Open Sans"/>
          <w:sz w:val="22"/>
          <w:szCs w:val="22"/>
        </w:rPr>
      </w:pPr>
    </w:p>
    <w:p w14:paraId="2C8D123D" w14:textId="77777777" w:rsidR="00995C12" w:rsidRPr="00322AE7"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sz w:val="28"/>
          <w:szCs w:val="28"/>
        </w:rPr>
      </w:pPr>
      <w:r w:rsidRPr="00322AE7">
        <w:rPr>
          <w:rFonts w:ascii="Open Sans Light" w:eastAsia="Open Sans Light" w:hAnsi="Open Sans Light" w:cs="Open Sans Light"/>
          <w:b/>
          <w:color w:val="303AB2"/>
          <w:sz w:val="28"/>
          <w:szCs w:val="28"/>
        </w:rPr>
        <w:t>Causas del encarecimiento</w:t>
      </w:r>
    </w:p>
    <w:p w14:paraId="3B0169BB" w14:textId="77777777" w:rsidR="00995C12" w:rsidRDefault="00995C12">
      <w:pPr>
        <w:spacing w:line="276" w:lineRule="auto"/>
        <w:ind w:right="4"/>
        <w:jc w:val="both"/>
        <w:rPr>
          <w:rFonts w:ascii="Open Sans" w:eastAsia="Open Sans" w:hAnsi="Open Sans" w:cs="Open Sans"/>
          <w:sz w:val="22"/>
          <w:szCs w:val="22"/>
        </w:rPr>
      </w:pPr>
    </w:p>
    <w:p w14:paraId="4041EDEB" w14:textId="77777777" w:rsidR="00995C12" w:rsidRDefault="00000000">
      <w:pPr>
        <w:spacing w:line="276" w:lineRule="auto"/>
        <w:ind w:right="4"/>
        <w:jc w:val="both"/>
        <w:rPr>
          <w:rFonts w:ascii="Open Sans" w:eastAsia="Open Sans" w:hAnsi="Open Sans" w:cs="Open Sans"/>
          <w:b/>
          <w:sz w:val="22"/>
          <w:szCs w:val="22"/>
        </w:rPr>
      </w:pPr>
      <w:r>
        <w:rPr>
          <w:rFonts w:ascii="Open Sans" w:eastAsia="Open Sans" w:hAnsi="Open Sans" w:cs="Open Sans"/>
          <w:sz w:val="22"/>
          <w:szCs w:val="22"/>
        </w:rPr>
        <w:t xml:space="preserve">Con este panorama en el que los inquilinos coinciden en que los precios están altos y que van a seguir subiendo, resulta especialmente relevante analizar a qué achacan esta situación. El sentir mayoritario, en este sentido, </w:t>
      </w:r>
      <w:r>
        <w:rPr>
          <w:rFonts w:ascii="Open Sans" w:eastAsia="Open Sans" w:hAnsi="Open Sans" w:cs="Open Sans"/>
          <w:b/>
          <w:sz w:val="22"/>
          <w:szCs w:val="22"/>
        </w:rPr>
        <w:t xml:space="preserve">señala a la inflación y la evolución de los tipos de interés como principales causantes del actual escenario. </w:t>
      </w:r>
    </w:p>
    <w:p w14:paraId="3C51390C" w14:textId="77777777" w:rsidR="00995C12" w:rsidRDefault="00995C12">
      <w:pPr>
        <w:spacing w:line="276" w:lineRule="auto"/>
        <w:ind w:right="4"/>
        <w:jc w:val="both"/>
        <w:rPr>
          <w:rFonts w:ascii="Open Sans" w:eastAsia="Open Sans" w:hAnsi="Open Sans" w:cs="Open Sans"/>
          <w:sz w:val="22"/>
          <w:szCs w:val="22"/>
        </w:rPr>
      </w:pPr>
    </w:p>
    <w:p w14:paraId="130651B0" w14:textId="77777777" w:rsidR="00995C12" w:rsidRDefault="00000000">
      <w:pPr>
        <w:spacing w:line="276" w:lineRule="auto"/>
        <w:ind w:right="4"/>
        <w:jc w:val="both"/>
        <w:rPr>
          <w:rFonts w:ascii="Open Sans" w:eastAsia="Open Sans" w:hAnsi="Open Sans" w:cs="Open Sans"/>
          <w:sz w:val="22"/>
          <w:szCs w:val="22"/>
        </w:rPr>
      </w:pPr>
      <w:r>
        <w:rPr>
          <w:rFonts w:ascii="Open Sans" w:eastAsia="Open Sans" w:hAnsi="Open Sans" w:cs="Open Sans"/>
          <w:sz w:val="22"/>
          <w:szCs w:val="22"/>
        </w:rPr>
        <w:t xml:space="preserve">De esta manera, </w:t>
      </w:r>
      <w:r>
        <w:rPr>
          <w:rFonts w:ascii="Open Sans" w:eastAsia="Open Sans" w:hAnsi="Open Sans" w:cs="Open Sans"/>
          <w:b/>
          <w:sz w:val="22"/>
          <w:szCs w:val="22"/>
        </w:rPr>
        <w:t>el 76% de los inquilinos que pronostican una evolución creciente de los precios</w:t>
      </w:r>
      <w:r>
        <w:rPr>
          <w:rFonts w:ascii="Open Sans" w:eastAsia="Open Sans" w:hAnsi="Open Sans" w:cs="Open Sans"/>
          <w:sz w:val="22"/>
          <w:szCs w:val="22"/>
        </w:rPr>
        <w:t xml:space="preserve"> creen que es el factor que más incidencia tiene en su pronóstico. </w:t>
      </w:r>
      <w:r>
        <w:rPr>
          <w:rFonts w:ascii="Open Sans" w:eastAsia="Open Sans" w:hAnsi="Open Sans" w:cs="Open Sans"/>
          <w:b/>
          <w:sz w:val="22"/>
          <w:szCs w:val="22"/>
        </w:rPr>
        <w:t xml:space="preserve">Otro porcentaje significativo (69%) lo relaciona con el aumento de la demanda.  </w:t>
      </w:r>
    </w:p>
    <w:p w14:paraId="7478759F" w14:textId="77777777" w:rsidR="00995C12" w:rsidRDefault="00995C12">
      <w:pPr>
        <w:spacing w:line="276" w:lineRule="auto"/>
        <w:ind w:right="4"/>
        <w:jc w:val="both"/>
        <w:rPr>
          <w:rFonts w:ascii="Open Sans" w:eastAsia="Open Sans" w:hAnsi="Open Sans" w:cs="Open Sans"/>
          <w:sz w:val="22"/>
          <w:szCs w:val="22"/>
        </w:rPr>
      </w:pPr>
    </w:p>
    <w:p w14:paraId="4C4546CD" w14:textId="77777777" w:rsidR="00995C12" w:rsidRDefault="00000000">
      <w:pPr>
        <w:spacing w:line="276" w:lineRule="auto"/>
        <w:ind w:right="4"/>
        <w:jc w:val="both"/>
        <w:rPr>
          <w:rFonts w:ascii="Open Sans" w:eastAsia="Open Sans" w:hAnsi="Open Sans" w:cs="Open Sans"/>
          <w:b/>
          <w:sz w:val="22"/>
          <w:szCs w:val="22"/>
        </w:rPr>
      </w:pPr>
      <w:r>
        <w:rPr>
          <w:rFonts w:ascii="Open Sans" w:eastAsia="Open Sans" w:hAnsi="Open Sans" w:cs="Open Sans"/>
          <w:sz w:val="22"/>
          <w:szCs w:val="22"/>
        </w:rPr>
        <w:t xml:space="preserve">Con la anterior razón entronca, de manera muy directa, el tercer factor apuntado: </w:t>
      </w:r>
      <w:r>
        <w:rPr>
          <w:rFonts w:ascii="Open Sans" w:eastAsia="Open Sans" w:hAnsi="Open Sans" w:cs="Open Sans"/>
          <w:b/>
          <w:sz w:val="22"/>
          <w:szCs w:val="22"/>
        </w:rPr>
        <w:t xml:space="preserve">la escasez de la oferta, cuestión señalada por el 67% de los consultados.   </w:t>
      </w:r>
    </w:p>
    <w:p w14:paraId="18BA11FF" w14:textId="77777777" w:rsidR="00995C12" w:rsidRDefault="00995C12">
      <w:pPr>
        <w:spacing w:line="276" w:lineRule="auto"/>
        <w:ind w:right="4"/>
        <w:jc w:val="both"/>
        <w:rPr>
          <w:rFonts w:ascii="Open Sans" w:eastAsia="Open Sans" w:hAnsi="Open Sans" w:cs="Open Sans"/>
          <w:b/>
          <w:sz w:val="22"/>
          <w:szCs w:val="22"/>
        </w:rPr>
      </w:pPr>
    </w:p>
    <w:p w14:paraId="687E723D" w14:textId="77777777" w:rsidR="00F96CF9" w:rsidRDefault="00F96CF9">
      <w:pPr>
        <w:spacing w:line="276" w:lineRule="auto"/>
        <w:jc w:val="right"/>
        <w:rPr>
          <w:rFonts w:ascii="Open Sans Light" w:eastAsia="Open Sans Light" w:hAnsi="Open Sans Light" w:cs="Open Sans Light"/>
          <w:b/>
          <w:color w:val="303AB2"/>
        </w:rPr>
      </w:pPr>
      <w:r>
        <w:rPr>
          <w:noProof/>
        </w:rPr>
        <w:lastRenderedPageBreak/>
        <w:drawing>
          <wp:inline distT="0" distB="0" distL="0" distR="0" wp14:anchorId="12CF53A6" wp14:editId="30AFAC94">
            <wp:extent cx="5760720" cy="6021705"/>
            <wp:effectExtent l="0" t="0" r="0" b="0"/>
            <wp:docPr id="1724773930"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773930" name="Imagen 1" descr="Gráfico, Gráfico de barras&#10;&#10;Descripción generada automáticamente"/>
                    <pic:cNvPicPr/>
                  </pic:nvPicPr>
                  <pic:blipFill>
                    <a:blip r:embed="rId13"/>
                    <a:stretch>
                      <a:fillRect/>
                    </a:stretch>
                  </pic:blipFill>
                  <pic:spPr>
                    <a:xfrm>
                      <a:off x="0" y="0"/>
                      <a:ext cx="5760720" cy="6021705"/>
                    </a:xfrm>
                    <a:prstGeom prst="rect">
                      <a:avLst/>
                    </a:prstGeom>
                  </pic:spPr>
                </pic:pic>
              </a:graphicData>
            </a:graphic>
          </wp:inline>
        </w:drawing>
      </w:r>
    </w:p>
    <w:p w14:paraId="2D00EDB4" w14:textId="77777777" w:rsidR="00F96CF9" w:rsidRDefault="00F96CF9">
      <w:pPr>
        <w:spacing w:line="276" w:lineRule="auto"/>
        <w:jc w:val="right"/>
        <w:rPr>
          <w:rFonts w:ascii="Open Sans Light" w:eastAsia="Open Sans Light" w:hAnsi="Open Sans Light" w:cs="Open Sans Light"/>
          <w:b/>
          <w:color w:val="303AB2"/>
        </w:rPr>
      </w:pPr>
    </w:p>
    <w:p w14:paraId="3513086F" w14:textId="77777777" w:rsidR="00322AE7" w:rsidRDefault="00322AE7" w:rsidP="00322AE7">
      <w:pPr>
        <w:spacing w:line="276" w:lineRule="auto"/>
        <w:ind w:right="141"/>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36376BE2" w14:textId="77777777" w:rsidR="00322AE7" w:rsidRDefault="00322AE7" w:rsidP="00322AE7">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4">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0732839D" w14:textId="77777777" w:rsidR="00322AE7" w:rsidRDefault="00322AE7" w:rsidP="00322AE7">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5">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37EFCE97" w14:textId="77777777" w:rsidR="00322AE7" w:rsidRDefault="00322AE7" w:rsidP="00322AE7">
      <w:pPr>
        <w:shd w:val="clear" w:color="auto" w:fill="FFFFFF"/>
        <w:spacing w:before="280" w:after="280" w:line="276" w:lineRule="auto"/>
        <w:ind w:right="141"/>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w:t>
      </w:r>
    </w:p>
    <w:p w14:paraId="05D5454F" w14:textId="77777777" w:rsidR="00322AE7" w:rsidRDefault="00322AE7" w:rsidP="00322AE7">
      <w:pPr>
        <w:spacing w:line="276" w:lineRule="auto"/>
        <w:ind w:right="141"/>
        <w:jc w:val="right"/>
        <w:rPr>
          <w:rFonts w:ascii="Open Sans Light" w:eastAsia="Open Sans Light" w:hAnsi="Open Sans Light" w:cs="Open Sans Light"/>
          <w:b/>
          <w:color w:val="303AB2"/>
        </w:rPr>
      </w:pPr>
    </w:p>
    <w:p w14:paraId="61D0A1FE" w14:textId="77777777" w:rsidR="00322AE7" w:rsidRDefault="00322AE7" w:rsidP="00322AE7">
      <w:pPr>
        <w:spacing w:line="276" w:lineRule="auto"/>
        <w:ind w:right="141"/>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1BE37341" w14:textId="77777777" w:rsidR="00322AE7" w:rsidRDefault="00322AE7" w:rsidP="00322AE7">
      <w:pPr>
        <w:spacing w:before="143" w:after="200"/>
        <w:ind w:right="141"/>
        <w:jc w:val="both"/>
        <w:rPr>
          <w:rFonts w:ascii="Open Sans" w:eastAsia="Open Sans" w:hAnsi="Open Sans" w:cs="Open Sans"/>
        </w:rPr>
      </w:pPr>
      <w:proofErr w:type="spellStart"/>
      <w:r w:rsidRPr="00AE3DD9">
        <w:rPr>
          <w:rFonts w:ascii="Open Sans" w:eastAsia="Open Sans" w:hAnsi="Open Sans" w:cs="Open Sans"/>
          <w:sz w:val="22"/>
          <w:szCs w:val="22"/>
        </w:rPr>
        <w:t>Adevinta</w:t>
      </w:r>
      <w:proofErr w:type="spellEnd"/>
      <w:r w:rsidRPr="00AE3DD9">
        <w:rPr>
          <w:rFonts w:ascii="Open Sans" w:eastAsia="Open Sans" w:hAnsi="Open Sans" w:cs="Open Sans"/>
          <w:sz w:val="22"/>
          <w:szCs w:val="22"/>
        </w:rPr>
        <w:t xml:space="preserve"> es un grupo de empresas líder en </w:t>
      </w:r>
      <w:proofErr w:type="spellStart"/>
      <w:r w:rsidRPr="00AE3DD9">
        <w:rPr>
          <w:rFonts w:ascii="Open Sans" w:eastAsia="Open Sans" w:hAnsi="Open Sans" w:cs="Open Sans"/>
          <w:sz w:val="22"/>
          <w:szCs w:val="22"/>
        </w:rPr>
        <w:t>marketplaces</w:t>
      </w:r>
      <w:proofErr w:type="spellEnd"/>
      <w:r w:rsidRPr="00AE3DD9">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r>
        <w:rPr>
          <w:rFonts w:ascii="Open Sans" w:eastAsia="Open Sans" w:hAnsi="Open Sans" w:cs="Open Sans"/>
          <w:sz w:val="22"/>
          <w:szCs w:val="22"/>
        </w:rPr>
        <w:t>(</w:t>
      </w:r>
      <w:hyperlink r:id="rId16">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7">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8">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9">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0">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7FC94041" w14:textId="77777777" w:rsidR="00322AE7" w:rsidRPr="00AE3DD9" w:rsidRDefault="00322AE7" w:rsidP="00322AE7">
      <w:pPr>
        <w:spacing w:before="143" w:after="200"/>
        <w:ind w:right="141"/>
        <w:jc w:val="both"/>
        <w:rPr>
          <w:rFonts w:ascii="Open Sans" w:eastAsia="Open Sans" w:hAnsi="Open Sans" w:cs="Open Sans"/>
          <w:sz w:val="22"/>
          <w:szCs w:val="22"/>
        </w:rPr>
      </w:pPr>
      <w:r w:rsidRPr="00AE3DD9">
        <w:rPr>
          <w:rFonts w:ascii="Open Sans" w:eastAsia="Open Sans" w:hAnsi="Open Sans" w:cs="Open Sans"/>
          <w:sz w:val="22"/>
          <w:szCs w:val="22"/>
        </w:rPr>
        <w:t xml:space="preserve">Los negocios de </w:t>
      </w:r>
      <w:proofErr w:type="spellStart"/>
      <w:r w:rsidRPr="00AE3DD9">
        <w:rPr>
          <w:rFonts w:ascii="Open Sans" w:eastAsia="Open Sans" w:hAnsi="Open Sans" w:cs="Open Sans"/>
          <w:sz w:val="22"/>
          <w:szCs w:val="22"/>
        </w:rPr>
        <w:t>Adevinta</w:t>
      </w:r>
      <w:proofErr w:type="spellEnd"/>
      <w:r w:rsidRPr="00AE3DD9">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66B2EDEE" w14:textId="77777777" w:rsidR="00322AE7" w:rsidRDefault="00322AE7" w:rsidP="00322AE7">
      <w:pPr>
        <w:spacing w:before="143" w:after="200"/>
        <w:ind w:right="141"/>
        <w:jc w:val="both"/>
        <w:rPr>
          <w:rFonts w:ascii="Open Sans" w:eastAsia="Open Sans" w:hAnsi="Open Sans" w:cs="Open Sans"/>
          <w:sz w:val="22"/>
          <w:szCs w:val="22"/>
        </w:rPr>
      </w:pPr>
      <w:proofErr w:type="spellStart"/>
      <w:r w:rsidRPr="00AE3DD9">
        <w:rPr>
          <w:rFonts w:ascii="Open Sans" w:eastAsia="Open Sans" w:hAnsi="Open Sans" w:cs="Open Sans"/>
          <w:sz w:val="22"/>
          <w:szCs w:val="22"/>
        </w:rPr>
        <w:t>Adevinta</w:t>
      </w:r>
      <w:proofErr w:type="spellEnd"/>
      <w:r w:rsidRPr="00AE3DD9">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795EA816" w14:textId="77777777" w:rsidR="00322AE7" w:rsidRDefault="00322AE7" w:rsidP="00322AE7">
      <w:pPr>
        <w:spacing w:before="143" w:after="200"/>
        <w:ind w:right="141"/>
        <w:jc w:val="both"/>
        <w:rPr>
          <w:rFonts w:ascii="Open Sans" w:eastAsia="Open Sans" w:hAnsi="Open Sans" w:cs="Open Sans"/>
        </w:rPr>
      </w:pPr>
      <w:r>
        <w:rPr>
          <w:rFonts w:ascii="Open Sans" w:eastAsia="Open Sans" w:hAnsi="Open Sans" w:cs="Open Sans"/>
          <w:sz w:val="22"/>
          <w:szCs w:val="22"/>
        </w:rPr>
        <w:t xml:space="preserve">Más información en </w:t>
      </w:r>
      <w:hyperlink r:id="rId21">
        <w:r>
          <w:rPr>
            <w:rFonts w:ascii="Open Sans" w:eastAsia="Open Sans" w:hAnsi="Open Sans" w:cs="Open Sans"/>
            <w:color w:val="1155CC"/>
            <w:sz w:val="22"/>
            <w:szCs w:val="22"/>
            <w:u w:val="single"/>
          </w:rPr>
          <w:t>adevinta.es</w:t>
        </w:r>
      </w:hyperlink>
    </w:p>
    <w:p w14:paraId="3F635206" w14:textId="77777777" w:rsidR="00322AE7" w:rsidRDefault="00322AE7" w:rsidP="00322AE7">
      <w:pPr>
        <w:spacing w:line="276" w:lineRule="auto"/>
        <w:ind w:right="141"/>
        <w:jc w:val="right"/>
        <w:rPr>
          <w:rFonts w:ascii="Open Sans" w:eastAsia="Open Sans" w:hAnsi="Open Sans" w:cs="Open Sans"/>
        </w:rPr>
      </w:pPr>
    </w:p>
    <w:p w14:paraId="604E77BC" w14:textId="77777777" w:rsidR="00322AE7" w:rsidRDefault="00322AE7" w:rsidP="00322AE7">
      <w:pPr>
        <w:spacing w:line="276" w:lineRule="auto"/>
        <w:ind w:right="141"/>
        <w:jc w:val="right"/>
        <w:rPr>
          <w:rFonts w:ascii="Open Sans" w:eastAsia="Open Sans" w:hAnsi="Open Sans" w:cs="Open Sans"/>
        </w:rPr>
      </w:pPr>
    </w:p>
    <w:p w14:paraId="3D54530B" w14:textId="77777777" w:rsidR="00322AE7" w:rsidRDefault="00322AE7" w:rsidP="00322AE7">
      <w:pPr>
        <w:spacing w:line="276" w:lineRule="auto"/>
        <w:ind w:right="141"/>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6702AE7A" w14:textId="77777777" w:rsidR="00322AE7" w:rsidRDefault="00322AE7" w:rsidP="00322AE7">
      <w:pPr>
        <w:shd w:val="clear" w:color="auto" w:fill="FFFFFF"/>
        <w:spacing w:line="276" w:lineRule="auto"/>
        <w:ind w:right="141"/>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6CEC6438" w14:textId="77777777" w:rsidR="00322AE7" w:rsidRDefault="00322AE7" w:rsidP="00322AE7">
      <w:pPr>
        <w:shd w:val="clear" w:color="auto" w:fill="FFFFFF"/>
        <w:spacing w:line="276" w:lineRule="auto"/>
        <w:ind w:right="141"/>
        <w:rPr>
          <w:rFonts w:ascii="Open Sans" w:eastAsia="Open Sans" w:hAnsi="Open Sans" w:cs="Open Sans"/>
          <w:color w:val="0000FF"/>
          <w:sz w:val="22"/>
          <w:szCs w:val="22"/>
          <w:u w:val="single"/>
        </w:rPr>
      </w:pPr>
      <w:hyperlink r:id="rId22">
        <w:r>
          <w:rPr>
            <w:rFonts w:ascii="Open Sans" w:eastAsia="Open Sans" w:hAnsi="Open Sans" w:cs="Open Sans"/>
            <w:color w:val="0000FF"/>
            <w:sz w:val="22"/>
            <w:szCs w:val="22"/>
            <w:u w:val="single"/>
          </w:rPr>
          <w:t>comunicacion@fotocasa.es</w:t>
        </w:r>
      </w:hyperlink>
    </w:p>
    <w:p w14:paraId="43CDB9BF" w14:textId="77777777" w:rsidR="00322AE7" w:rsidRDefault="00322AE7" w:rsidP="00322AE7">
      <w:pPr>
        <w:shd w:val="clear" w:color="auto" w:fill="FFFFFF"/>
        <w:spacing w:line="276" w:lineRule="auto"/>
        <w:ind w:right="141"/>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465BA289" w14:textId="77777777" w:rsidR="00322AE7" w:rsidRDefault="00322AE7" w:rsidP="00322AE7">
      <w:pPr>
        <w:spacing w:line="276" w:lineRule="auto"/>
        <w:ind w:right="141"/>
        <w:rPr>
          <w:rFonts w:ascii="Open Sans Light" w:eastAsia="Open Sans Light" w:hAnsi="Open Sans Light" w:cs="Open Sans Light"/>
          <w:b/>
          <w:color w:val="303AB2"/>
          <w:sz w:val="22"/>
          <w:szCs w:val="22"/>
        </w:rPr>
      </w:pPr>
    </w:p>
    <w:p w14:paraId="44774CEB" w14:textId="77777777" w:rsidR="00322AE7" w:rsidRDefault="00322AE7" w:rsidP="00322AE7">
      <w:pPr>
        <w:spacing w:line="276" w:lineRule="auto"/>
        <w:ind w:right="141"/>
        <w:rPr>
          <w:rFonts w:ascii="Open Sans Light" w:eastAsia="Open Sans Light" w:hAnsi="Open Sans Light" w:cs="Open Sans Light"/>
          <w:b/>
          <w:color w:val="303AB2"/>
          <w:sz w:val="22"/>
          <w:szCs w:val="22"/>
        </w:rPr>
      </w:pPr>
    </w:p>
    <w:p w14:paraId="503887EE" w14:textId="77777777" w:rsidR="00995C12" w:rsidRDefault="00995C12" w:rsidP="00322AE7">
      <w:pPr>
        <w:spacing w:line="276" w:lineRule="auto"/>
        <w:jc w:val="right"/>
        <w:rPr>
          <w:rFonts w:ascii="Open Sans" w:eastAsia="Open Sans" w:hAnsi="Open Sans" w:cs="Open Sans"/>
          <w:color w:val="000000"/>
          <w:sz w:val="21"/>
          <w:szCs w:val="21"/>
        </w:rPr>
      </w:pPr>
    </w:p>
    <w:sectPr w:rsidR="00995C12">
      <w:footerReference w:type="default" r:id="rId23"/>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C82286" w14:textId="77777777" w:rsidR="0096683D" w:rsidRDefault="0096683D">
      <w:r>
        <w:separator/>
      </w:r>
    </w:p>
  </w:endnote>
  <w:endnote w:type="continuationSeparator" w:id="0">
    <w:p w14:paraId="1B9BBA8B" w14:textId="77777777" w:rsidR="0096683D" w:rsidRDefault="009668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E8E61A68-C09E-4EED-9F93-3C0E3133C14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F033DDD-021B-490E-9853-60075D0DA4B5}"/>
    <w:embedBold r:id="rId3" w:fontKey="{71BC57EB-BC05-4F21-92E3-8A82B4D781D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4F027EB7-2861-4244-B4C3-6A1D0E390608}"/>
    <w:embedItalic r:id="rId5" w:fontKey="{1F803B7D-58AC-4CF6-9D05-3007B2F2ECC2}"/>
  </w:font>
  <w:font w:name="Cambria">
    <w:panose1 w:val="02040503050406030204"/>
    <w:charset w:val="00"/>
    <w:family w:val="roman"/>
    <w:pitch w:val="variable"/>
    <w:sig w:usb0="E00006FF" w:usb1="420024FF" w:usb2="02000000" w:usb3="00000000" w:csb0="0000019F" w:csb1="00000000"/>
    <w:embedRegular r:id="rId6" w:fontKey="{BBF89CD4-E852-4E09-B9C0-873A4E43DF13}"/>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BF83515B-EA1A-451B-9DC2-CA34ADC0B59C}"/>
    <w:embedBold r:id="rId8" w:fontKey="{1F671790-DC16-4AA3-9FA9-61C07825BF5F}"/>
    <w:embedBoldItalic r:id="rId9" w:fontKey="{0B561257-AE11-4C47-A6CA-538F8A31A439}"/>
  </w:font>
  <w:font w:name="Open Sans Light">
    <w:charset w:val="00"/>
    <w:family w:val="swiss"/>
    <w:pitch w:val="variable"/>
    <w:sig w:usb0="E00002EF" w:usb1="4000205B" w:usb2="00000028" w:usb3="00000000" w:csb0="0000019F" w:csb1="00000000"/>
    <w:embedRegular r:id="rId10" w:fontKey="{F6E0DE8B-C8E8-47DE-8D6E-2E3A71E83FF4}"/>
    <w:embedBold r:id="rId11" w:fontKey="{5BB36066-7925-4872-BA45-E98306C440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9458A2" w14:textId="77777777" w:rsidR="00995C12"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71B37FBD" wp14:editId="0E385C64">
          <wp:simplePos x="0" y="0"/>
          <wp:positionH relativeFrom="column">
            <wp:posOffset>-1068057</wp:posOffset>
          </wp:positionH>
          <wp:positionV relativeFrom="paragraph">
            <wp:posOffset>174608</wp:posOffset>
          </wp:positionV>
          <wp:extent cx="7670550" cy="451315"/>
          <wp:effectExtent l="0" t="0" r="0" b="0"/>
          <wp:wrapNone/>
          <wp:docPr id="209379020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D6BB95" w14:textId="77777777" w:rsidR="0096683D" w:rsidRDefault="0096683D">
      <w:r>
        <w:separator/>
      </w:r>
    </w:p>
  </w:footnote>
  <w:footnote w:type="continuationSeparator" w:id="0">
    <w:p w14:paraId="471BECA0" w14:textId="77777777" w:rsidR="0096683D" w:rsidRDefault="009668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7AC38B9"/>
    <w:multiLevelType w:val="multilevel"/>
    <w:tmpl w:val="BB2C13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754177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C12"/>
    <w:rsid w:val="00322AE7"/>
    <w:rsid w:val="00491462"/>
    <w:rsid w:val="00754CF8"/>
    <w:rsid w:val="0096683D"/>
    <w:rsid w:val="00995C12"/>
    <w:rsid w:val="00A27DF4"/>
    <w:rsid w:val="00F07400"/>
    <w:rsid w:val="00F96CF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E7D6F"/>
  <w15:docId w15:val="{6C5A0D1B-DA52-460B-9427-FC40D2E60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8"/>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8"/>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semiHidden/>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5"/>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5"/>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infojobs.net/" TargetMode="External"/><Relationship Id="rId3" Type="http://schemas.openxmlformats.org/officeDocument/2006/relationships/styles" Target="styles.xml"/><Relationship Id="rId21" Type="http://schemas.openxmlformats.org/officeDocument/2006/relationships/hyperlink" Target="http://adevinta.es"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habitaclia.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otocasa.es/es/" TargetMode="External"/><Relationship Id="rId20" Type="http://schemas.openxmlformats.org/officeDocument/2006/relationships/hyperlink" Target="https://motos.coche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rensa.fotocasa.es"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www.coches.net/" TargetMode="External"/><Relationship Id="rId4" Type="http://schemas.openxmlformats.org/officeDocument/2006/relationships/settings" Target="settings.xml"/><Relationship Id="rId9" Type="http://schemas.openxmlformats.org/officeDocument/2006/relationships/hyperlink" Target="https://prensa.fotocasa.es/informe-experiencia-en-alquiler-en-2024/" TargetMode="External"/><Relationship Id="rId14" Type="http://schemas.openxmlformats.org/officeDocument/2006/relationships/hyperlink" Target="https://www.fotocasa.es/indice/" TargetMode="External"/><Relationship Id="rId22" Type="http://schemas.openxmlformats.org/officeDocument/2006/relationships/hyperlink" Target="mailto:comunicacion@fotocas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CsIEI2AebriqeieBeHzh/+qEiA==">CgMxLjAyCWguMnM4ZXlvMTgAciExSHlCS1d2U1R4aDl5RUN2RTFLNXEyTDc2SlFCcU5yang=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1049</Words>
  <Characters>5770</Characters>
  <Application>Microsoft Office Word</Application>
  <DocSecurity>0</DocSecurity>
  <Lines>48</Lines>
  <Paragraphs>13</Paragraphs>
  <ScaleCrop>false</ScaleCrop>
  <Company/>
  <LinksUpToDate>false</LinksUpToDate>
  <CharactersWithSpaces>6806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4</cp:revision>
  <dcterms:created xsi:type="dcterms:W3CDTF">2024-02-06T13:46:00Z</dcterms:created>
  <dcterms:modified xsi:type="dcterms:W3CDTF">2024-10-30T18:16:00Z</dcterms:modified>
</cp:coreProperties>
</file>