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1CADB" w14:textId="77777777" w:rsidR="00D55E69" w:rsidRDefault="00000000">
      <w:r>
        <w:rPr>
          <w:noProof/>
        </w:rPr>
        <w:drawing>
          <wp:anchor distT="0" distB="0" distL="114300" distR="114300" simplePos="0" relativeHeight="251658240" behindDoc="0" locked="0" layoutInCell="1" hidden="0" allowOverlap="1" wp14:anchorId="1BA5DED5" wp14:editId="456254D0">
            <wp:simplePos x="0" y="0"/>
            <wp:positionH relativeFrom="column">
              <wp:posOffset>-1080119</wp:posOffset>
            </wp:positionH>
            <wp:positionV relativeFrom="paragraph">
              <wp:posOffset>-654669</wp:posOffset>
            </wp:positionV>
            <wp:extent cx="7581265" cy="101917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501C88" w14:textId="77777777" w:rsidR="00D55E69" w:rsidRDefault="00D55E69">
      <w:pPr>
        <w:jc w:val="right"/>
        <w:rPr>
          <w:rFonts w:ascii="National" w:eastAsia="National" w:hAnsi="National" w:cs="National"/>
          <w:color w:val="303AB2"/>
          <w:sz w:val="36"/>
          <w:szCs w:val="36"/>
        </w:rPr>
      </w:pPr>
    </w:p>
    <w:p w14:paraId="1263799B" w14:textId="77777777" w:rsidR="00D55E69" w:rsidRDefault="00D55E69">
      <w:pPr>
        <w:rPr>
          <w:rFonts w:ascii="National" w:eastAsia="National" w:hAnsi="National" w:cs="National"/>
          <w:color w:val="303AB2"/>
          <w:sz w:val="18"/>
          <w:szCs w:val="18"/>
        </w:rPr>
      </w:pPr>
    </w:p>
    <w:p w14:paraId="0D3CEDE1" w14:textId="77777777" w:rsidR="00D55E69"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MERCADO HIPOTECARIO EN EL SEGUNDO SEMESTRE DE 2024</w:t>
      </w:r>
    </w:p>
    <w:p w14:paraId="757E778C" w14:textId="77777777" w:rsidR="00D55E69" w:rsidRDefault="00000000">
      <w:pPr>
        <w:jc w:val="center"/>
        <w:rPr>
          <w:rFonts w:ascii="Open Sans" w:eastAsia="Open Sans" w:hAnsi="Open Sans" w:cs="Open Sans"/>
          <w:color w:val="303AB2"/>
        </w:rPr>
      </w:pPr>
      <w:r>
        <w:rPr>
          <w:rFonts w:ascii="National" w:eastAsia="National" w:hAnsi="National" w:cs="National"/>
          <w:b/>
          <w:color w:val="303AB2"/>
          <w:sz w:val="52"/>
          <w:szCs w:val="52"/>
        </w:rPr>
        <w:t>Un 18% de hipotecados dedica entre el 40% y el 70% de sus ingresos mensuales al pago de cuota</w:t>
      </w:r>
    </w:p>
    <w:p w14:paraId="0FBD3983" w14:textId="77777777" w:rsidR="00D55E69" w:rsidRDefault="00D55E69">
      <w:pPr>
        <w:spacing w:line="276" w:lineRule="auto"/>
        <w:ind w:left="720"/>
        <w:jc w:val="both"/>
        <w:rPr>
          <w:rFonts w:ascii="Open Sans" w:eastAsia="Open Sans" w:hAnsi="Open Sans" w:cs="Open Sans"/>
          <w:sz w:val="22"/>
          <w:szCs w:val="22"/>
        </w:rPr>
      </w:pPr>
    </w:p>
    <w:p w14:paraId="69540F9C" w14:textId="77777777" w:rsidR="00D55E69" w:rsidRPr="008F477C" w:rsidRDefault="00000000">
      <w:pPr>
        <w:numPr>
          <w:ilvl w:val="0"/>
          <w:numId w:val="1"/>
        </w:numPr>
        <w:spacing w:line="276" w:lineRule="auto"/>
        <w:jc w:val="both"/>
        <w:rPr>
          <w:rFonts w:ascii="Open Sans" w:eastAsia="Open Sans" w:hAnsi="Open Sans" w:cs="Open Sans"/>
        </w:rPr>
      </w:pPr>
      <w:r w:rsidRPr="008F477C">
        <w:rPr>
          <w:rFonts w:ascii="Open Sans" w:eastAsia="Open Sans" w:hAnsi="Open Sans" w:cs="Open Sans"/>
        </w:rPr>
        <w:t>Uno de cada cuatro dedica entre el 20% y el 30% de sus ingresos al pago de cuota, el 18% destina entre el 30% y el 40% y un 21% destina entre el 10% y el 20% de su sueldo a pagar la cuota</w:t>
      </w:r>
    </w:p>
    <w:p w14:paraId="58E7B647" w14:textId="77777777" w:rsidR="00D55E69" w:rsidRPr="008F477C" w:rsidRDefault="00000000">
      <w:pPr>
        <w:numPr>
          <w:ilvl w:val="0"/>
          <w:numId w:val="1"/>
        </w:numPr>
        <w:spacing w:line="276" w:lineRule="auto"/>
        <w:jc w:val="both"/>
        <w:rPr>
          <w:rFonts w:ascii="Open Sans" w:eastAsia="Open Sans" w:hAnsi="Open Sans" w:cs="Open Sans"/>
        </w:rPr>
      </w:pPr>
      <w:r w:rsidRPr="008F477C">
        <w:rPr>
          <w:rFonts w:ascii="Open Sans" w:eastAsia="Open Sans" w:hAnsi="Open Sans" w:cs="Open Sans"/>
        </w:rPr>
        <w:t>El 10% de los hipotecados más jóvenes (18 a 24 años) apartan entre el 50% y el 60% de sus ingresos para afrontar el pago de su cuota mensual</w:t>
      </w:r>
    </w:p>
    <w:p w14:paraId="4C489D21" w14:textId="7ADC0E01" w:rsidR="00D55E69" w:rsidRPr="008F477C" w:rsidRDefault="00000000">
      <w:pPr>
        <w:numPr>
          <w:ilvl w:val="0"/>
          <w:numId w:val="1"/>
        </w:numPr>
        <w:spacing w:line="276" w:lineRule="auto"/>
        <w:jc w:val="both"/>
        <w:rPr>
          <w:rFonts w:ascii="Open Sans" w:eastAsia="Open Sans" w:hAnsi="Open Sans" w:cs="Open Sans"/>
        </w:rPr>
      </w:pPr>
      <w:r w:rsidRPr="008F477C">
        <w:rPr>
          <w:rFonts w:ascii="Open Sans" w:eastAsia="Open Sans" w:hAnsi="Open Sans" w:cs="Open Sans"/>
        </w:rPr>
        <w:t>Entre los 45 y lo</w:t>
      </w:r>
      <w:r w:rsidR="008F477C">
        <w:rPr>
          <w:rFonts w:ascii="Open Sans" w:eastAsia="Open Sans" w:hAnsi="Open Sans" w:cs="Open Sans"/>
        </w:rPr>
        <w:t>s</w:t>
      </w:r>
      <w:r w:rsidRPr="008F477C">
        <w:rPr>
          <w:rFonts w:ascii="Open Sans" w:eastAsia="Open Sans" w:hAnsi="Open Sans" w:cs="Open Sans"/>
        </w:rPr>
        <w:t xml:space="preserve"> 54 años se concentra el mayor porcentaje de hipotecados, en concreto un 44% de los hipotecados</w:t>
      </w:r>
    </w:p>
    <w:p w14:paraId="18C0E4F1" w14:textId="77777777" w:rsidR="00D55E69" w:rsidRPr="008F477C"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8"/>
          <w:szCs w:val="28"/>
        </w:rPr>
      </w:pPr>
      <w:r w:rsidRPr="008F477C">
        <w:rPr>
          <w:rFonts w:ascii="Open Sans" w:eastAsia="Open Sans" w:hAnsi="Open Sans" w:cs="Open Sans"/>
        </w:rPr>
        <w:t>Las hipotecas variables son mayoría entre los mayores de 35 años, y los jóvenes optan por fijas</w:t>
      </w:r>
    </w:p>
    <w:p w14:paraId="3B1B9EE2" w14:textId="77777777" w:rsidR="00D55E69" w:rsidRDefault="00D55E6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DAB19D2" w14:textId="77777777" w:rsidR="00D55E6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25 de noviembre de 2024</w:t>
      </w:r>
    </w:p>
    <w:p w14:paraId="180A5F57" w14:textId="77777777" w:rsidR="00D55E69" w:rsidRDefault="00D55E69">
      <w:pPr>
        <w:pBdr>
          <w:top w:val="nil"/>
          <w:left w:val="nil"/>
          <w:bottom w:val="nil"/>
          <w:right w:val="nil"/>
          <w:between w:val="nil"/>
        </w:pBdr>
        <w:spacing w:line="276" w:lineRule="auto"/>
        <w:jc w:val="both"/>
        <w:rPr>
          <w:rFonts w:ascii="Open Sans" w:eastAsia="Open Sans" w:hAnsi="Open Sans" w:cs="Open Sans"/>
        </w:rPr>
      </w:pPr>
    </w:p>
    <w:p w14:paraId="60F83C1C"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En España es notorio el gran esfuerzo que exige el pago de la cuota hipotecaria en las economías familiares, que deben destinar cada mes un importante porcentaje de sus ingresos a este menester. Según el análisis “</w:t>
      </w:r>
      <w:r>
        <w:rPr>
          <w:rFonts w:ascii="Open Sans" w:eastAsia="Open Sans" w:hAnsi="Open Sans" w:cs="Open Sans"/>
          <w:b/>
          <w:i/>
        </w:rPr>
        <w:t>Mercado hipotecario en el segundo semestre de 2024</w:t>
      </w:r>
      <w:r>
        <w:rPr>
          <w:rFonts w:ascii="Open Sans" w:eastAsia="Open Sans" w:hAnsi="Open Sans" w:cs="Open Sans"/>
        </w:rPr>
        <w:t xml:space="preserve">”, el grueso de la población hipotecada destina entre un 20% y un 40% de sus ingresos al pago de la cuota mensual. </w:t>
      </w:r>
      <w:r>
        <w:rPr>
          <w:rFonts w:ascii="Open Sans" w:eastAsia="Open Sans" w:hAnsi="Open Sans" w:cs="Open Sans"/>
          <w:b/>
        </w:rPr>
        <w:t>De manera desglosada, el 25% (es decir, uno de cada cuatro hipotecados) destina entre el 20 % y el 30% de sus ingresos a la cuota</w:t>
      </w:r>
      <w:r>
        <w:rPr>
          <w:rFonts w:ascii="Open Sans" w:eastAsia="Open Sans" w:hAnsi="Open Sans" w:cs="Open Sans"/>
        </w:rPr>
        <w:t xml:space="preserve">, mientras que el 18% destina entre el 30% y el 40%. Otro porcentaje relevante, el 21%, resulta más afortunado, al apartar ‘solo’ entre el 10% y el 20% de sus ingresos de cada mes a esta obligación. Y </w:t>
      </w:r>
      <w:r>
        <w:rPr>
          <w:rFonts w:ascii="Open Sans" w:eastAsia="Open Sans" w:hAnsi="Open Sans" w:cs="Open Sans"/>
          <w:b/>
        </w:rPr>
        <w:t>un 7% asegura que aparta menos del 10% al pago de su cuota hipotecaria</w:t>
      </w:r>
      <w:r>
        <w:rPr>
          <w:rFonts w:ascii="Open Sans" w:eastAsia="Open Sans" w:hAnsi="Open Sans" w:cs="Open Sans"/>
        </w:rPr>
        <w:t xml:space="preserve">. </w:t>
      </w:r>
    </w:p>
    <w:p w14:paraId="2E26DE28" w14:textId="77777777" w:rsidR="00D55E69" w:rsidRDefault="00D55E69">
      <w:pPr>
        <w:spacing w:line="276" w:lineRule="auto"/>
        <w:jc w:val="both"/>
        <w:rPr>
          <w:rFonts w:ascii="Open Sans" w:eastAsia="Open Sans" w:hAnsi="Open Sans" w:cs="Open Sans"/>
        </w:rPr>
      </w:pPr>
    </w:p>
    <w:p w14:paraId="24257229"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 xml:space="preserve">Pero resulta muy llamativo que existe </w:t>
      </w:r>
      <w:r>
        <w:rPr>
          <w:rFonts w:ascii="Open Sans" w:eastAsia="Open Sans" w:hAnsi="Open Sans" w:cs="Open Sans"/>
          <w:b/>
        </w:rPr>
        <w:t>un 18% de españoles que tiene que reservar entre el 40% y el 70% de sus ingresos mensuales</w:t>
      </w:r>
      <w:r>
        <w:rPr>
          <w:rFonts w:ascii="Open Sans" w:eastAsia="Open Sans" w:hAnsi="Open Sans" w:cs="Open Sans"/>
        </w:rPr>
        <w:t xml:space="preserve"> al pago de la cuota: un 7% destina entre el 40% y el 50% y un 11% destina más del 50% al pago de la cuota cada mes. </w:t>
      </w:r>
    </w:p>
    <w:p w14:paraId="4B994943" w14:textId="77777777" w:rsidR="00D55E69" w:rsidRDefault="00D55E69">
      <w:pPr>
        <w:spacing w:line="276" w:lineRule="auto"/>
        <w:jc w:val="both"/>
        <w:rPr>
          <w:rFonts w:ascii="Open Sans" w:eastAsia="Open Sans" w:hAnsi="Open Sans" w:cs="Open Sans"/>
        </w:rPr>
      </w:pPr>
    </w:p>
    <w:p w14:paraId="529C7C49" w14:textId="77777777" w:rsidR="00D55E69" w:rsidRDefault="00000000">
      <w:pPr>
        <w:spacing w:line="276" w:lineRule="auto"/>
        <w:jc w:val="both"/>
        <w:rPr>
          <w:rFonts w:ascii="Open Sans" w:eastAsia="Open Sans" w:hAnsi="Open Sans" w:cs="Open Sans"/>
        </w:rPr>
      </w:pPr>
      <w:bookmarkStart w:id="0" w:name="_heading=h.gjdgxs" w:colFirst="0" w:colLast="0"/>
      <w:bookmarkEnd w:id="0"/>
      <w:r>
        <w:rPr>
          <w:rFonts w:ascii="Open Sans" w:eastAsia="Open Sans" w:hAnsi="Open Sans" w:cs="Open Sans"/>
        </w:rPr>
        <w:t xml:space="preserve">Por segmentos de edad, destaca el hecho de que </w:t>
      </w:r>
      <w:r>
        <w:rPr>
          <w:rFonts w:ascii="Open Sans" w:eastAsia="Open Sans" w:hAnsi="Open Sans" w:cs="Open Sans"/>
          <w:b/>
        </w:rPr>
        <w:t>el 10% de los hipotecados más jóvenes (18 a 24 años) apartan entre el 50% y el 60%</w:t>
      </w:r>
      <w:r>
        <w:rPr>
          <w:rFonts w:ascii="Open Sans" w:eastAsia="Open Sans" w:hAnsi="Open Sans" w:cs="Open Sans"/>
        </w:rPr>
        <w:t xml:space="preserve"> de sus ingresos para afrontar el pago de su cuota mensual.</w:t>
      </w:r>
    </w:p>
    <w:p w14:paraId="5858DA67" w14:textId="77777777" w:rsidR="00D55E69" w:rsidRDefault="00D55E69">
      <w:pPr>
        <w:spacing w:line="276" w:lineRule="auto"/>
        <w:jc w:val="both"/>
        <w:rPr>
          <w:rFonts w:ascii="Open Sans" w:eastAsia="Open Sans" w:hAnsi="Open Sans" w:cs="Open Sans"/>
        </w:rPr>
      </w:pPr>
    </w:p>
    <w:p w14:paraId="63BF921C" w14:textId="77777777" w:rsidR="00D55E69"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85C9BAF" wp14:editId="7D77C90A">
            <wp:extent cx="5760720" cy="3455670"/>
            <wp:effectExtent l="0" t="0" r="0" b="0"/>
            <wp:docPr id="2066816617"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9"/>
                    <a:srcRect/>
                    <a:stretch>
                      <a:fillRect/>
                    </a:stretch>
                  </pic:blipFill>
                  <pic:spPr>
                    <a:xfrm>
                      <a:off x="0" y="0"/>
                      <a:ext cx="5760720" cy="3455670"/>
                    </a:xfrm>
                    <a:prstGeom prst="rect">
                      <a:avLst/>
                    </a:prstGeom>
                    <a:ln/>
                  </pic:spPr>
                </pic:pic>
              </a:graphicData>
            </a:graphic>
          </wp:inline>
        </w:drawing>
      </w:r>
    </w:p>
    <w:p w14:paraId="47551D34" w14:textId="77777777" w:rsidR="00D55E69" w:rsidRDefault="00D55E69">
      <w:pPr>
        <w:spacing w:line="276" w:lineRule="auto"/>
        <w:jc w:val="both"/>
        <w:rPr>
          <w:rFonts w:ascii="Open Sans" w:eastAsia="Open Sans" w:hAnsi="Open Sans" w:cs="Open Sans"/>
        </w:rPr>
      </w:pPr>
    </w:p>
    <w:p w14:paraId="24B9935A" w14:textId="77777777" w:rsidR="008F477C" w:rsidRDefault="008F477C">
      <w:pPr>
        <w:spacing w:line="276" w:lineRule="auto"/>
        <w:jc w:val="both"/>
        <w:rPr>
          <w:rFonts w:ascii="Open Sans" w:eastAsia="Open Sans" w:hAnsi="Open Sans" w:cs="Open Sans"/>
        </w:rPr>
      </w:pPr>
    </w:p>
    <w:p w14:paraId="274E3659" w14:textId="59A4DCDB" w:rsidR="00D55E69" w:rsidRPr="005C1D47" w:rsidRDefault="00000000">
      <w:pPr>
        <w:spacing w:line="276" w:lineRule="auto"/>
        <w:jc w:val="both"/>
        <w:rPr>
          <w:rFonts w:ascii="Open Sans" w:eastAsia="Open Sans" w:hAnsi="Open Sans" w:cs="Open Sans"/>
          <w:b/>
          <w:bCs/>
        </w:rPr>
      </w:pPr>
      <w:r>
        <w:rPr>
          <w:rFonts w:ascii="Open Sans" w:eastAsia="Open Sans" w:hAnsi="Open Sans" w:cs="Open Sans"/>
        </w:rPr>
        <w:t xml:space="preserve">“Estos datos reflejan un endeudamiento muy por encima de lo recomendado por los organismos de control oficiales, como el Banco de España, que establecen que el límite prudente debería ser del 35%. Este elevado esfuerzo salarial pone en riesgo la estabilidad económica de los hogares, reduciendo su capacidad de ahorro, de hacer frente a otros gastos esenciales o incluso de aumentar la morosidad en caso de pérdida de empleo o de reducción de ingresos. Sin embargo, el nuevo contexto de desescalada de tipos y de bajada del Euríbor podría mejorar la situación de muchas familias hipotecadas a tipo variable en los próximos meses”, </w:t>
      </w:r>
      <w:r w:rsidRPr="005C1D47">
        <w:rPr>
          <w:rFonts w:ascii="Open Sans" w:eastAsia="Open Sans" w:hAnsi="Open Sans" w:cs="Open Sans"/>
          <w:b/>
          <w:bCs/>
        </w:rPr>
        <w:t xml:space="preserve">comenta María Matos, directora de Estudios y portavoz de </w:t>
      </w:r>
      <w:hyperlink r:id="rId10">
        <w:r w:rsidRPr="005C1D47">
          <w:rPr>
            <w:rFonts w:ascii="Open Sans" w:eastAsia="Open Sans" w:hAnsi="Open Sans" w:cs="Open Sans"/>
            <w:b/>
            <w:bCs/>
            <w:color w:val="1155CC"/>
            <w:u w:val="single"/>
          </w:rPr>
          <w:t>Fotocasa</w:t>
        </w:r>
      </w:hyperlink>
      <w:r w:rsidRPr="005C1D47">
        <w:rPr>
          <w:rFonts w:ascii="Open Sans" w:eastAsia="Open Sans" w:hAnsi="Open Sans" w:cs="Open Sans"/>
          <w:b/>
          <w:bCs/>
        </w:rPr>
        <w:t>.</w:t>
      </w:r>
    </w:p>
    <w:p w14:paraId="7E87C1BB" w14:textId="77777777" w:rsidR="00D55E69" w:rsidRDefault="00D55E69">
      <w:pPr>
        <w:spacing w:line="276" w:lineRule="auto"/>
        <w:jc w:val="both"/>
        <w:rPr>
          <w:rFonts w:ascii="Open Sans" w:eastAsia="Open Sans" w:hAnsi="Open Sans" w:cs="Open Sans"/>
        </w:rPr>
      </w:pPr>
    </w:p>
    <w:p w14:paraId="7F72293C" w14:textId="77777777" w:rsidR="008F477C" w:rsidRDefault="008F477C">
      <w:pPr>
        <w:spacing w:line="276" w:lineRule="auto"/>
        <w:jc w:val="both"/>
        <w:rPr>
          <w:rFonts w:ascii="Open Sans" w:eastAsia="Open Sans" w:hAnsi="Open Sans" w:cs="Open Sans"/>
        </w:rPr>
      </w:pPr>
    </w:p>
    <w:p w14:paraId="609263DD" w14:textId="77777777" w:rsidR="008F477C" w:rsidRDefault="008F477C">
      <w:pPr>
        <w:spacing w:line="276" w:lineRule="auto"/>
        <w:jc w:val="both"/>
        <w:rPr>
          <w:rFonts w:ascii="Open Sans" w:eastAsia="Open Sans" w:hAnsi="Open Sans" w:cs="Open Sans"/>
        </w:rPr>
      </w:pPr>
    </w:p>
    <w:p w14:paraId="119864EB" w14:textId="77777777" w:rsidR="008F477C" w:rsidRDefault="008F477C">
      <w:pPr>
        <w:spacing w:line="276" w:lineRule="auto"/>
        <w:jc w:val="both"/>
        <w:rPr>
          <w:rFonts w:ascii="Open Sans" w:eastAsia="Open Sans" w:hAnsi="Open Sans" w:cs="Open Sans"/>
        </w:rPr>
      </w:pPr>
    </w:p>
    <w:p w14:paraId="09E538D0" w14:textId="77777777" w:rsidR="008F477C" w:rsidRDefault="008F477C">
      <w:pPr>
        <w:spacing w:line="276" w:lineRule="auto"/>
        <w:jc w:val="both"/>
        <w:rPr>
          <w:rFonts w:ascii="Open Sans" w:eastAsia="Open Sans" w:hAnsi="Open Sans" w:cs="Open Sans"/>
        </w:rPr>
      </w:pPr>
    </w:p>
    <w:p w14:paraId="39201520" w14:textId="77777777" w:rsidR="00D55E69" w:rsidRDefault="00000000">
      <w:p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Entre los 45 y los 54 años se concentra la mayoría de los hipotecados</w:t>
      </w:r>
    </w:p>
    <w:p w14:paraId="1ED73F93" w14:textId="77777777" w:rsidR="00D55E69" w:rsidRDefault="00D55E69">
      <w:pPr>
        <w:spacing w:line="276" w:lineRule="auto"/>
        <w:jc w:val="both"/>
        <w:rPr>
          <w:rFonts w:ascii="Open Sans" w:eastAsia="Open Sans" w:hAnsi="Open Sans" w:cs="Open Sans"/>
        </w:rPr>
      </w:pPr>
    </w:p>
    <w:p w14:paraId="42AEA0CD" w14:textId="77777777" w:rsidR="00D55E69" w:rsidRDefault="00000000">
      <w:pPr>
        <w:spacing w:line="276" w:lineRule="auto"/>
        <w:jc w:val="both"/>
        <w:rPr>
          <w:rFonts w:ascii="Open Sans" w:eastAsia="Open Sans" w:hAnsi="Open Sans" w:cs="Open Sans"/>
        </w:rPr>
      </w:pPr>
      <w:r>
        <w:rPr>
          <w:rFonts w:ascii="Open Sans" w:eastAsia="Open Sans" w:hAnsi="Open Sans" w:cs="Open Sans"/>
          <w:b/>
        </w:rPr>
        <w:t>El 30% de los españoles mayores de 18 años en España se encuentran hipotecados.</w:t>
      </w:r>
      <w:r>
        <w:rPr>
          <w:rFonts w:ascii="Open Sans" w:eastAsia="Open Sans" w:hAnsi="Open Sans" w:cs="Open Sans"/>
        </w:rPr>
        <w:t xml:space="preserve"> Si analizamos la situación por segmentos de edad, se observa que los particulares que están entre los 45 y los 54 años son los que en mayor proporción tienen contratada una hipoteca: un 44% de ellos frente al 30% de la media general. </w:t>
      </w:r>
    </w:p>
    <w:p w14:paraId="405BAD5E" w14:textId="77777777" w:rsidR="00D55E69" w:rsidRDefault="00D55E69">
      <w:pPr>
        <w:spacing w:line="276" w:lineRule="auto"/>
        <w:jc w:val="both"/>
        <w:rPr>
          <w:rFonts w:ascii="Open Sans" w:eastAsia="Open Sans" w:hAnsi="Open Sans" w:cs="Open Sans"/>
        </w:rPr>
      </w:pPr>
    </w:p>
    <w:p w14:paraId="1816C146"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 xml:space="preserve">Sin embargo, cabe reseñar que mientras que este colectivo se mantiene en las cifras de los últimos estudios (43% en de 2023 y también 44% a principios de año), existe otro grupo que presenta un significativo descenso. Hablamos del integrado por personas entre los 35 y los 44 años, que si doce meses antes presentaban un porcentaje de hipotecados del 45% —el mayor de todos en ese momento—, en 2024 reduce esa cifra a tan solo el 37%. </w:t>
      </w:r>
    </w:p>
    <w:p w14:paraId="3C0150E7" w14:textId="77777777" w:rsidR="00D55E69" w:rsidRDefault="00D55E69">
      <w:pPr>
        <w:spacing w:line="276" w:lineRule="auto"/>
        <w:jc w:val="both"/>
        <w:rPr>
          <w:rFonts w:ascii="Open Sans" w:eastAsia="Open Sans" w:hAnsi="Open Sans" w:cs="Open Sans"/>
        </w:rPr>
      </w:pPr>
    </w:p>
    <w:p w14:paraId="198989C8" w14:textId="77777777" w:rsidR="00D55E69" w:rsidRDefault="00000000">
      <w:pPr>
        <w:spacing w:line="276" w:lineRule="auto"/>
        <w:jc w:val="both"/>
        <w:rPr>
          <w:rFonts w:ascii="Open Sans" w:eastAsia="Open Sans" w:hAnsi="Open Sans" w:cs="Open Sans"/>
          <w:b/>
        </w:rPr>
      </w:pPr>
      <w:r>
        <w:rPr>
          <w:rFonts w:ascii="Open Sans" w:eastAsia="Open Sans" w:hAnsi="Open Sans" w:cs="Open Sans"/>
        </w:rPr>
        <w:t xml:space="preserve">Estos dos son los segmentos de edad donde se concentran la mayoría de los hipotecados, algo comprensible, dado que contar con una hipoteca está muy relacionado con el ciclo vital, de manera que tanto en edades tempranas como en las más avanzadas se reduce el número de personas que tiene contratada una. De esta manera, a continuación, en un escalón más bajo, encontramos el resto de los tramos. No obstante, </w:t>
      </w:r>
      <w:r>
        <w:rPr>
          <w:rFonts w:ascii="Open Sans" w:eastAsia="Open Sans" w:hAnsi="Open Sans" w:cs="Open Sans"/>
          <w:b/>
        </w:rPr>
        <w:t xml:space="preserve">destaca el fuerte incremento registrado entre los que tienen de 18 a 24 años, que pasa del 17% de doce y seis meses antes al 24% actual. </w:t>
      </w:r>
    </w:p>
    <w:p w14:paraId="4C778BA8" w14:textId="77777777" w:rsidR="00D55E69" w:rsidRDefault="00D55E69">
      <w:pPr>
        <w:spacing w:line="276" w:lineRule="auto"/>
        <w:jc w:val="both"/>
        <w:rPr>
          <w:rFonts w:ascii="Open Sans" w:eastAsia="Open Sans" w:hAnsi="Open Sans" w:cs="Open Sans"/>
        </w:rPr>
      </w:pPr>
    </w:p>
    <w:p w14:paraId="2135893F"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Por su parte, los que están entre los 25 y los 34 años se mantienen en el 24% de hipotecados de un año antes, mientras que los más veteranos, comprendidos entre los 55 y los 75, se sitúan en el 21%, dos puntos menos que un año antes y uno que a principios de año.</w:t>
      </w:r>
    </w:p>
    <w:p w14:paraId="1DDEE7DE" w14:textId="77777777" w:rsidR="00D55E69"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39E36711" wp14:editId="63F5D416">
            <wp:extent cx="5878551" cy="3526353"/>
            <wp:effectExtent l="0" t="0" r="0" b="0"/>
            <wp:docPr id="2066816616" name="image4.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Gráfico, Gráfico de barras&#10;&#10;Descripción generada automáticamente"/>
                    <pic:cNvPicPr preferRelativeResize="0"/>
                  </pic:nvPicPr>
                  <pic:blipFill>
                    <a:blip r:embed="rId11"/>
                    <a:srcRect/>
                    <a:stretch>
                      <a:fillRect/>
                    </a:stretch>
                  </pic:blipFill>
                  <pic:spPr>
                    <a:xfrm>
                      <a:off x="0" y="0"/>
                      <a:ext cx="5878551" cy="3526353"/>
                    </a:xfrm>
                    <a:prstGeom prst="rect">
                      <a:avLst/>
                    </a:prstGeom>
                    <a:ln/>
                  </pic:spPr>
                </pic:pic>
              </a:graphicData>
            </a:graphic>
          </wp:inline>
        </w:drawing>
      </w:r>
    </w:p>
    <w:p w14:paraId="0B71E90C" w14:textId="77777777" w:rsidR="00D55E69" w:rsidRDefault="00000000">
      <w:p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hipotecas variables son mayoría entre los mayores de 35 años y los jóvenes optan por fijas</w:t>
      </w:r>
    </w:p>
    <w:p w14:paraId="2C062A15" w14:textId="77777777" w:rsidR="00D55E69" w:rsidRDefault="00D55E69">
      <w:pPr>
        <w:spacing w:line="276" w:lineRule="auto"/>
        <w:jc w:val="both"/>
        <w:rPr>
          <w:rFonts w:ascii="Open Sans" w:eastAsia="Open Sans" w:hAnsi="Open Sans" w:cs="Open Sans"/>
        </w:rPr>
      </w:pPr>
    </w:p>
    <w:p w14:paraId="03892E5D"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 xml:space="preserve">Otro enfoque del análisis pasa por </w:t>
      </w:r>
      <w:r>
        <w:rPr>
          <w:rFonts w:ascii="Open Sans" w:eastAsia="Open Sans" w:hAnsi="Open Sans" w:cs="Open Sans"/>
          <w:b/>
        </w:rPr>
        <w:t>la tipología de hipoteca que se tiene contratada</w:t>
      </w:r>
      <w:r>
        <w:rPr>
          <w:rFonts w:ascii="Open Sans" w:eastAsia="Open Sans" w:hAnsi="Open Sans" w:cs="Open Sans"/>
        </w:rPr>
        <w:t xml:space="preserve">, la cual también guarda relación con la edad. Así, </w:t>
      </w:r>
      <w:r>
        <w:rPr>
          <w:rFonts w:ascii="Open Sans" w:eastAsia="Open Sans" w:hAnsi="Open Sans" w:cs="Open Sans"/>
          <w:b/>
        </w:rPr>
        <w:t>las hipotecas variables son mayoría entre los mayores de 35 años mientras que los más jóvenes optan en mayor medida por las hipotecas a tipo fijo</w:t>
      </w:r>
      <w:r>
        <w:rPr>
          <w:rFonts w:ascii="Open Sans" w:eastAsia="Open Sans" w:hAnsi="Open Sans" w:cs="Open Sans"/>
        </w:rPr>
        <w:t>, en una tendencia creciente. En esta línea no resulta extraño el hecho de que los jóvenes de entre 18 y 24 años que tienen hipoteca de tipo fijo hayan pasado del 9% de las anteriores mediciones al 14% de la segunda parte del año.</w:t>
      </w:r>
    </w:p>
    <w:p w14:paraId="40C46B3E" w14:textId="77777777" w:rsidR="00D55E69" w:rsidRDefault="00D55E69">
      <w:pPr>
        <w:spacing w:line="276" w:lineRule="auto"/>
        <w:jc w:val="both"/>
        <w:rPr>
          <w:rFonts w:ascii="Open Sans" w:eastAsia="Open Sans" w:hAnsi="Open Sans" w:cs="Open Sans"/>
        </w:rPr>
      </w:pPr>
    </w:p>
    <w:p w14:paraId="4A5311F9"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Sí llama la atención, por el contrario, que el porcentaje de hipotecados a tipo fijo entre los particulares de edades entre los 44 y los 55 años asciendan ya al 17%, cuando un año antes eran únicamente el 13% (y en febrero el 14%).</w:t>
      </w:r>
    </w:p>
    <w:p w14:paraId="6FE55F3C" w14:textId="77777777" w:rsidR="00D55E69" w:rsidRDefault="00D55E69">
      <w:pPr>
        <w:spacing w:line="276" w:lineRule="auto"/>
        <w:jc w:val="both"/>
        <w:rPr>
          <w:rFonts w:ascii="Open Sans" w:eastAsia="Open Sans" w:hAnsi="Open Sans" w:cs="Open Sans"/>
        </w:rPr>
      </w:pPr>
    </w:p>
    <w:p w14:paraId="4D838292" w14:textId="77777777" w:rsidR="00D55E69" w:rsidRDefault="00000000">
      <w:pPr>
        <w:spacing w:line="276" w:lineRule="auto"/>
        <w:jc w:val="both"/>
        <w:rPr>
          <w:rFonts w:ascii="Open Sans" w:eastAsia="Open Sans" w:hAnsi="Open Sans" w:cs="Open Sans"/>
        </w:rPr>
      </w:pPr>
      <w:r>
        <w:rPr>
          <w:rFonts w:ascii="Open Sans" w:eastAsia="Open Sans" w:hAnsi="Open Sans" w:cs="Open Sans"/>
        </w:rPr>
        <w:t xml:space="preserve">Al revés de lo que ocurre con los contratos a tipo fijo (que en casi todos los tramos de edad aumentan su presencia), </w:t>
      </w:r>
      <w:r>
        <w:rPr>
          <w:rFonts w:ascii="Open Sans" w:eastAsia="Open Sans" w:hAnsi="Open Sans" w:cs="Open Sans"/>
          <w:b/>
        </w:rPr>
        <w:t>las hipotecas variables retroceden en todos los segmentos, sobre todo entre los que están en la horquilla de 35 a 44 años</w:t>
      </w:r>
      <w:r>
        <w:rPr>
          <w:rFonts w:ascii="Open Sans" w:eastAsia="Open Sans" w:hAnsi="Open Sans" w:cs="Open Sans"/>
        </w:rPr>
        <w:t xml:space="preserve">: pasan del 27% en 2023 al 17% doce meses después (eran el 22%). Es decir, un retroceso de diez puntos porcentuales en un año. </w:t>
      </w:r>
    </w:p>
    <w:p w14:paraId="49350BF5" w14:textId="77777777" w:rsidR="00D55E69" w:rsidRDefault="00D55E69">
      <w:pPr>
        <w:spacing w:line="276" w:lineRule="auto"/>
        <w:jc w:val="both"/>
        <w:rPr>
          <w:rFonts w:ascii="Open Sans" w:eastAsia="Open Sans" w:hAnsi="Open Sans" w:cs="Open Sans"/>
        </w:rPr>
      </w:pPr>
    </w:p>
    <w:p w14:paraId="13188595" w14:textId="77777777" w:rsidR="00D55E69"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Estos cambios en la distribución entre tipologías por edad tienen una explicación muy relacionada con el mercado. </w:t>
      </w:r>
      <w:r>
        <w:rPr>
          <w:rFonts w:ascii="Open Sans" w:eastAsia="Open Sans" w:hAnsi="Open Sans" w:cs="Open Sans"/>
          <w:b/>
        </w:rPr>
        <w:t>Quienes se hipotecaron por edad antes de 2018 o 2019 lo hacían principalmente a tipo variable y desde entonces las hipotecas a tipo fijo han ganado mucha cuota de mercado</w:t>
      </w:r>
      <w:r>
        <w:rPr>
          <w:rFonts w:ascii="Open Sans" w:eastAsia="Open Sans" w:hAnsi="Open Sans" w:cs="Open Sans"/>
        </w:rPr>
        <w:t xml:space="preserve"> hasta hacerse moneda común en las nuevas operaciones. Pero esos bruscos cambios del último año también tienen que ver con los cambios de contratos en hipotecas más antiguas.</w:t>
      </w:r>
    </w:p>
    <w:p w14:paraId="2EC954DC" w14:textId="77777777" w:rsidR="00D55E69" w:rsidRDefault="00D55E69">
      <w:pPr>
        <w:spacing w:line="276" w:lineRule="auto"/>
        <w:jc w:val="both"/>
        <w:rPr>
          <w:rFonts w:ascii="Open Sans" w:eastAsia="Open Sans" w:hAnsi="Open Sans" w:cs="Open Sans"/>
        </w:rPr>
      </w:pPr>
    </w:p>
    <w:p w14:paraId="7CC94A71" w14:textId="77777777" w:rsidR="00D55E6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noProof/>
          <w:color w:val="303AB2"/>
        </w:rPr>
        <w:drawing>
          <wp:inline distT="0" distB="0" distL="0" distR="0" wp14:anchorId="68D632D2" wp14:editId="7C689287">
            <wp:extent cx="5760720" cy="3455670"/>
            <wp:effectExtent l="0" t="0" r="0" b="0"/>
            <wp:docPr id="2066816618"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2"/>
                    <a:srcRect/>
                    <a:stretch>
                      <a:fillRect/>
                    </a:stretch>
                  </pic:blipFill>
                  <pic:spPr>
                    <a:xfrm>
                      <a:off x="0" y="0"/>
                      <a:ext cx="5760720" cy="3455670"/>
                    </a:xfrm>
                    <a:prstGeom prst="rect">
                      <a:avLst/>
                    </a:prstGeom>
                    <a:ln/>
                  </pic:spPr>
                </pic:pic>
              </a:graphicData>
            </a:graphic>
          </wp:inline>
        </w:drawing>
      </w:r>
    </w:p>
    <w:p w14:paraId="5139DF0A" w14:textId="77777777" w:rsidR="00D55E69" w:rsidRDefault="00D55E6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42E6491" w14:textId="77777777" w:rsidR="00D55E69" w:rsidRDefault="00D55E6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2D4D1A9" w14:textId="77777777" w:rsidR="00D55E69" w:rsidRDefault="00D55E69">
      <w:pPr>
        <w:spacing w:line="276" w:lineRule="auto"/>
        <w:jc w:val="both"/>
        <w:rPr>
          <w:rFonts w:ascii="Open Sans" w:eastAsia="Open Sans" w:hAnsi="Open Sans" w:cs="Open Sans"/>
        </w:rPr>
      </w:pPr>
    </w:p>
    <w:p w14:paraId="5B4067F0" w14:textId="77777777" w:rsidR="00D55E69" w:rsidRDefault="00D55E69">
      <w:pPr>
        <w:spacing w:line="276" w:lineRule="auto"/>
        <w:jc w:val="both"/>
        <w:rPr>
          <w:rFonts w:ascii="Open Sans" w:eastAsia="Open Sans" w:hAnsi="Open Sans" w:cs="Open Sans"/>
        </w:rPr>
      </w:pPr>
    </w:p>
    <w:p w14:paraId="50E03834" w14:textId="77777777" w:rsidR="00D55E6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4D910CF" w14:textId="77777777" w:rsidR="00D55E6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666C0F2" w14:textId="77777777" w:rsidR="00D55E6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F04E565" w14:textId="77777777" w:rsidR="00D55E6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106B5743" w14:textId="77777777" w:rsidR="00D55E6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00FF4D0E" w14:textId="77777777" w:rsidR="00D55E69"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D3BCFE6" w14:textId="77777777" w:rsidR="00D55E6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AA3A523" w14:textId="77777777" w:rsidR="00D55E6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3031B50" w14:textId="77777777" w:rsidR="00D55E69"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93B9F9C" w14:textId="77777777" w:rsidR="00D55E69" w:rsidRDefault="00D55E69">
      <w:pPr>
        <w:spacing w:line="276" w:lineRule="auto"/>
        <w:jc w:val="right"/>
        <w:rPr>
          <w:rFonts w:ascii="Open Sans" w:eastAsia="Open Sans" w:hAnsi="Open Sans" w:cs="Open Sans"/>
        </w:rPr>
      </w:pPr>
    </w:p>
    <w:p w14:paraId="3F66EB74" w14:textId="77777777" w:rsidR="00D55E69" w:rsidRDefault="00D55E69">
      <w:pPr>
        <w:spacing w:line="276" w:lineRule="auto"/>
        <w:jc w:val="right"/>
        <w:rPr>
          <w:rFonts w:ascii="Open Sans" w:eastAsia="Open Sans" w:hAnsi="Open Sans" w:cs="Open Sans"/>
        </w:rPr>
      </w:pPr>
    </w:p>
    <w:p w14:paraId="6A639B6D" w14:textId="77777777" w:rsidR="00D55E6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A4EA015" w14:textId="77777777" w:rsidR="00D55E6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560064C" w14:textId="77777777" w:rsidR="00D55E69"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FDE3BB8" w14:textId="77777777" w:rsidR="00D55E6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55E69">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1AC82" w14:textId="77777777" w:rsidR="00B848B3" w:rsidRDefault="00B848B3">
      <w:r>
        <w:separator/>
      </w:r>
    </w:p>
  </w:endnote>
  <w:endnote w:type="continuationSeparator" w:id="0">
    <w:p w14:paraId="1B636F10" w14:textId="77777777" w:rsidR="00B848B3" w:rsidRDefault="00B8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9805DF5-5A10-414E-A105-8F42F50B4F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0215B31-5314-4B4C-A92F-C046D792CF2B}"/>
    <w:embedBold r:id="rId3" w:fontKey="{853189B8-B744-4D09-BCF9-FC918ED46A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F3A65F7-FBFE-4B73-A5B0-F9E7DB66F275}"/>
    <w:embedItalic r:id="rId5" w:fontKey="{BAEFD8CF-B92E-4591-BA68-C2960CDD94DD}"/>
  </w:font>
  <w:font w:name="Cambria">
    <w:panose1 w:val="02040503050406030204"/>
    <w:charset w:val="00"/>
    <w:family w:val="roman"/>
    <w:pitch w:val="variable"/>
    <w:sig w:usb0="E00006FF" w:usb1="420024FF" w:usb2="02000000" w:usb3="00000000" w:csb0="0000019F" w:csb1="00000000"/>
    <w:embedRegular r:id="rId6" w:fontKey="{88CC4AF2-D8D7-4368-9C1D-3E1DD2CE971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2609DB2-D20F-43CC-A0D2-59026D88D90E}"/>
    <w:embedBold r:id="rId8" w:fontKey="{84ACC7A8-8B18-4943-B97C-E53F4868A2A2}"/>
    <w:embedBoldItalic r:id="rId9" w:fontKey="{BC23DD15-E252-43C0-A328-BA01784B1789}"/>
  </w:font>
  <w:font w:name="Open Sans Light">
    <w:charset w:val="00"/>
    <w:family w:val="swiss"/>
    <w:pitch w:val="variable"/>
    <w:sig w:usb0="E00002EF" w:usb1="4000205B" w:usb2="00000028" w:usb3="00000000" w:csb0="0000019F" w:csb1="00000000"/>
    <w:embedRegular r:id="rId10" w:fontKey="{60144403-C6AC-435B-96F5-BEA61E003C23}"/>
    <w:embedBold r:id="rId11" w:fontKey="{5DBBFB56-E169-47CD-8459-4C2A0D0E8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F6202" w14:textId="77777777" w:rsidR="00D55E6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6BFBB7D" wp14:editId="3488B2EE">
          <wp:simplePos x="0" y="0"/>
          <wp:positionH relativeFrom="column">
            <wp:posOffset>-1068044</wp:posOffset>
          </wp:positionH>
          <wp:positionV relativeFrom="paragraph">
            <wp:posOffset>174608</wp:posOffset>
          </wp:positionV>
          <wp:extent cx="7670550" cy="45131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952BD" w14:textId="77777777" w:rsidR="00B848B3" w:rsidRDefault="00B848B3">
      <w:r>
        <w:separator/>
      </w:r>
    </w:p>
  </w:footnote>
  <w:footnote w:type="continuationSeparator" w:id="0">
    <w:p w14:paraId="355E1DEA" w14:textId="77777777" w:rsidR="00B848B3" w:rsidRDefault="00B848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097A37"/>
    <w:multiLevelType w:val="multilevel"/>
    <w:tmpl w:val="B644E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642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69"/>
    <w:rsid w:val="005C1D47"/>
    <w:rsid w:val="008F477C"/>
    <w:rsid w:val="00A83E85"/>
    <w:rsid w:val="00B848B3"/>
    <w:rsid w:val="00D55E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14C0"/>
  <w15:docId w15:val="{0592B249-8191-4565-92A6-8A517AD2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81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customStyle="1" w:styleId="paragraph">
    <w:name w:val="paragraph"/>
    <w:basedOn w:val="Normal"/>
    <w:rsid w:val="004630E0"/>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l3UinErDZRaDEmOTy8Jenk1kLg==">CgMxLjAyCGguZ2pkZ3hzMgloLjJzOGV5bzE4AHIhMUtJSXhMdmR5S3drcEx6a1BCaW91dmtMM3ozM3czbThs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1245</Words>
  <Characters>6851</Characters>
  <Application>Microsoft Office Word</Application>
  <DocSecurity>0</DocSecurity>
  <Lines>57</Lines>
  <Paragraphs>16</Paragraphs>
  <ScaleCrop>false</ScaleCrop>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2024-11-22T12:05:00Z</dcterms:modified>
</cp:coreProperties>
</file>