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5415C" w14:textId="77777777" w:rsidR="00FB606A"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INFORME LOS JÓVENES Y EL MERCADO DE LA VIVIENDA</w:t>
      </w:r>
    </w:p>
    <w:p w14:paraId="2D295372" w14:textId="5DB7E85D" w:rsidR="00FB606A" w:rsidRDefault="00000000">
      <w:pPr>
        <w:shd w:val="clear" w:color="auto" w:fill="FFFFFF"/>
        <w:ind w:right="-574"/>
        <w:jc w:val="center"/>
        <w:rPr>
          <w:rFonts w:ascii="National" w:eastAsia="National" w:hAnsi="National" w:cs="National"/>
          <w:b/>
          <w:color w:val="303AB2"/>
          <w:sz w:val="56"/>
          <w:szCs w:val="56"/>
        </w:rPr>
      </w:pPr>
      <w:r>
        <w:rPr>
          <w:rFonts w:ascii="National" w:eastAsia="National" w:hAnsi="National" w:cs="National"/>
          <w:b/>
          <w:color w:val="303AB2"/>
          <w:sz w:val="56"/>
          <w:szCs w:val="56"/>
        </w:rPr>
        <w:t>Se incrementa el porcentaje de jóvenes que alquila</w:t>
      </w:r>
      <w:r w:rsidR="00B9786C">
        <w:rPr>
          <w:rFonts w:ascii="National" w:eastAsia="National" w:hAnsi="National" w:cs="National"/>
          <w:b/>
          <w:color w:val="303AB2"/>
          <w:sz w:val="56"/>
          <w:szCs w:val="56"/>
        </w:rPr>
        <w:t>n</w:t>
      </w:r>
      <w:r>
        <w:rPr>
          <w:rFonts w:ascii="National" w:eastAsia="National" w:hAnsi="National" w:cs="National"/>
          <w:b/>
          <w:color w:val="303AB2"/>
          <w:sz w:val="56"/>
          <w:szCs w:val="56"/>
        </w:rPr>
        <w:t xml:space="preserve"> al no poder comprar una vivienda </w:t>
      </w:r>
    </w:p>
    <w:p w14:paraId="2572FAE8" w14:textId="77777777" w:rsidR="00FB606A" w:rsidRDefault="00FB606A">
      <w:pPr>
        <w:spacing w:line="276" w:lineRule="auto"/>
        <w:ind w:right="-574"/>
        <w:rPr>
          <w:rFonts w:ascii="Open Sans" w:eastAsia="Open Sans" w:hAnsi="Open Sans" w:cs="Open Sans"/>
          <w:sz w:val="22"/>
          <w:szCs w:val="22"/>
        </w:rPr>
      </w:pPr>
    </w:p>
    <w:p w14:paraId="47105C7D" w14:textId="77777777" w:rsidR="00FB606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Los precios elevados constituyen la principal barrera a la hora de comprar o alquilar una vivienda: afecta al 58% de los jóvenes activos en el mercado</w:t>
      </w:r>
    </w:p>
    <w:p w14:paraId="59B908D1" w14:textId="77777777" w:rsidR="00FB606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principal motivo de los jóvenes compradores de vivienda es poder realizar una inversión a largo plazo, en un porcentaje que alcanza el 42%</w:t>
      </w:r>
    </w:p>
    <w:p w14:paraId="2A9418DD" w14:textId="77777777" w:rsidR="00FB606A"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Caen hasta el 55% los jóvenes que prevén comprar una vivienda en los próximos cinco años, seis puntos por debajo de 2023</w:t>
      </w:r>
    </w:p>
    <w:p w14:paraId="0E8A8F16" w14:textId="77777777" w:rsidR="00FB606A" w:rsidRDefault="00FB606A">
      <w:pPr>
        <w:pBdr>
          <w:top w:val="nil"/>
          <w:left w:val="nil"/>
          <w:bottom w:val="nil"/>
          <w:right w:val="nil"/>
          <w:between w:val="nil"/>
        </w:pBdr>
        <w:spacing w:line="276" w:lineRule="auto"/>
        <w:ind w:right="-574"/>
        <w:jc w:val="both"/>
        <w:rPr>
          <w:rFonts w:ascii="Open Sans" w:eastAsia="Open Sans" w:hAnsi="Open Sans" w:cs="Open Sans"/>
          <w:color w:val="FF0000"/>
          <w:sz w:val="22"/>
          <w:szCs w:val="22"/>
        </w:rPr>
      </w:pPr>
    </w:p>
    <w:p w14:paraId="749FE654" w14:textId="77777777" w:rsidR="00FB606A"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11 de noviembre de 2024</w:t>
      </w:r>
    </w:p>
    <w:p w14:paraId="35540C38" w14:textId="77777777" w:rsidR="00FB606A" w:rsidRDefault="00FB606A">
      <w:pPr>
        <w:spacing w:line="276" w:lineRule="auto"/>
        <w:ind w:right="-574"/>
        <w:jc w:val="both"/>
        <w:rPr>
          <w:rFonts w:ascii="Open Sans" w:eastAsia="Open Sans" w:hAnsi="Open Sans" w:cs="Open Sans"/>
          <w:sz w:val="22"/>
          <w:szCs w:val="22"/>
        </w:rPr>
      </w:pPr>
    </w:p>
    <w:p w14:paraId="746582CD" w14:textId="77777777"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porcentaje de jóvenes entre 18 y 34 años que optan por el alquiler de una vivienda en lugar de por la compra ha ascendido al 45% en 2024, cuatro puntos porcentuales por encima de la cifra registrada en 2023, cuando fue del 41%. </w:t>
      </w:r>
      <w:r>
        <w:rPr>
          <w:rFonts w:ascii="Open Sans" w:eastAsia="Open Sans" w:hAnsi="Open Sans" w:cs="Open Sans"/>
          <w:b/>
          <w:sz w:val="22"/>
          <w:szCs w:val="22"/>
        </w:rPr>
        <w:t>La posibilidad de una mayor movilidad laboral asociada al alquiler es el segundo motivo que lleva a los jóvenes a arrendar una vivienda frente a la posibilidad de comprar y abarca al 28%</w:t>
      </w:r>
      <w:r>
        <w:rPr>
          <w:rFonts w:ascii="Open Sans" w:eastAsia="Open Sans" w:hAnsi="Open Sans" w:cs="Open Sans"/>
          <w:sz w:val="22"/>
          <w:szCs w:val="22"/>
        </w:rPr>
        <w:t xml:space="preserve"> de los inquilinos, dos puntos por encima del 26% registrado hace un año. </w:t>
      </w:r>
    </w:p>
    <w:p w14:paraId="7557F718" w14:textId="77777777" w:rsidR="00FB606A" w:rsidRDefault="00FB606A">
      <w:pPr>
        <w:spacing w:line="276" w:lineRule="auto"/>
        <w:ind w:right="-574"/>
        <w:jc w:val="both"/>
        <w:rPr>
          <w:rFonts w:ascii="Open Sans" w:eastAsia="Open Sans" w:hAnsi="Open Sans" w:cs="Open Sans"/>
          <w:sz w:val="22"/>
          <w:szCs w:val="22"/>
        </w:rPr>
      </w:pPr>
    </w:p>
    <w:p w14:paraId="4AAF410A" w14:textId="77777777"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Asimismo, </w:t>
      </w:r>
      <w:r>
        <w:rPr>
          <w:rFonts w:ascii="Open Sans" w:eastAsia="Open Sans" w:hAnsi="Open Sans" w:cs="Open Sans"/>
          <w:b/>
          <w:sz w:val="22"/>
          <w:szCs w:val="22"/>
        </w:rPr>
        <w:t>el 18% de los que se decantan por el alquiler lo hacen porque están esperando que los precios de compraventa bajen, un porcentaje que se ha reducido en cinco puntos en los últimos doce meses</w:t>
      </w:r>
      <w:r>
        <w:rPr>
          <w:rFonts w:ascii="Open Sans" w:eastAsia="Open Sans" w:hAnsi="Open Sans" w:cs="Open Sans"/>
          <w:sz w:val="22"/>
          <w:szCs w:val="22"/>
        </w:rPr>
        <w:t>, mientras que los que defienden que esta opción ofrece mayor libertad y flexibilidad han subido dos puntos, hasta el 17%, según el informe “</w:t>
      </w:r>
      <w:hyperlink r:id="rId8">
        <w:r w:rsidR="00FB606A">
          <w:rPr>
            <w:rFonts w:ascii="Open Sans" w:eastAsia="Open Sans" w:hAnsi="Open Sans" w:cs="Open Sans"/>
            <w:b/>
            <w:i/>
            <w:color w:val="0000FF"/>
            <w:sz w:val="22"/>
            <w:szCs w:val="22"/>
            <w:u w:val="single"/>
          </w:rPr>
          <w:t>Los jóvenes y el mercado de la vivienda en 2024</w:t>
        </w:r>
      </w:hyperlink>
      <w:r>
        <w:rPr>
          <w:rFonts w:ascii="Open Sans" w:eastAsia="Open Sans" w:hAnsi="Open Sans" w:cs="Open Sans"/>
          <w:sz w:val="22"/>
          <w:szCs w:val="22"/>
        </w:rPr>
        <w:t xml:space="preserve">”, realizado por </w:t>
      </w:r>
      <w:r>
        <w:rPr>
          <w:rFonts w:ascii="Open Sans" w:eastAsia="Open Sans" w:hAnsi="Open Sans" w:cs="Open Sans"/>
          <w:b/>
          <w:sz w:val="22"/>
          <w:szCs w:val="22"/>
        </w:rPr>
        <w:t>Fotocasa Research.</w:t>
      </w:r>
    </w:p>
    <w:p w14:paraId="405EF712" w14:textId="77777777" w:rsidR="00FB606A" w:rsidRDefault="00FB606A">
      <w:pPr>
        <w:spacing w:line="276" w:lineRule="auto"/>
        <w:ind w:right="-574"/>
        <w:jc w:val="both"/>
        <w:rPr>
          <w:rFonts w:ascii="Open Sans" w:eastAsia="Open Sans" w:hAnsi="Open Sans" w:cs="Open Sans"/>
          <w:sz w:val="22"/>
          <w:szCs w:val="22"/>
        </w:rPr>
      </w:pPr>
    </w:p>
    <w:p w14:paraId="16395099" w14:textId="5A3BC238" w:rsidR="00FB606A" w:rsidRDefault="00000000">
      <w:pPr>
        <w:spacing w:line="276" w:lineRule="auto"/>
        <w:ind w:right="-574"/>
        <w:jc w:val="both"/>
        <w:rPr>
          <w:rFonts w:ascii="Open Sans Light" w:eastAsia="Open Sans Light" w:hAnsi="Open Sans Light" w:cs="Open Sans Light"/>
          <w:b/>
          <w:color w:val="303AB2"/>
        </w:rPr>
      </w:pPr>
      <w:r>
        <w:rPr>
          <w:rFonts w:ascii="Open Sans" w:eastAsia="Open Sans" w:hAnsi="Open Sans" w:cs="Open Sans"/>
          <w:sz w:val="22"/>
          <w:szCs w:val="22"/>
        </w:rPr>
        <w:t xml:space="preserve">“En el mercado de la vivienda se sigue manteniendo la preferencia por la compra frente al alquiler, y este fenómeno condiciona también a los jóvenes. Una mayoría de personas menores de 35 años esgrime principalmente factores de dificultad económica para justificar su inclinación hacia el alquiler por encima de la compra, dejando en segundo plano razones vinculadas a la movilidad laboral o la flexibilidad. La espiral alcista de los tipos de interés en la Eurozona durante los últimos dos años no ha hecho más que </w:t>
      </w:r>
      <w:r>
        <w:rPr>
          <w:rFonts w:ascii="Open Sans" w:eastAsia="Open Sans" w:hAnsi="Open Sans" w:cs="Open Sans"/>
          <w:sz w:val="22"/>
          <w:szCs w:val="22"/>
        </w:rPr>
        <w:lastRenderedPageBreak/>
        <w:t>obstaculizar el acceso a la financiación a los potenciales demandantes e intensificar estas dificultades económicas para comprar una vivienda. En estos momentos el esfuerzo salarial que los jóvenes tienen que realizar para hacer frente al pago de su vivienda está en máximos y lamentablemente, cad</w:t>
      </w:r>
      <w:r w:rsidR="00140ABD">
        <w:rPr>
          <w:rFonts w:ascii="Open Sans" w:eastAsia="Open Sans" w:hAnsi="Open Sans" w:cs="Open Sans"/>
          <w:sz w:val="22"/>
          <w:szCs w:val="22"/>
        </w:rPr>
        <w:t>a</w:t>
      </w:r>
      <w:r>
        <w:rPr>
          <w:rFonts w:ascii="Open Sans" w:eastAsia="Open Sans" w:hAnsi="Open Sans" w:cs="Open Sans"/>
          <w:sz w:val="22"/>
          <w:szCs w:val="22"/>
        </w:rPr>
        <w:t xml:space="preserve"> vez más jóvenes desechan la idea de convertirse en propietarios y se ven obligados a alquilar como única forma de acceder al mercado o a la emancipación ”, </w:t>
      </w:r>
      <w:r>
        <w:rPr>
          <w:rFonts w:ascii="Open Sans" w:eastAsia="Open Sans" w:hAnsi="Open Sans" w:cs="Open Sans"/>
          <w:b/>
          <w:sz w:val="22"/>
          <w:szCs w:val="22"/>
        </w:rPr>
        <w:t xml:space="preserve">comenta María Matos, directora de Estudios y portavoz de </w:t>
      </w:r>
      <w:hyperlink r:id="rId9">
        <w:r w:rsidR="00FB606A">
          <w:rPr>
            <w:rFonts w:ascii="Open Sans" w:eastAsia="Open Sans" w:hAnsi="Open Sans" w:cs="Open Sans"/>
            <w:b/>
            <w:color w:val="0000FF"/>
            <w:sz w:val="22"/>
            <w:szCs w:val="22"/>
            <w:u w:val="single"/>
          </w:rPr>
          <w:t>Fotocasa</w:t>
        </w:r>
      </w:hyperlink>
      <w:r>
        <w:rPr>
          <w:rFonts w:ascii="Open Sans" w:eastAsia="Open Sans" w:hAnsi="Open Sans" w:cs="Open Sans"/>
          <w:b/>
          <w:sz w:val="22"/>
          <w:szCs w:val="22"/>
        </w:rPr>
        <w:t>.</w:t>
      </w:r>
    </w:p>
    <w:p w14:paraId="2FD5B601" w14:textId="77777777" w:rsidR="00FB606A" w:rsidRDefault="00FB606A">
      <w:pPr>
        <w:spacing w:line="276" w:lineRule="auto"/>
        <w:ind w:right="-574"/>
        <w:jc w:val="both"/>
        <w:rPr>
          <w:rFonts w:ascii="Open Sans" w:eastAsia="Open Sans" w:hAnsi="Open Sans" w:cs="Open Sans"/>
          <w:sz w:val="22"/>
          <w:szCs w:val="22"/>
        </w:rPr>
      </w:pPr>
    </w:p>
    <w:p w14:paraId="34B41596" w14:textId="77777777" w:rsidR="00FB606A" w:rsidRDefault="00000000">
      <w:pPr>
        <w:spacing w:line="276" w:lineRule="auto"/>
        <w:ind w:right="-574"/>
        <w:jc w:val="both"/>
        <w:rPr>
          <w:rFonts w:ascii="Open Sans" w:eastAsia="Open Sans" w:hAnsi="Open Sans" w:cs="Open Sans"/>
          <w:sz w:val="22"/>
          <w:szCs w:val="22"/>
        </w:rPr>
      </w:pPr>
      <w:r>
        <w:rPr>
          <w:noProof/>
        </w:rPr>
        <w:drawing>
          <wp:inline distT="0" distB="0" distL="0" distR="0" wp14:anchorId="59F5AA0F" wp14:editId="4089F583">
            <wp:extent cx="5775707" cy="4965559"/>
            <wp:effectExtent l="0" t="0" r="0" b="0"/>
            <wp:docPr id="2025153002" name="image1.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Escala de tiempo&#10;&#10;Descripción generada automáticamente"/>
                    <pic:cNvPicPr preferRelativeResize="0"/>
                  </pic:nvPicPr>
                  <pic:blipFill>
                    <a:blip r:embed="rId10"/>
                    <a:srcRect/>
                    <a:stretch>
                      <a:fillRect/>
                    </a:stretch>
                  </pic:blipFill>
                  <pic:spPr>
                    <a:xfrm>
                      <a:off x="0" y="0"/>
                      <a:ext cx="5775707" cy="4965559"/>
                    </a:xfrm>
                    <a:prstGeom prst="rect">
                      <a:avLst/>
                    </a:prstGeom>
                    <a:ln/>
                  </pic:spPr>
                </pic:pic>
              </a:graphicData>
            </a:graphic>
          </wp:inline>
        </w:drawing>
      </w:r>
    </w:p>
    <w:p w14:paraId="7BACF16E" w14:textId="77777777" w:rsidR="00FB606A" w:rsidRDefault="00FB606A">
      <w:pPr>
        <w:spacing w:line="276" w:lineRule="auto"/>
        <w:ind w:right="-574"/>
        <w:jc w:val="both"/>
        <w:rPr>
          <w:rFonts w:ascii="Open Sans" w:eastAsia="Open Sans" w:hAnsi="Open Sans" w:cs="Open Sans"/>
          <w:sz w:val="22"/>
          <w:szCs w:val="22"/>
        </w:rPr>
      </w:pPr>
    </w:p>
    <w:p w14:paraId="34B71647" w14:textId="77777777"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el otro lado de la balanza, </w:t>
      </w:r>
      <w:r>
        <w:rPr>
          <w:rFonts w:ascii="Open Sans" w:eastAsia="Open Sans" w:hAnsi="Open Sans" w:cs="Open Sans"/>
          <w:b/>
          <w:sz w:val="22"/>
          <w:szCs w:val="22"/>
        </w:rPr>
        <w:t>el principal motivo de los jóvenes compradores de vivienda en España es que perciben la propiedad como una forma de inversión a largo plazo, en un porcentaje que alcanza el 42%</w:t>
      </w:r>
      <w:r>
        <w:rPr>
          <w:rFonts w:ascii="Open Sans" w:eastAsia="Open Sans" w:hAnsi="Open Sans" w:cs="Open Sans"/>
          <w:sz w:val="22"/>
          <w:szCs w:val="22"/>
        </w:rPr>
        <w:t xml:space="preserve"> de los casos en 2024, la misma cifra que en febrero de 2023. Este dato obedece, principalmente, al segmento de edad comprendido entre los 25 y los 34 años, donde alcanza un 46%, tres puntos porcentuales </w:t>
      </w:r>
      <w:r>
        <w:rPr>
          <w:rFonts w:ascii="Open Sans" w:eastAsia="Open Sans" w:hAnsi="Open Sans" w:cs="Open Sans"/>
          <w:sz w:val="22"/>
          <w:szCs w:val="22"/>
        </w:rPr>
        <w:lastRenderedPageBreak/>
        <w:t>más que el año anterior, mientras que, en el grupo de los más jóvenes, sin embargo, se queda en el 25%, frente al 39% del año anterior.</w:t>
      </w:r>
    </w:p>
    <w:p w14:paraId="6EDE6B72" w14:textId="77777777" w:rsidR="00FB606A" w:rsidRDefault="00FB606A">
      <w:pPr>
        <w:spacing w:line="276" w:lineRule="auto"/>
        <w:ind w:right="-574"/>
        <w:jc w:val="both"/>
        <w:rPr>
          <w:rFonts w:ascii="Open Sans" w:eastAsia="Open Sans" w:hAnsi="Open Sans" w:cs="Open Sans"/>
          <w:sz w:val="22"/>
          <w:szCs w:val="22"/>
        </w:rPr>
      </w:pPr>
    </w:p>
    <w:p w14:paraId="65CCE375" w14:textId="77777777"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 continuación, </w:t>
      </w:r>
      <w:r>
        <w:rPr>
          <w:rFonts w:ascii="Open Sans" w:eastAsia="Open Sans" w:hAnsi="Open Sans" w:cs="Open Sans"/>
          <w:b/>
          <w:sz w:val="22"/>
          <w:szCs w:val="22"/>
        </w:rPr>
        <w:t>el 38% de los jóvenes compradores de vivienda considera que la propiedad significa un seguro para el futuro, un porcentaje que ha disminuido dos puntos en comparación con 2023</w:t>
      </w:r>
      <w:r>
        <w:rPr>
          <w:rFonts w:ascii="Open Sans" w:eastAsia="Open Sans" w:hAnsi="Open Sans" w:cs="Open Sans"/>
          <w:sz w:val="22"/>
          <w:szCs w:val="22"/>
        </w:rPr>
        <w:t>. Este 38% es el mismo porcentaje de jóvenes que apuesta por la compra porque consideran que alquilar es “tirar el dinero”, aunque esta fracción también se ha reducido en dos puntos porcentuales en los últimos doce meses. La mejora de la situación laboral (22%) o económica (21%) son las siguientes motivaciones a la hora de atreverse a comprar un inmueble residencial.</w:t>
      </w:r>
    </w:p>
    <w:p w14:paraId="003EE0D7" w14:textId="77777777" w:rsidR="00FB606A" w:rsidRDefault="00FB606A">
      <w:pPr>
        <w:spacing w:line="276" w:lineRule="auto"/>
        <w:ind w:right="-574"/>
        <w:jc w:val="both"/>
        <w:rPr>
          <w:rFonts w:ascii="Open Sans" w:eastAsia="Open Sans" w:hAnsi="Open Sans" w:cs="Open Sans"/>
          <w:sz w:val="22"/>
          <w:szCs w:val="22"/>
        </w:rPr>
      </w:pPr>
    </w:p>
    <w:p w14:paraId="074449B6" w14:textId="77777777" w:rsidR="00FB606A" w:rsidRDefault="00000000">
      <w:pPr>
        <w:spacing w:line="276" w:lineRule="auto"/>
        <w:ind w:right="-574"/>
        <w:jc w:val="both"/>
        <w:rPr>
          <w:rFonts w:ascii="Open Sans" w:eastAsia="Open Sans" w:hAnsi="Open Sans" w:cs="Open Sans"/>
          <w:sz w:val="22"/>
          <w:szCs w:val="22"/>
        </w:rPr>
      </w:pPr>
      <w:r>
        <w:rPr>
          <w:noProof/>
        </w:rPr>
        <w:drawing>
          <wp:inline distT="0" distB="0" distL="0" distR="0" wp14:anchorId="079C8A4B" wp14:editId="1B7221B6">
            <wp:extent cx="5292613" cy="5000517"/>
            <wp:effectExtent l="0" t="0" r="0" b="0"/>
            <wp:docPr id="2025153003" name="image2.png" descr="Gráfico, Escala de tiemp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Escala de tiempo, Gráfico de barras&#10;&#10;Descripción generada automáticamente"/>
                    <pic:cNvPicPr preferRelativeResize="0"/>
                  </pic:nvPicPr>
                  <pic:blipFill>
                    <a:blip r:embed="rId11"/>
                    <a:srcRect/>
                    <a:stretch>
                      <a:fillRect/>
                    </a:stretch>
                  </pic:blipFill>
                  <pic:spPr>
                    <a:xfrm>
                      <a:off x="0" y="0"/>
                      <a:ext cx="5292613" cy="5000517"/>
                    </a:xfrm>
                    <a:prstGeom prst="rect">
                      <a:avLst/>
                    </a:prstGeom>
                    <a:ln/>
                  </pic:spPr>
                </pic:pic>
              </a:graphicData>
            </a:graphic>
          </wp:inline>
        </w:drawing>
      </w:r>
    </w:p>
    <w:p w14:paraId="61CC8809" w14:textId="77777777" w:rsidR="00FB606A" w:rsidRDefault="00FB606A">
      <w:pPr>
        <w:spacing w:line="276" w:lineRule="auto"/>
        <w:ind w:right="-574"/>
        <w:jc w:val="both"/>
        <w:rPr>
          <w:rFonts w:ascii="Open Sans" w:eastAsia="Open Sans" w:hAnsi="Open Sans" w:cs="Open Sans"/>
          <w:sz w:val="22"/>
          <w:szCs w:val="22"/>
        </w:rPr>
      </w:pPr>
    </w:p>
    <w:p w14:paraId="65BF21F5" w14:textId="77777777" w:rsidR="006A2A37" w:rsidRDefault="006A2A37">
      <w:pPr>
        <w:spacing w:line="276" w:lineRule="auto"/>
        <w:ind w:right="-574"/>
        <w:jc w:val="both"/>
        <w:rPr>
          <w:rFonts w:ascii="Open Sans" w:eastAsia="Open Sans" w:hAnsi="Open Sans" w:cs="Open Sans"/>
          <w:sz w:val="22"/>
          <w:szCs w:val="22"/>
        </w:rPr>
      </w:pPr>
    </w:p>
    <w:p w14:paraId="7E8B9CF8" w14:textId="298EC8EE"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Si se atiende al lado de la oferta, </w:t>
      </w:r>
      <w:r>
        <w:rPr>
          <w:rFonts w:ascii="Open Sans" w:eastAsia="Open Sans" w:hAnsi="Open Sans" w:cs="Open Sans"/>
          <w:b/>
          <w:sz w:val="22"/>
          <w:szCs w:val="22"/>
        </w:rPr>
        <w:t>el principal factor económico de los jóvenes que venden una vivienda es tener ingresos para comprar otro inmueble (en un 24% de los casos) o bien evitar problemas a la hora de cobrar un alquiler (en un porcentaje del 19%)</w:t>
      </w:r>
      <w:r>
        <w:rPr>
          <w:rFonts w:ascii="Open Sans" w:eastAsia="Open Sans" w:hAnsi="Open Sans" w:cs="Open Sans"/>
          <w:sz w:val="22"/>
          <w:szCs w:val="22"/>
        </w:rPr>
        <w:t>. Entre los jóvenes arrendadores -entendiendo como tales a los que han alquilado o intentado alquilar una vivienda de su propiedad en los últimos doce meses-, el 61% deciden poner su vivienda en alquiler porque lo considera una fuente de ingresos.</w:t>
      </w:r>
    </w:p>
    <w:p w14:paraId="4D11D399" w14:textId="77777777" w:rsidR="00FB606A" w:rsidRDefault="00FB606A">
      <w:pPr>
        <w:spacing w:line="276" w:lineRule="auto"/>
        <w:ind w:right="-574"/>
        <w:jc w:val="both"/>
        <w:rPr>
          <w:rFonts w:ascii="Open Sans" w:eastAsia="Open Sans" w:hAnsi="Open Sans" w:cs="Open Sans"/>
          <w:sz w:val="22"/>
          <w:szCs w:val="22"/>
        </w:rPr>
      </w:pPr>
    </w:p>
    <w:p w14:paraId="3FEF7803" w14:textId="77777777"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Asimismo, según el informe de </w:t>
      </w:r>
      <w:hyperlink r:id="rId12">
        <w:r w:rsidR="00FB606A">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w:t>
      </w:r>
      <w:r>
        <w:rPr>
          <w:rFonts w:ascii="Open Sans" w:eastAsia="Open Sans" w:hAnsi="Open Sans" w:cs="Open Sans"/>
          <w:b/>
          <w:sz w:val="22"/>
          <w:szCs w:val="22"/>
        </w:rPr>
        <w:t xml:space="preserve"> las principales motivaciones personales y no económicas de los jóvenes participantes en el mercado inmobiliario son el deseo de independizarse (en un 35% de los casos), así como la voluntad de vivir con su pareja, que alcanza el 32% de la muestra</w:t>
      </w:r>
      <w:r>
        <w:rPr>
          <w:rFonts w:ascii="Open Sans" w:eastAsia="Open Sans" w:hAnsi="Open Sans" w:cs="Open Sans"/>
          <w:sz w:val="22"/>
          <w:szCs w:val="22"/>
        </w:rPr>
        <w:t>. Otras razones para la actividad de la población de hasta 34 años en este mercado son la posibilidad de mejorar su vivienda actual (28%), el cambio de lugar de residencia por motivos de trabajo o de estudios (25%), o el hecho que la familia haya crecido o vaya a crecer en breve (15%).</w:t>
      </w:r>
    </w:p>
    <w:p w14:paraId="60DBE65A" w14:textId="77777777" w:rsidR="00FB606A" w:rsidRDefault="00FB606A">
      <w:pPr>
        <w:spacing w:line="276" w:lineRule="auto"/>
        <w:ind w:right="-574"/>
        <w:jc w:val="both"/>
        <w:rPr>
          <w:rFonts w:ascii="Open Sans Light" w:eastAsia="Open Sans Light" w:hAnsi="Open Sans Light" w:cs="Open Sans Light"/>
          <w:b/>
          <w:color w:val="303AB2"/>
        </w:rPr>
      </w:pPr>
    </w:p>
    <w:p w14:paraId="6F20EDAC" w14:textId="77777777" w:rsidR="00FB606A"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precios elevados impiden comprar o alquilar una vivienda al 58% de potenciales demandantes</w:t>
      </w:r>
    </w:p>
    <w:p w14:paraId="5D4ADDAA" w14:textId="77777777" w:rsidR="00FB606A" w:rsidRDefault="00FB606A">
      <w:pPr>
        <w:spacing w:line="276" w:lineRule="auto"/>
        <w:ind w:right="-574"/>
        <w:jc w:val="both"/>
        <w:rPr>
          <w:rFonts w:ascii="Open Sans" w:eastAsia="Open Sans" w:hAnsi="Open Sans" w:cs="Open Sans"/>
          <w:sz w:val="22"/>
          <w:szCs w:val="22"/>
        </w:rPr>
      </w:pPr>
    </w:p>
    <w:p w14:paraId="1C26981B" w14:textId="77777777"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 pesar de estas claras motivaciones, el mercado residencial español no ha logrado satisfacer una porción importante de la demanda impulsada por jóvenes entre 18 y 34 años. Concretamente, </w:t>
      </w:r>
      <w:r>
        <w:rPr>
          <w:rFonts w:ascii="Open Sans" w:eastAsia="Open Sans" w:hAnsi="Open Sans" w:cs="Open Sans"/>
          <w:b/>
          <w:sz w:val="22"/>
          <w:szCs w:val="22"/>
        </w:rPr>
        <w:t>un 24% de quienes han deseado comprar o alquilar a lo largo de los doce meses anteriores, pero aún no lo han logrado</w:t>
      </w:r>
      <w:r>
        <w:rPr>
          <w:rFonts w:ascii="Open Sans" w:eastAsia="Open Sans" w:hAnsi="Open Sans" w:cs="Open Sans"/>
          <w:sz w:val="22"/>
          <w:szCs w:val="22"/>
        </w:rPr>
        <w:t>. En este sentido, los precios elevados son el principal escollo que se encuentra esta demanda insatisfecha: se trata de una dificultad que afecta al 58% de los jóvenes que han intentado comprar o alquilar, si bien este porcentaje es inferior al 61% de 2023.</w:t>
      </w:r>
    </w:p>
    <w:p w14:paraId="0FA5F304" w14:textId="77777777" w:rsidR="00FB606A" w:rsidRDefault="00FB606A">
      <w:pPr>
        <w:spacing w:line="276" w:lineRule="auto"/>
        <w:ind w:right="-574"/>
        <w:jc w:val="both"/>
        <w:rPr>
          <w:rFonts w:ascii="Open Sans" w:eastAsia="Open Sans" w:hAnsi="Open Sans" w:cs="Open Sans"/>
          <w:sz w:val="22"/>
          <w:szCs w:val="22"/>
        </w:rPr>
      </w:pPr>
    </w:p>
    <w:p w14:paraId="6C68A490" w14:textId="77777777"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segundo lugar, esta demanda insatisfecha se manifiesta entre quienes no encuentran una vivienda que se adapte a sus necesidades, un porcentaje que alcanza un 36% de este subgrupo. </w:t>
      </w:r>
      <w:r>
        <w:rPr>
          <w:rFonts w:ascii="Open Sans" w:eastAsia="Open Sans" w:hAnsi="Open Sans" w:cs="Open Sans"/>
          <w:b/>
          <w:sz w:val="22"/>
          <w:szCs w:val="22"/>
        </w:rPr>
        <w:t>Otra motivación muy importante es la escasez de oferta en las zonas de interés de los demandantes, un fenómeno que afecta al 34% del total</w:t>
      </w:r>
      <w:r>
        <w:rPr>
          <w:rFonts w:ascii="Open Sans" w:eastAsia="Open Sans" w:hAnsi="Open Sans" w:cs="Open Sans"/>
          <w:sz w:val="22"/>
          <w:szCs w:val="22"/>
        </w:rPr>
        <w:t>, seguida por la dificultad de acceder a financiación, un extremo que citan el 14% de los afectados.</w:t>
      </w:r>
    </w:p>
    <w:p w14:paraId="057E066D" w14:textId="77777777" w:rsidR="00FB606A" w:rsidRDefault="00FB606A">
      <w:pPr>
        <w:spacing w:line="276" w:lineRule="auto"/>
        <w:ind w:right="-574"/>
        <w:jc w:val="both"/>
        <w:rPr>
          <w:rFonts w:ascii="Open Sans" w:eastAsia="Open Sans" w:hAnsi="Open Sans" w:cs="Open Sans"/>
          <w:sz w:val="22"/>
          <w:szCs w:val="22"/>
        </w:rPr>
      </w:pPr>
    </w:p>
    <w:p w14:paraId="7921196B" w14:textId="77777777" w:rsidR="006A2A37" w:rsidRDefault="006A2A37">
      <w:pPr>
        <w:spacing w:line="276" w:lineRule="auto"/>
        <w:ind w:right="-574"/>
        <w:jc w:val="both"/>
        <w:rPr>
          <w:rFonts w:ascii="Open Sans Light" w:eastAsia="Open Sans Light" w:hAnsi="Open Sans Light" w:cs="Open Sans Light"/>
          <w:b/>
          <w:color w:val="303AB2"/>
        </w:rPr>
      </w:pPr>
    </w:p>
    <w:p w14:paraId="71A93B95" w14:textId="77777777" w:rsidR="006A2A37" w:rsidRDefault="006A2A37">
      <w:pPr>
        <w:spacing w:line="276" w:lineRule="auto"/>
        <w:ind w:right="-574"/>
        <w:jc w:val="both"/>
        <w:rPr>
          <w:rFonts w:ascii="Open Sans Light" w:eastAsia="Open Sans Light" w:hAnsi="Open Sans Light" w:cs="Open Sans Light"/>
          <w:b/>
          <w:color w:val="303AB2"/>
        </w:rPr>
      </w:pPr>
    </w:p>
    <w:p w14:paraId="67E110B1" w14:textId="77777777" w:rsidR="006A2A37" w:rsidRDefault="006A2A37">
      <w:pPr>
        <w:spacing w:line="276" w:lineRule="auto"/>
        <w:ind w:right="-574"/>
        <w:jc w:val="both"/>
        <w:rPr>
          <w:rFonts w:ascii="Open Sans Light" w:eastAsia="Open Sans Light" w:hAnsi="Open Sans Light" w:cs="Open Sans Light"/>
          <w:b/>
          <w:color w:val="303AB2"/>
        </w:rPr>
      </w:pPr>
    </w:p>
    <w:p w14:paraId="4EC93C78" w14:textId="045FBCF7" w:rsidR="00FB606A"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Los jóvenes que prevén comprar una vivienda en los próximos cinco años caen al 55%, seis puntos por debajo de 2023</w:t>
      </w:r>
    </w:p>
    <w:p w14:paraId="19219C44" w14:textId="77777777" w:rsidR="00FB606A" w:rsidRDefault="00FB606A">
      <w:pPr>
        <w:spacing w:line="276" w:lineRule="auto"/>
        <w:ind w:right="-574"/>
        <w:jc w:val="both"/>
        <w:rPr>
          <w:rFonts w:ascii="Open Sans Light" w:eastAsia="Open Sans Light" w:hAnsi="Open Sans Light" w:cs="Open Sans Light"/>
          <w:b/>
          <w:color w:val="303AB2"/>
        </w:rPr>
      </w:pPr>
    </w:p>
    <w:p w14:paraId="397499EC" w14:textId="77777777" w:rsidR="00FB606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Este contexto del mercado inmobiliario español en 2024 también se plasma en la intención directa de compra a corto y medio plazo, que se está reduciendo de forma significativa. </w:t>
      </w:r>
      <w:r>
        <w:rPr>
          <w:rFonts w:ascii="Open Sans" w:eastAsia="Open Sans" w:hAnsi="Open Sans" w:cs="Open Sans"/>
          <w:b/>
          <w:sz w:val="22"/>
          <w:szCs w:val="22"/>
        </w:rPr>
        <w:t>En los últimos doce meses, ha descendido el porcentaje de jóvenes que, pese a no haber llevado a cabo acciones de compra en los últimos doce meses, sí prevé hacerlo en un horizonte temporal de cinco años</w:t>
      </w:r>
      <w:r>
        <w:rPr>
          <w:rFonts w:ascii="Open Sans" w:eastAsia="Open Sans" w:hAnsi="Open Sans" w:cs="Open Sans"/>
          <w:sz w:val="22"/>
          <w:szCs w:val="22"/>
        </w:rPr>
        <w:t>: actualmente este colectivo es del 55%, mientras que la cifra ascendía al 61% en febrero de 2023.</w:t>
      </w:r>
    </w:p>
    <w:p w14:paraId="4941B592" w14:textId="77777777" w:rsidR="00FB606A" w:rsidRDefault="00FB606A">
      <w:pPr>
        <w:spacing w:line="276" w:lineRule="auto"/>
        <w:ind w:right="-574"/>
        <w:jc w:val="both"/>
        <w:rPr>
          <w:rFonts w:ascii="Open Sans" w:eastAsia="Open Sans" w:hAnsi="Open Sans" w:cs="Open Sans"/>
          <w:sz w:val="22"/>
          <w:szCs w:val="22"/>
        </w:rPr>
      </w:pPr>
    </w:p>
    <w:p w14:paraId="78DF7CC6" w14:textId="77777777" w:rsidR="00FB606A" w:rsidRDefault="00000000">
      <w:pPr>
        <w:spacing w:line="276" w:lineRule="auto"/>
        <w:ind w:right="-574"/>
        <w:jc w:val="both"/>
        <w:rPr>
          <w:rFonts w:ascii="Open Sans" w:eastAsia="Open Sans" w:hAnsi="Open Sans" w:cs="Open Sans"/>
          <w:b/>
          <w:sz w:val="22"/>
          <w:szCs w:val="22"/>
        </w:rPr>
      </w:pPr>
      <w:r>
        <w:rPr>
          <w:rFonts w:ascii="Open Sans" w:eastAsia="Open Sans" w:hAnsi="Open Sans" w:cs="Open Sans"/>
          <w:sz w:val="22"/>
          <w:szCs w:val="22"/>
        </w:rPr>
        <w:t xml:space="preserve">La principal razón de los jóvenes para no poder ejecutar una compra en este momento (pero que espera poder hacerlo en los siguientes cinco años) es nuevamente económica: no disponer de suficientes ahorros para la operación, algo que afecta al 53% de los casos, un porcentaje once puntos por encima del 42% registrado en 2023. A continuación, un 41% argumenta que su situación laboral y económica no les permite acceder a una compra (la misma cifra que doce meses antes), mientras que </w:t>
      </w:r>
      <w:r>
        <w:rPr>
          <w:rFonts w:ascii="Open Sans" w:eastAsia="Open Sans" w:hAnsi="Open Sans" w:cs="Open Sans"/>
          <w:b/>
          <w:sz w:val="22"/>
          <w:szCs w:val="22"/>
        </w:rPr>
        <w:t>un 35% opina que los precios están demasiado altos y que se pueden normalizar a medio plazo (un dato que ha crecido 11 puntos porcentuales en un año).</w:t>
      </w:r>
    </w:p>
    <w:p w14:paraId="30C2B6DC" w14:textId="77777777" w:rsidR="00FB606A" w:rsidRDefault="00FB606A">
      <w:pPr>
        <w:spacing w:line="276" w:lineRule="auto"/>
        <w:ind w:right="-574"/>
        <w:jc w:val="both"/>
        <w:rPr>
          <w:rFonts w:ascii="Open Sans" w:eastAsia="Open Sans" w:hAnsi="Open Sans" w:cs="Open Sans"/>
          <w:sz w:val="22"/>
          <w:szCs w:val="22"/>
        </w:rPr>
      </w:pPr>
    </w:p>
    <w:p w14:paraId="7BEBA6CE" w14:textId="77777777" w:rsidR="006A2A37" w:rsidRDefault="006A2A37">
      <w:pPr>
        <w:spacing w:line="276" w:lineRule="auto"/>
        <w:ind w:right="-574"/>
        <w:jc w:val="right"/>
        <w:rPr>
          <w:rFonts w:ascii="Open Sans Light" w:eastAsia="Open Sans Light" w:hAnsi="Open Sans Light" w:cs="Open Sans Light"/>
          <w:b/>
          <w:color w:val="303AB2"/>
        </w:rPr>
      </w:pPr>
    </w:p>
    <w:p w14:paraId="1487843A" w14:textId="77777777" w:rsidR="006A2A37" w:rsidRDefault="006A2A37">
      <w:pPr>
        <w:spacing w:line="276" w:lineRule="auto"/>
        <w:ind w:right="-574"/>
        <w:jc w:val="right"/>
        <w:rPr>
          <w:rFonts w:ascii="Open Sans Light" w:eastAsia="Open Sans Light" w:hAnsi="Open Sans Light" w:cs="Open Sans Light"/>
          <w:b/>
          <w:color w:val="303AB2"/>
        </w:rPr>
      </w:pPr>
    </w:p>
    <w:p w14:paraId="38EDE45F" w14:textId="51F3E43B" w:rsidR="00FB606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95EF12C" w14:textId="77777777" w:rsidR="00FB606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FB606A">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A56E499" w14:textId="77777777" w:rsidR="00FB606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sidR="00FB606A">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28CA397" w14:textId="77777777" w:rsidR="00FB606A" w:rsidRDefault="0000000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086CA1D0" w14:textId="77777777" w:rsidR="00FB606A" w:rsidRDefault="00FB606A">
      <w:pPr>
        <w:spacing w:line="276" w:lineRule="auto"/>
        <w:ind w:right="-574"/>
        <w:jc w:val="right"/>
        <w:rPr>
          <w:rFonts w:ascii="Open Sans Light" w:eastAsia="Open Sans Light" w:hAnsi="Open Sans Light" w:cs="Open Sans Light"/>
          <w:b/>
          <w:color w:val="303AB2"/>
        </w:rPr>
      </w:pPr>
    </w:p>
    <w:p w14:paraId="1989AE64" w14:textId="77777777" w:rsidR="006A2A37" w:rsidRDefault="006A2A37">
      <w:pPr>
        <w:spacing w:line="276" w:lineRule="auto"/>
        <w:ind w:right="-574"/>
        <w:jc w:val="right"/>
        <w:rPr>
          <w:rFonts w:ascii="Open Sans Light" w:eastAsia="Open Sans Light" w:hAnsi="Open Sans Light" w:cs="Open Sans Light"/>
          <w:b/>
          <w:color w:val="303AB2"/>
        </w:rPr>
      </w:pPr>
    </w:p>
    <w:p w14:paraId="4701145E" w14:textId="77777777" w:rsidR="006A2A37" w:rsidRDefault="006A2A37">
      <w:pPr>
        <w:spacing w:line="276" w:lineRule="auto"/>
        <w:ind w:right="-574"/>
        <w:jc w:val="right"/>
        <w:rPr>
          <w:rFonts w:ascii="Open Sans Light" w:eastAsia="Open Sans Light" w:hAnsi="Open Sans Light" w:cs="Open Sans Light"/>
          <w:b/>
          <w:color w:val="303AB2"/>
        </w:rPr>
      </w:pPr>
    </w:p>
    <w:p w14:paraId="688B7FAE" w14:textId="77777777" w:rsidR="006A2A37" w:rsidRDefault="006A2A37">
      <w:pPr>
        <w:spacing w:line="276" w:lineRule="auto"/>
        <w:ind w:right="-574"/>
        <w:jc w:val="right"/>
        <w:rPr>
          <w:rFonts w:ascii="Open Sans Light" w:eastAsia="Open Sans Light" w:hAnsi="Open Sans Light" w:cs="Open Sans Light"/>
          <w:b/>
          <w:color w:val="303AB2"/>
        </w:rPr>
      </w:pPr>
    </w:p>
    <w:p w14:paraId="4A8866C1" w14:textId="77777777" w:rsidR="00FB606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6DDACACF" w14:textId="77777777" w:rsidR="00FB606A"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sidR="00FB606A">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FB606A">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sidR="00FB606A">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sidR="00FB606A">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FB606A">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DA35916" w14:textId="77777777" w:rsidR="00FB606A"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E9DA4CA" w14:textId="77777777" w:rsidR="00FB606A"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00C7C6B5" w14:textId="77777777" w:rsidR="00FB606A"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sidR="00FB606A">
          <w:rPr>
            <w:rFonts w:ascii="Open Sans" w:eastAsia="Open Sans" w:hAnsi="Open Sans" w:cs="Open Sans"/>
            <w:color w:val="1155CC"/>
            <w:sz w:val="22"/>
            <w:szCs w:val="22"/>
            <w:u w:val="single"/>
          </w:rPr>
          <w:t>adevinta.es</w:t>
        </w:r>
      </w:hyperlink>
    </w:p>
    <w:p w14:paraId="0B1EC1D5" w14:textId="77777777" w:rsidR="00FB606A" w:rsidRDefault="00FB606A">
      <w:pPr>
        <w:spacing w:line="276" w:lineRule="auto"/>
        <w:ind w:right="-574"/>
        <w:jc w:val="right"/>
        <w:rPr>
          <w:rFonts w:ascii="Open Sans" w:eastAsia="Open Sans" w:hAnsi="Open Sans" w:cs="Open Sans"/>
        </w:rPr>
      </w:pPr>
    </w:p>
    <w:p w14:paraId="35FEC513" w14:textId="77777777" w:rsidR="00FB606A" w:rsidRDefault="00FB606A">
      <w:pPr>
        <w:spacing w:line="276" w:lineRule="auto"/>
        <w:ind w:right="-574"/>
        <w:jc w:val="right"/>
        <w:rPr>
          <w:rFonts w:ascii="Open Sans" w:eastAsia="Open Sans" w:hAnsi="Open Sans" w:cs="Open Sans"/>
        </w:rPr>
      </w:pPr>
    </w:p>
    <w:p w14:paraId="09DB2DD4" w14:textId="77777777" w:rsidR="00FB606A"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879D790" w14:textId="77777777" w:rsidR="00FB606A"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54F75F9" w14:textId="77777777" w:rsidR="00FB606A" w:rsidRDefault="00FB606A">
      <w:pPr>
        <w:shd w:val="clear" w:color="auto" w:fill="FFFFFF"/>
        <w:spacing w:line="276" w:lineRule="auto"/>
        <w:ind w:right="-574"/>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446D8FF3" w14:textId="77777777" w:rsidR="00FB606A"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A38237C" w14:textId="77777777" w:rsidR="00FB606A" w:rsidRDefault="00FB606A">
      <w:pPr>
        <w:spacing w:line="276" w:lineRule="auto"/>
        <w:ind w:right="-574"/>
        <w:rPr>
          <w:rFonts w:ascii="Open Sans Light" w:eastAsia="Open Sans Light" w:hAnsi="Open Sans Light" w:cs="Open Sans Light"/>
          <w:b/>
          <w:color w:val="303AB2"/>
          <w:sz w:val="22"/>
          <w:szCs w:val="22"/>
        </w:rPr>
      </w:pPr>
    </w:p>
    <w:p w14:paraId="16B62D75" w14:textId="77777777" w:rsidR="00FB606A" w:rsidRDefault="00FB606A">
      <w:pPr>
        <w:spacing w:line="276" w:lineRule="auto"/>
        <w:ind w:right="-574"/>
        <w:jc w:val="both"/>
        <w:rPr>
          <w:rFonts w:ascii="Open Sans" w:eastAsia="Open Sans" w:hAnsi="Open Sans" w:cs="Open Sans"/>
          <w:color w:val="000000"/>
          <w:sz w:val="21"/>
          <w:szCs w:val="21"/>
        </w:rPr>
      </w:pPr>
    </w:p>
    <w:p w14:paraId="65FA9A13" w14:textId="77777777" w:rsidR="00FB606A" w:rsidRDefault="00FB606A">
      <w:pPr>
        <w:spacing w:line="276" w:lineRule="auto"/>
        <w:ind w:right="-574"/>
        <w:jc w:val="both"/>
        <w:rPr>
          <w:rFonts w:ascii="Open Sans" w:eastAsia="Open Sans" w:hAnsi="Open Sans" w:cs="Open Sans"/>
          <w:color w:val="000000"/>
          <w:sz w:val="21"/>
          <w:szCs w:val="21"/>
        </w:rPr>
      </w:pPr>
    </w:p>
    <w:sectPr w:rsidR="00FB606A">
      <w:headerReference w:type="default" r:id="rId23"/>
      <w:footerReference w:type="default" r:id="rId24"/>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7D919" w14:textId="77777777" w:rsidR="005C6083" w:rsidRDefault="005C6083">
      <w:r>
        <w:separator/>
      </w:r>
    </w:p>
  </w:endnote>
  <w:endnote w:type="continuationSeparator" w:id="0">
    <w:p w14:paraId="522B60E3" w14:textId="77777777" w:rsidR="005C6083" w:rsidRDefault="005C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7F9DDA8-6300-4782-AFEE-88C4234523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2FA91DB-A2DC-4D97-B5A7-7C9D44AFD7AC}"/>
    <w:embedBold r:id="rId3" w:fontKey="{7D48E173-9766-4D86-8BE0-E90FC31A8B4A}"/>
    <w:embedItalic r:id="rId4" w:fontKey="{7F0DA8BC-3988-4E1E-BBB7-A4407E236B7D}"/>
  </w:font>
  <w:font w:name="Calibri Light">
    <w:panose1 w:val="020F0302020204030204"/>
    <w:charset w:val="00"/>
    <w:family w:val="swiss"/>
    <w:pitch w:val="variable"/>
    <w:sig w:usb0="E4002EFF" w:usb1="C000247B" w:usb2="00000009" w:usb3="00000000" w:csb0="000001FF" w:csb1="00000000"/>
    <w:embedRegular r:id="rId5" w:fontKey="{88F897C8-73D8-47C7-B0C6-D1B151B66DD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84CBF62-66A0-4155-9C6C-22F266223C61}"/>
  </w:font>
  <w:font w:name="Georgia">
    <w:panose1 w:val="02040502050405020303"/>
    <w:charset w:val="00"/>
    <w:family w:val="roman"/>
    <w:pitch w:val="variable"/>
    <w:sig w:usb0="00000287" w:usb1="00000000" w:usb2="00000000" w:usb3="00000000" w:csb0="0000009F" w:csb1="00000000"/>
    <w:embedRegular r:id="rId7" w:fontKey="{F40C2A5A-6C83-47D8-918C-5CCA59A6DC17}"/>
    <w:embedItalic r:id="rId8" w:fontKey="{578E34BE-0343-4A82-AEF9-0237DD913B3D}"/>
  </w:font>
  <w:font w:name="National-Regular">
    <w:panose1 w:val="00000000000000000000"/>
    <w:charset w:val="00"/>
    <w:family w:val="roman"/>
    <w:notTrueType/>
    <w:pitch w:val="default"/>
  </w:font>
  <w:font w:name="National-MediumItalic">
    <w:panose1 w:val="00000000000000000000"/>
    <w:charset w:val="00"/>
    <w:family w:val="roman"/>
    <w:notTrueType/>
    <w:pitch w:val="default"/>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9" w:fontKey="{8D02F239-8AD3-4F75-B2C1-23C6EC071705}"/>
    <w:embedBold r:id="rId10" w:fontKey="{A8C24EAA-3D1A-4B4F-BA14-40FF415E7F15}"/>
    <w:embedBoldItalic r:id="rId11" w:fontKey="{F0B55669-7235-4781-9C2A-7DD8303416F5}"/>
  </w:font>
  <w:font w:name="Open Sans Light">
    <w:charset w:val="00"/>
    <w:family w:val="swiss"/>
    <w:pitch w:val="variable"/>
    <w:sig w:usb0="E00002EF" w:usb1="4000205B" w:usb2="00000028" w:usb3="00000000" w:csb0="0000019F" w:csb1="00000000"/>
    <w:embedRegular r:id="rId12" w:fontKey="{98F1C9FD-268F-4280-8EF3-EDAD4EAF133C}"/>
    <w:embedBold r:id="rId13" w:fontKey="{3E35CB1E-B488-410A-8A06-9C4FCFE0F6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EAC04" w14:textId="77777777" w:rsidR="00FB606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662AC1C3" wp14:editId="1158359A">
          <wp:simplePos x="0" y="0"/>
          <wp:positionH relativeFrom="column">
            <wp:posOffset>-1068051</wp:posOffset>
          </wp:positionH>
          <wp:positionV relativeFrom="paragraph">
            <wp:posOffset>174608</wp:posOffset>
          </wp:positionV>
          <wp:extent cx="7670550" cy="451315"/>
          <wp:effectExtent l="0" t="0" r="0" b="0"/>
          <wp:wrapNone/>
          <wp:docPr id="20251530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16AAB" w14:textId="77777777" w:rsidR="005C6083" w:rsidRDefault="005C6083">
      <w:r>
        <w:separator/>
      </w:r>
    </w:p>
  </w:footnote>
  <w:footnote w:type="continuationSeparator" w:id="0">
    <w:p w14:paraId="7D46DD00" w14:textId="77777777" w:rsidR="005C6083" w:rsidRDefault="005C6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AFCD0" w14:textId="77777777" w:rsidR="00FB606A"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08D915E" wp14:editId="620EA05C">
          <wp:simplePos x="0" y="0"/>
          <wp:positionH relativeFrom="column">
            <wp:posOffset>-1121115</wp:posOffset>
          </wp:positionH>
          <wp:positionV relativeFrom="paragraph">
            <wp:posOffset>225176</wp:posOffset>
          </wp:positionV>
          <wp:extent cx="7581265" cy="1019175"/>
          <wp:effectExtent l="0" t="0" r="0" b="0"/>
          <wp:wrapNone/>
          <wp:docPr id="20251530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0331A470" w14:textId="77777777" w:rsidR="00FB606A" w:rsidRDefault="00FB606A">
    <w:pPr>
      <w:pBdr>
        <w:top w:val="nil"/>
        <w:left w:val="nil"/>
        <w:bottom w:val="nil"/>
        <w:right w:val="nil"/>
        <w:between w:val="nil"/>
      </w:pBdr>
      <w:tabs>
        <w:tab w:val="center" w:pos="4252"/>
        <w:tab w:val="right" w:pos="8504"/>
      </w:tabs>
      <w:rPr>
        <w:color w:val="000000"/>
      </w:rPr>
    </w:pPr>
  </w:p>
  <w:p w14:paraId="227E0D3E" w14:textId="77777777" w:rsidR="00FB606A" w:rsidRDefault="00FB606A">
    <w:pPr>
      <w:pBdr>
        <w:top w:val="nil"/>
        <w:left w:val="nil"/>
        <w:bottom w:val="nil"/>
        <w:right w:val="nil"/>
        <w:between w:val="nil"/>
      </w:pBdr>
      <w:tabs>
        <w:tab w:val="center" w:pos="4252"/>
        <w:tab w:val="right" w:pos="8504"/>
      </w:tabs>
      <w:rPr>
        <w:color w:val="000000"/>
      </w:rPr>
    </w:pPr>
  </w:p>
  <w:p w14:paraId="58CED1F9" w14:textId="77777777" w:rsidR="00FB606A" w:rsidRDefault="00FB606A">
    <w:pPr>
      <w:pBdr>
        <w:top w:val="nil"/>
        <w:left w:val="nil"/>
        <w:bottom w:val="nil"/>
        <w:right w:val="nil"/>
        <w:between w:val="nil"/>
      </w:pBdr>
      <w:tabs>
        <w:tab w:val="center" w:pos="4252"/>
        <w:tab w:val="right" w:pos="8504"/>
      </w:tabs>
      <w:rPr>
        <w:color w:val="000000"/>
      </w:rPr>
    </w:pPr>
  </w:p>
  <w:p w14:paraId="115A351F" w14:textId="77777777" w:rsidR="00FB606A" w:rsidRDefault="00FB606A">
    <w:pPr>
      <w:pBdr>
        <w:top w:val="nil"/>
        <w:left w:val="nil"/>
        <w:bottom w:val="nil"/>
        <w:right w:val="nil"/>
        <w:between w:val="nil"/>
      </w:pBdr>
      <w:tabs>
        <w:tab w:val="center" w:pos="4252"/>
        <w:tab w:val="right" w:pos="8504"/>
      </w:tabs>
      <w:rPr>
        <w:color w:val="000000"/>
      </w:rPr>
    </w:pPr>
  </w:p>
  <w:p w14:paraId="4CB49CCF" w14:textId="77777777" w:rsidR="00FB606A" w:rsidRDefault="00FB606A">
    <w:pPr>
      <w:pBdr>
        <w:top w:val="nil"/>
        <w:left w:val="nil"/>
        <w:bottom w:val="nil"/>
        <w:right w:val="nil"/>
        <w:between w:val="nil"/>
      </w:pBdr>
      <w:tabs>
        <w:tab w:val="center" w:pos="4252"/>
        <w:tab w:val="right" w:pos="8504"/>
      </w:tabs>
      <w:rPr>
        <w:color w:val="000000"/>
      </w:rPr>
    </w:pPr>
  </w:p>
  <w:p w14:paraId="47F09408" w14:textId="77777777" w:rsidR="00FB606A" w:rsidRDefault="00FB606A">
    <w:pPr>
      <w:pBdr>
        <w:top w:val="nil"/>
        <w:left w:val="nil"/>
        <w:bottom w:val="nil"/>
        <w:right w:val="nil"/>
        <w:between w:val="nil"/>
      </w:pBdr>
      <w:tabs>
        <w:tab w:val="center" w:pos="4252"/>
        <w:tab w:val="right" w:pos="8504"/>
      </w:tabs>
      <w:rPr>
        <w:color w:val="000000"/>
      </w:rPr>
    </w:pPr>
  </w:p>
  <w:p w14:paraId="736BC0C8" w14:textId="77777777" w:rsidR="00FB606A" w:rsidRDefault="00FB606A">
    <w:pPr>
      <w:pBdr>
        <w:top w:val="nil"/>
        <w:left w:val="nil"/>
        <w:bottom w:val="nil"/>
        <w:right w:val="nil"/>
        <w:between w:val="nil"/>
      </w:pBdr>
      <w:tabs>
        <w:tab w:val="center" w:pos="4252"/>
        <w:tab w:val="right" w:pos="8504"/>
      </w:tabs>
      <w:rPr>
        <w:color w:val="000000"/>
      </w:rPr>
    </w:pPr>
  </w:p>
  <w:p w14:paraId="07CFBC9C" w14:textId="77777777" w:rsidR="00FB606A" w:rsidRDefault="00FB606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906642"/>
    <w:multiLevelType w:val="multilevel"/>
    <w:tmpl w:val="6ED68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4736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06A"/>
    <w:rsid w:val="000E6228"/>
    <w:rsid w:val="00140ABD"/>
    <w:rsid w:val="002E0CA3"/>
    <w:rsid w:val="004E7060"/>
    <w:rsid w:val="005C6083"/>
    <w:rsid w:val="006A2A37"/>
    <w:rsid w:val="00B9786C"/>
    <w:rsid w:val="00FB60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21FDB"/>
  <w15:docId w15:val="{622923E0-275E-427B-9AE3-A427E6B0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DD156A"/>
    <w:rPr>
      <w:b/>
      <w:bCs/>
      <w:smallCaps/>
      <w:color w:val="4472C4" w:themeColor="accent1"/>
      <w:spacing w:val="5"/>
    </w:rPr>
  </w:style>
  <w:style w:type="character" w:customStyle="1" w:styleId="fontstyle01">
    <w:name w:val="fontstyle01"/>
    <w:basedOn w:val="Fuentedeprrafopredeter"/>
    <w:rsid w:val="00CE56B8"/>
    <w:rPr>
      <w:rFonts w:ascii="National-Regular" w:hAnsi="National-Regular" w:hint="default"/>
      <w:b w:val="0"/>
      <w:bCs w:val="0"/>
      <w:i w:val="0"/>
      <w:iCs w:val="0"/>
      <w:color w:val="000000"/>
      <w:sz w:val="22"/>
      <w:szCs w:val="22"/>
    </w:rPr>
  </w:style>
  <w:style w:type="character" w:customStyle="1" w:styleId="fontstyle21">
    <w:name w:val="fontstyle21"/>
    <w:basedOn w:val="Fuentedeprrafopredeter"/>
    <w:rsid w:val="00CE56B8"/>
    <w:rPr>
      <w:rFonts w:ascii="National-MediumItalic" w:hAnsi="National-MediumItalic" w:hint="default"/>
      <w:b w:val="0"/>
      <w:bCs w:val="0"/>
      <w:i/>
      <w:iCs/>
      <w:color w:val="57575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36360.pcdn.co/wp-content/uploads/2024/10/Informe-jovenes-vivienda-2024.pdf" TargetMode="External"/><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infojob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FO8x6Kt796UrezALdVhYkk1/Nw==">CgMxLjAyCWguMnM4ZXlvMTgAciExZWRudWk2QS1zM1N5M2VkdVdoRXdPd0VVbDFDUTNQSXg=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1436</Words>
  <Characters>7901</Characters>
  <Application>Microsoft Office Word</Application>
  <DocSecurity>0</DocSecurity>
  <Lines>65</Lines>
  <Paragraphs>18</Paragraphs>
  <ScaleCrop>false</ScaleCrop>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dcterms:created xsi:type="dcterms:W3CDTF">2022-04-21T07:41:00Z</dcterms:created>
  <dcterms:modified xsi:type="dcterms:W3CDTF">2024-11-07T09:10:00Z</dcterms:modified>
</cp:coreProperties>
</file>