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ms-office.chartcolorstyle+xml" PartName="/word/charts/colors1.xml"/>
  <Override ContentType="application/vnd.openxmlformats-officedocument.drawingml.chart+xml" PartName="/word/charts/chart1.xml"/>
  <Override ContentType="application/vnd.openxmlformats-officedocument.theme+xml" PartName="/word/theme/theme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themeOverride+xml" PartName="/word/theme/themeOverride1.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drawingml.chartshapes+xml" PartName="/word/drawings/drawing1.xml"/>
  <Override ContentType="application/vnd.ms-office.chartstyle+xml" PartName="/word/charts/style1.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right="-567"/>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-1078863</wp:posOffset>
            </wp:positionH>
            <wp:positionV relativeFrom="paragraph">
              <wp:posOffset>-350450</wp:posOffset>
            </wp:positionV>
            <wp:extent cx="7581265" cy="1019175"/>
            <wp:effectExtent b="0" l="0" r="0" t="0"/>
            <wp:wrapNone/>
            <wp:docPr id="92835522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581265" cy="1019175"/>
                    </a:xfrm>
                    <a:prstGeom prst="rect"/>
                    <a:ln/>
                  </pic:spPr>
                </pic:pic>
              </a:graphicData>
            </a:graphic>
          </wp:anchor>
        </w:drawing>
      </w:r>
    </w:p>
    <w:p w:rsidR="00000000" w:rsidDel="00000000" w:rsidP="00000000" w:rsidRDefault="00000000" w:rsidRPr="00000000" w14:paraId="00000002">
      <w:pPr>
        <w:ind w:right="-567"/>
        <w:jc w:val="right"/>
        <w:rPr>
          <w:rFonts w:ascii="National" w:cs="National" w:eastAsia="National" w:hAnsi="National"/>
          <w:color w:val="303ab2"/>
          <w:sz w:val="36"/>
          <w:szCs w:val="36"/>
        </w:rPr>
      </w:pPr>
      <w:r w:rsidDel="00000000" w:rsidR="00000000" w:rsidRPr="00000000">
        <w:rPr>
          <w:rtl w:val="0"/>
        </w:rPr>
      </w:r>
    </w:p>
    <w:p w:rsidR="00000000" w:rsidDel="00000000" w:rsidP="00000000" w:rsidRDefault="00000000" w:rsidRPr="00000000" w14:paraId="00000003">
      <w:pPr>
        <w:ind w:right="-567"/>
        <w:jc w:val="right"/>
        <w:rPr>
          <w:rFonts w:ascii="National" w:cs="National" w:eastAsia="National" w:hAnsi="National"/>
          <w:color w:val="303ab2"/>
          <w:sz w:val="36"/>
          <w:szCs w:val="36"/>
        </w:rPr>
      </w:pPr>
      <w:r w:rsidDel="00000000" w:rsidR="00000000" w:rsidRPr="00000000">
        <w:rPr>
          <w:rtl w:val="0"/>
        </w:rPr>
      </w:r>
    </w:p>
    <w:p w:rsidR="00000000" w:rsidDel="00000000" w:rsidP="00000000" w:rsidRDefault="00000000" w:rsidRPr="00000000" w14:paraId="00000004">
      <w:pPr>
        <w:ind w:right="-567"/>
        <w:rPr>
          <w:rFonts w:ascii="National" w:cs="National" w:eastAsia="National" w:hAnsi="National"/>
          <w:color w:val="303ab2"/>
          <w:sz w:val="20"/>
          <w:szCs w:val="20"/>
          <w:vertAlign w:val="superscript"/>
        </w:rPr>
      </w:pPr>
      <w:r w:rsidDel="00000000" w:rsidR="00000000" w:rsidRPr="00000000">
        <w:rPr>
          <w:rtl w:val="0"/>
        </w:rPr>
      </w:r>
    </w:p>
    <w:p w:rsidR="00000000" w:rsidDel="00000000" w:rsidP="00000000" w:rsidRDefault="00000000" w:rsidRPr="00000000" w14:paraId="00000005">
      <w:pPr>
        <w:spacing w:line="276" w:lineRule="auto"/>
        <w:ind w:right="-567"/>
        <w:jc w:val="center"/>
        <w:rPr>
          <w:rFonts w:ascii="National" w:cs="National" w:eastAsia="National" w:hAnsi="National"/>
          <w:b w:val="1"/>
          <w:color w:val="1dbdc5"/>
          <w:sz w:val="42"/>
          <w:szCs w:val="42"/>
        </w:rPr>
      </w:pPr>
      <w:r w:rsidDel="00000000" w:rsidR="00000000" w:rsidRPr="00000000">
        <w:rPr>
          <w:rFonts w:ascii="National" w:cs="National" w:eastAsia="National" w:hAnsi="National"/>
          <w:b w:val="1"/>
          <w:color w:val="1dbdc5"/>
          <w:sz w:val="42"/>
          <w:szCs w:val="42"/>
          <w:rtl w:val="0"/>
        </w:rPr>
        <w:t xml:space="preserve">NOVIEMBRE: PRECIO VIVIENDA EN ALQUILER</w:t>
      </w:r>
    </w:p>
    <w:p w:rsidR="00000000" w:rsidDel="00000000" w:rsidP="00000000" w:rsidRDefault="00000000" w:rsidRPr="00000000" w14:paraId="00000006">
      <w:pPr>
        <w:ind w:right="-567"/>
        <w:jc w:val="center"/>
        <w:rPr>
          <w:rFonts w:ascii="National" w:cs="National" w:eastAsia="National" w:hAnsi="National"/>
          <w:b w:val="1"/>
          <w:color w:val="303ab2"/>
          <w:sz w:val="50"/>
          <w:szCs w:val="50"/>
        </w:rPr>
      </w:pPr>
      <w:r w:rsidDel="00000000" w:rsidR="00000000" w:rsidRPr="00000000">
        <w:rPr>
          <w:rFonts w:ascii="National" w:cs="National" w:eastAsia="National" w:hAnsi="National"/>
          <w:b w:val="1"/>
          <w:color w:val="303ab2"/>
          <w:sz w:val="50"/>
          <w:szCs w:val="50"/>
          <w:rtl w:val="0"/>
        </w:rPr>
        <w:t xml:space="preserve">El precio del alquiler sube un 14,7% interanual en España en noviembre, la variación más alta de los últimos seis años</w:t>
      </w:r>
    </w:p>
    <w:p w:rsidR="00000000" w:rsidDel="00000000" w:rsidP="00000000" w:rsidRDefault="00000000" w:rsidRPr="00000000" w14:paraId="00000007">
      <w:pPr>
        <w:ind w:right="-567"/>
        <w:jc w:val="both"/>
        <w:rPr>
          <w:rFonts w:ascii="National" w:cs="National" w:eastAsia="National" w:hAnsi="National"/>
          <w:b w:val="1"/>
          <w:color w:val="303ab2"/>
          <w:sz w:val="20"/>
          <w:szCs w:val="20"/>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76" w:lineRule="auto"/>
        <w:ind w:left="720" w:right="-567" w:firstLine="0"/>
        <w:jc w:val="both"/>
        <w:rPr>
          <w:rFonts w:ascii="Open Sans" w:cs="Open Sans" w:eastAsia="Open Sans" w:hAnsi="Open Sans"/>
          <w:color w:val="303ab2"/>
        </w:rPr>
      </w:pPr>
      <w:r w:rsidDel="00000000" w:rsidR="00000000" w:rsidRPr="00000000">
        <w:rPr>
          <w:rtl w:val="0"/>
        </w:rPr>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pacing w:line="276" w:lineRule="auto"/>
        <w:ind w:left="720" w:right="-567" w:hanging="360"/>
        <w:jc w:val="both"/>
        <w:rPr>
          <w:rFonts w:ascii="Open Sans" w:cs="Open Sans" w:eastAsia="Open Sans" w:hAnsi="Open Sans"/>
          <w:color w:val="303ab2"/>
        </w:rPr>
      </w:pPr>
      <w:r w:rsidDel="00000000" w:rsidR="00000000" w:rsidRPr="00000000">
        <w:rPr>
          <w:rFonts w:ascii="Open Sans" w:cs="Open Sans" w:eastAsia="Open Sans" w:hAnsi="Open Sans"/>
          <w:color w:val="303ab2"/>
          <w:rtl w:val="0"/>
        </w:rPr>
        <w:t xml:space="preserve">Es el incremento interanual más alto detectado en los últimos seis años y sitúa el precio en 13,13 €/m</w:t>
      </w:r>
      <w:r w:rsidDel="00000000" w:rsidR="00000000" w:rsidRPr="00000000">
        <w:rPr>
          <w:rFonts w:ascii="Open Sans" w:cs="Open Sans" w:eastAsia="Open Sans" w:hAnsi="Open Sans"/>
          <w:color w:val="303ab2"/>
          <w:vertAlign w:val="superscript"/>
          <w:rtl w:val="0"/>
        </w:rPr>
        <w:t xml:space="preserve">2</w:t>
      </w:r>
      <w:r w:rsidDel="00000000" w:rsidR="00000000" w:rsidRPr="00000000">
        <w:rPr>
          <w:rFonts w:ascii="Open Sans" w:cs="Open Sans" w:eastAsia="Open Sans" w:hAnsi="Open Sans"/>
          <w:color w:val="303ab2"/>
          <w:rtl w:val="0"/>
        </w:rPr>
        <w:t xml:space="preserve"> al mes y sitúa el precio medio de un piso de 80 metros en 1.050 € al mes</w:t>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pacing w:line="276" w:lineRule="auto"/>
        <w:ind w:left="720" w:right="-567" w:hanging="360"/>
        <w:jc w:val="both"/>
        <w:rPr>
          <w:rFonts w:ascii="Open Sans" w:cs="Open Sans" w:eastAsia="Open Sans" w:hAnsi="Open Sans"/>
          <w:color w:val="303ab2"/>
        </w:rPr>
      </w:pPr>
      <w:r w:rsidDel="00000000" w:rsidR="00000000" w:rsidRPr="00000000">
        <w:rPr>
          <w:rFonts w:ascii="Open Sans" w:cs="Open Sans" w:eastAsia="Open Sans" w:hAnsi="Open Sans"/>
          <w:color w:val="303ab2"/>
          <w:rtl w:val="0"/>
        </w:rPr>
        <w:t xml:space="preserve">Madrid y Barcelona son las capitales más caras para alquilar una vivienda y las más económicas son Jaén y Ourense </w:t>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pacing w:line="276" w:lineRule="auto"/>
        <w:ind w:left="720" w:right="-567" w:hanging="360"/>
        <w:jc w:val="both"/>
        <w:rPr>
          <w:rFonts w:ascii="Open Sans" w:cs="Open Sans" w:eastAsia="Open Sans" w:hAnsi="Open Sans"/>
          <w:color w:val="303ab2"/>
        </w:rPr>
      </w:pPr>
      <w:r w:rsidDel="00000000" w:rsidR="00000000" w:rsidRPr="00000000">
        <w:rPr>
          <w:rFonts w:ascii="Open Sans" w:cs="Open Sans" w:eastAsia="Open Sans" w:hAnsi="Open Sans"/>
          <w:color w:val="303ab2"/>
          <w:rtl w:val="0"/>
        </w:rPr>
        <w:t xml:space="preserve">Ciudad Real, la ciudad con las mayores subidas interanuales, lleva cinco meses con incrementos en cadena superiores al 30%</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76" w:lineRule="auto"/>
        <w:ind w:right="-567"/>
        <w:jc w:val="both"/>
        <w:rPr>
          <w:rFonts w:ascii="Open Sans" w:cs="Open Sans" w:eastAsia="Open Sans" w:hAnsi="Open Sans"/>
          <w:color w:val="303ab2"/>
        </w:rPr>
      </w:pPr>
      <w:r w:rsidDel="00000000" w:rsidR="00000000" w:rsidRPr="00000000">
        <w:rPr>
          <w:rFonts w:ascii="Open Sans Light" w:cs="Open Sans Light" w:eastAsia="Open Sans Light" w:hAnsi="Open Sans Light"/>
          <w:b w:val="1"/>
          <w:color w:val="303ab2"/>
          <w:rtl w:val="0"/>
        </w:rPr>
        <w:t xml:space="preserve"> </w:t>
        <w:br w:type="textWrapping"/>
      </w:r>
      <w:r w:rsidDel="00000000" w:rsidR="00000000" w:rsidRPr="00000000">
        <w:rPr>
          <w:rFonts w:ascii="Open Sans" w:cs="Open Sans" w:eastAsia="Open Sans" w:hAnsi="Open Sans"/>
          <w:color w:val="303ab2"/>
          <w:rtl w:val="0"/>
        </w:rPr>
        <w:t xml:space="preserve">Madrid, 10 de diciembre de 2024</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276" w:lineRule="auto"/>
        <w:ind w:left="1416" w:right="-567" w:hanging="696"/>
        <w:jc w:val="both"/>
        <w:rPr>
          <w:rFonts w:ascii="Open Sans" w:cs="Open Sans" w:eastAsia="Open Sans" w:hAnsi="Open Sans"/>
          <w:color w:val="303ab2"/>
          <w:sz w:val="16"/>
          <w:szCs w:val="16"/>
        </w:rPr>
      </w:pPr>
      <w:r w:rsidDel="00000000" w:rsidR="00000000" w:rsidRPr="00000000">
        <w:rPr>
          <w:rtl w:val="0"/>
        </w:rPr>
      </w:r>
    </w:p>
    <w:p w:rsidR="00000000" w:rsidDel="00000000" w:rsidP="00000000" w:rsidRDefault="00000000" w:rsidRPr="00000000" w14:paraId="0000000E">
      <w:pPr>
        <w:spacing w:line="276" w:lineRule="auto"/>
        <w:ind w:right="-567"/>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En España el precio de la vivienda en alquiler sube un 6,5% en su variación mensual y un 14,7% en su variación interanual, situando su precio en 13,13 €/m</w:t>
      </w:r>
      <w:r w:rsidDel="00000000" w:rsidR="00000000" w:rsidRPr="00000000">
        <w:rPr>
          <w:rFonts w:ascii="Open Sans" w:cs="Open Sans" w:eastAsia="Open Sans" w:hAnsi="Open Sans"/>
          <w:color w:val="000000"/>
          <w:vertAlign w:val="superscript"/>
          <w:rtl w:val="0"/>
        </w:rPr>
        <w:t xml:space="preserve">2</w:t>
      </w:r>
      <w:r w:rsidDel="00000000" w:rsidR="00000000" w:rsidRPr="00000000">
        <w:rPr>
          <w:rFonts w:ascii="Open Sans" w:cs="Open Sans" w:eastAsia="Open Sans" w:hAnsi="Open Sans"/>
          <w:color w:val="000000"/>
          <w:rtl w:val="0"/>
        </w:rPr>
        <w:t xml:space="preserve"> al mes en noviembre y sitúa el precio medio de un piso de 80 metros cuadrados en los 1.050 € al mes, según los datos del Índice Inmobiliario </w:t>
      </w:r>
      <w:hyperlink r:id="rId8">
        <w:r w:rsidDel="00000000" w:rsidR="00000000" w:rsidRPr="00000000">
          <w:rPr>
            <w:rFonts w:ascii="Open Sans" w:cs="Open Sans" w:eastAsia="Open Sans" w:hAnsi="Open Sans"/>
            <w:color w:val="0000ff"/>
            <w:u w:val="single"/>
            <w:rtl w:val="0"/>
          </w:rPr>
          <w:t xml:space="preserve">Fotocasa</w:t>
        </w:r>
      </w:hyperlink>
      <w:r w:rsidDel="00000000" w:rsidR="00000000" w:rsidRPr="00000000">
        <w:rPr>
          <w:rFonts w:ascii="Open Sans" w:cs="Open Sans" w:eastAsia="Open Sans" w:hAnsi="Open Sans"/>
          <w:color w:val="000000"/>
          <w:rtl w:val="0"/>
        </w:rPr>
        <w:t xml:space="preserve"> del mes de noviembre. </w:t>
      </w:r>
      <w:r w:rsidDel="00000000" w:rsidR="00000000" w:rsidRPr="00000000">
        <w:rPr>
          <w:rFonts w:ascii="Open Sans" w:cs="Open Sans" w:eastAsia="Open Sans" w:hAnsi="Open Sans"/>
          <w:b w:val="1"/>
          <w:color w:val="000000"/>
          <w:rtl w:val="0"/>
        </w:rPr>
        <w:t xml:space="preserve">Este incremento interanual (14,7%) es el más alto detectado en los últimos 74 meses </w:t>
      </w:r>
      <w:r w:rsidDel="00000000" w:rsidR="00000000" w:rsidRPr="00000000">
        <w:rPr>
          <w:rFonts w:ascii="Open Sans" w:cs="Open Sans" w:eastAsia="Open Sans" w:hAnsi="Open Sans"/>
          <w:color w:val="000000"/>
          <w:rtl w:val="0"/>
        </w:rPr>
        <w:t xml:space="preserve">(6,2 años, desde octubre de 2018).</w:t>
      </w:r>
    </w:p>
    <w:p w:rsidR="00000000" w:rsidDel="00000000" w:rsidP="00000000" w:rsidRDefault="00000000" w:rsidRPr="00000000" w14:paraId="0000000F">
      <w:pPr>
        <w:spacing w:line="276" w:lineRule="auto"/>
        <w:ind w:right="-567"/>
        <w:jc w:val="both"/>
        <w:rPr>
          <w:rFonts w:ascii="Open Sans" w:cs="Open Sans" w:eastAsia="Open Sans" w:hAnsi="Open Sans"/>
          <w:color w:val="000000"/>
        </w:rPr>
      </w:pPr>
      <w:r w:rsidDel="00000000" w:rsidR="00000000" w:rsidRPr="00000000">
        <w:rPr>
          <w:rtl w:val="0"/>
        </w:rPr>
      </w:r>
    </w:p>
    <w:p w:rsidR="00000000" w:rsidDel="00000000" w:rsidP="00000000" w:rsidRDefault="00000000" w:rsidRPr="00000000" w14:paraId="00000010">
      <w:pPr>
        <w:spacing w:line="276" w:lineRule="auto"/>
        <w:ind w:right="-567"/>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Así, España </w:t>
      </w:r>
      <w:r w:rsidDel="00000000" w:rsidR="00000000" w:rsidRPr="00000000">
        <w:rPr>
          <w:rFonts w:ascii="Open Sans" w:cs="Open Sans" w:eastAsia="Open Sans" w:hAnsi="Open Sans"/>
          <w:b w:val="1"/>
          <w:color w:val="000000"/>
          <w:rtl w:val="0"/>
        </w:rPr>
        <w:t xml:space="preserve">ha pasado de una variación interanual del 6,1% de noviembre de 2023 al 14,7% detectado en el mismo periodo de 2024.</w:t>
      </w:r>
      <w:r w:rsidDel="00000000" w:rsidR="00000000" w:rsidRPr="00000000">
        <w:rPr>
          <w:rFonts w:ascii="Open Sans" w:cs="Open Sans" w:eastAsia="Open Sans" w:hAnsi="Open Sans"/>
          <w:color w:val="000000"/>
          <w:rtl w:val="0"/>
        </w:rPr>
        <w:t xml:space="preserve"> En los últimos 12 meses analizados el precio de la vivienda ha pasado de los 11,45 euros/m</w:t>
      </w:r>
      <w:r w:rsidDel="00000000" w:rsidR="00000000" w:rsidRPr="00000000">
        <w:rPr>
          <w:rFonts w:ascii="Open Sans" w:cs="Open Sans" w:eastAsia="Open Sans" w:hAnsi="Open Sans"/>
          <w:color w:val="000000"/>
          <w:vertAlign w:val="superscript"/>
          <w:rtl w:val="0"/>
        </w:rPr>
        <w:t xml:space="preserve">2</w:t>
      </w:r>
      <w:r w:rsidDel="00000000" w:rsidR="00000000" w:rsidRPr="00000000">
        <w:rPr>
          <w:rFonts w:ascii="Open Sans" w:cs="Open Sans" w:eastAsia="Open Sans" w:hAnsi="Open Sans"/>
          <w:color w:val="000000"/>
          <w:rtl w:val="0"/>
        </w:rPr>
        <w:t xml:space="preserve"> al mes de noviembre de 2023 a los 13,13 euros/m</w:t>
      </w:r>
      <w:r w:rsidDel="00000000" w:rsidR="00000000" w:rsidRPr="00000000">
        <w:rPr>
          <w:rFonts w:ascii="Open Sans" w:cs="Open Sans" w:eastAsia="Open Sans" w:hAnsi="Open Sans"/>
          <w:color w:val="000000"/>
          <w:vertAlign w:val="superscript"/>
          <w:rtl w:val="0"/>
        </w:rPr>
        <w:t xml:space="preserve">2</w:t>
      </w:r>
      <w:r w:rsidDel="00000000" w:rsidR="00000000" w:rsidRPr="00000000">
        <w:rPr>
          <w:rFonts w:ascii="Open Sans" w:cs="Open Sans" w:eastAsia="Open Sans" w:hAnsi="Open Sans"/>
          <w:color w:val="000000"/>
          <w:rtl w:val="0"/>
        </w:rPr>
        <w:t xml:space="preserve"> al mes de noviembre de 2024.</w:t>
      </w:r>
    </w:p>
    <w:p w:rsidR="00000000" w:rsidDel="00000000" w:rsidP="00000000" w:rsidRDefault="00000000" w:rsidRPr="00000000" w14:paraId="00000011">
      <w:pPr>
        <w:spacing w:line="276" w:lineRule="auto"/>
        <w:ind w:right="-567"/>
        <w:jc w:val="both"/>
        <w:rPr>
          <w:rFonts w:ascii="Open Sans" w:cs="Open Sans" w:eastAsia="Open Sans" w:hAnsi="Open Sans"/>
          <w:color w:val="000000"/>
        </w:rPr>
      </w:pPr>
      <w:r w:rsidDel="00000000" w:rsidR="00000000" w:rsidRPr="00000000">
        <w:rPr>
          <w:rtl w:val="0"/>
        </w:rPr>
      </w:r>
    </w:p>
    <w:p w:rsidR="00000000" w:rsidDel="00000000" w:rsidP="00000000" w:rsidRDefault="00000000" w:rsidRPr="00000000" w14:paraId="00000012">
      <w:pPr>
        <w:spacing w:line="276" w:lineRule="auto"/>
        <w:ind w:right="-567"/>
        <w:jc w:val="both"/>
        <w:rPr>
          <w:rFonts w:ascii="Open Sans" w:cs="Open Sans" w:eastAsia="Open Sans" w:hAnsi="Open Sans"/>
          <w:color w:val="000000"/>
        </w:rPr>
      </w:pPr>
      <w:r w:rsidDel="00000000" w:rsidR="00000000" w:rsidRPr="00000000">
        <w:rPr>
          <w:rtl w:val="0"/>
        </w:rPr>
      </w:r>
    </w:p>
    <w:p w:rsidR="00000000" w:rsidDel="00000000" w:rsidP="00000000" w:rsidRDefault="00000000" w:rsidRPr="00000000" w14:paraId="00000013">
      <w:pPr>
        <w:spacing w:line="276" w:lineRule="auto"/>
        <w:ind w:right="-567"/>
        <w:jc w:val="both"/>
        <w:rPr>
          <w:rFonts w:ascii="Open Sans" w:cs="Open Sans" w:eastAsia="Open Sans" w:hAnsi="Open Sans"/>
          <w:color w:val="000000"/>
        </w:rPr>
      </w:pPr>
      <w:r w:rsidDel="00000000" w:rsidR="00000000" w:rsidRPr="00000000">
        <w:rPr>
          <w:rtl w:val="0"/>
        </w:rPr>
      </w:r>
    </w:p>
    <w:p w:rsidR="00000000" w:rsidDel="00000000" w:rsidP="00000000" w:rsidRDefault="00000000" w:rsidRPr="00000000" w14:paraId="00000014">
      <w:pPr>
        <w:spacing w:line="276" w:lineRule="auto"/>
        <w:ind w:right="-567"/>
        <w:jc w:val="both"/>
        <w:rPr>
          <w:rFonts w:ascii="Open Sans" w:cs="Open Sans" w:eastAsia="Open Sans" w:hAnsi="Open Sans"/>
          <w:color w:val="000000"/>
        </w:rPr>
      </w:pPr>
      <w:r w:rsidDel="00000000" w:rsidR="00000000" w:rsidRPr="00000000">
        <w:rPr>
          <w:rtl w:val="0"/>
        </w:rPr>
      </w:r>
    </w:p>
    <w:p w:rsidR="00000000" w:rsidDel="00000000" w:rsidP="00000000" w:rsidRDefault="00000000" w:rsidRPr="00000000" w14:paraId="00000015">
      <w:pPr>
        <w:spacing w:line="276" w:lineRule="auto"/>
        <w:ind w:right="-567"/>
        <w:jc w:val="center"/>
        <w:rPr>
          <w:rFonts w:ascii="Open Sans" w:cs="Open Sans" w:eastAsia="Open Sans" w:hAnsi="Open Sans"/>
          <w:color w:val="000000"/>
        </w:rPr>
      </w:pPr>
      <w:r w:rsidDel="00000000" w:rsidR="00000000" w:rsidRPr="00000000">
        <w:rPr>
          <w:rFonts w:ascii="Open Sans Light" w:cs="Open Sans Light" w:eastAsia="Open Sans Light" w:hAnsi="Open Sans Light"/>
          <w:b w:val="1"/>
          <w:color w:val="303ab2"/>
          <w:sz w:val="28"/>
          <w:szCs w:val="28"/>
          <w:rtl w:val="0"/>
        </w:rPr>
        <w:t xml:space="preserve">Variación mensual e interanual en España</w:t>
      </w:r>
      <w:r w:rsidDel="00000000" w:rsidR="00000000" w:rsidRPr="00000000">
        <w:rPr>
          <w:rtl w:val="0"/>
        </w:rPr>
      </w:r>
    </w:p>
    <w:p w:rsidR="00000000" w:rsidDel="00000000" w:rsidP="00000000" w:rsidRDefault="00000000" w:rsidRPr="00000000" w14:paraId="00000016">
      <w:pPr>
        <w:spacing w:line="276" w:lineRule="auto"/>
        <w:ind w:right="-567"/>
        <w:jc w:val="center"/>
        <w:rPr>
          <w:rFonts w:ascii="Open Sans" w:cs="Open Sans" w:eastAsia="Open Sans" w:hAnsi="Open Sans"/>
        </w:rPr>
      </w:pPr>
      <w:r w:rsidDel="00000000" w:rsidR="00000000" w:rsidRPr="00000000">
        <w:rPr/>
        <w:drawing>
          <wp:inline distB="0" distT="0" distL="0" distR="0">
            <wp:extent cx="5582096" cy="2800865"/>
            <wp:docPr id="928355220" name=""/>
            <a:graphic>
              <a:graphicData uri="http://schemas.openxmlformats.org/drawingml/2006/chart">
                <c:chart r:id="rId9"/>
              </a:graphicData>
            </a:graphic>
          </wp:inline>
        </w:drawing>
      </w:r>
      <w:r w:rsidDel="00000000" w:rsidR="00000000" w:rsidRPr="00000000">
        <w:rPr>
          <w:rFonts w:ascii="Open Sans" w:cs="Open Sans" w:eastAsia="Open Sans" w:hAnsi="Open Sans"/>
          <w:color w:val="000000"/>
          <w:rtl w:val="0"/>
        </w:rPr>
        <w:t xml:space="preserve"> </w:t>
      </w:r>
      <w:r w:rsidDel="00000000" w:rsidR="00000000" w:rsidRPr="00000000">
        <w:rPr>
          <w:rtl w:val="0"/>
        </w:rPr>
      </w:r>
    </w:p>
    <w:p w:rsidR="00000000" w:rsidDel="00000000" w:rsidP="00000000" w:rsidRDefault="00000000" w:rsidRPr="00000000" w14:paraId="00000017">
      <w:pPr>
        <w:spacing w:line="276" w:lineRule="auto"/>
        <w:ind w:right="-574"/>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8">
      <w:pPr>
        <w:spacing w:line="276" w:lineRule="auto"/>
        <w:ind w:right="-574"/>
        <w:jc w:val="both"/>
        <w:rPr>
          <w:rFonts w:ascii="Open Sans" w:cs="Open Sans" w:eastAsia="Open Sans" w:hAnsi="Open Sans"/>
          <w:b w:val="1"/>
        </w:rPr>
      </w:pPr>
      <w:r w:rsidDel="00000000" w:rsidR="00000000" w:rsidRPr="00000000">
        <w:rPr>
          <w:rFonts w:ascii="Open Sans" w:cs="Open Sans" w:eastAsia="Open Sans" w:hAnsi="Open Sans"/>
          <w:rtl w:val="0"/>
        </w:rPr>
        <w:t xml:space="preserve">“El encarecimiento del alquiler sigue siendo la tónica desde hace dos años consecutivos y vuelve a marcar un nuevo precio máximo. Este incremento tan acusado responde a que el año anterior, la subida fue más leve, pero igualmente es el incremento más alto desde 2018. La problemática de desequilibrio entre la escasa oferta y la alta demanda empuja el precio al alza sin dejar que se modere. Ante un mercado cada vez menos dinámico, más compacto y de muy difícil acceso, las desigualdades y vulnerabilidades de los ciudadanos con rentas más bajas quedan al descubierto, al ser expulsados del mercado, por no poder hacer frente a estos precios. Previsiblemente el precio continuará al alza en el próximo año”, </w:t>
      </w:r>
      <w:r w:rsidDel="00000000" w:rsidR="00000000" w:rsidRPr="00000000">
        <w:rPr>
          <w:rFonts w:ascii="Open Sans" w:cs="Open Sans" w:eastAsia="Open Sans" w:hAnsi="Open Sans"/>
          <w:b w:val="1"/>
          <w:rtl w:val="0"/>
        </w:rPr>
        <w:t xml:space="preserve">comenta María Matos, directora de Estudios y portavoz de </w:t>
      </w:r>
      <w:hyperlink r:id="rId10">
        <w:r w:rsidDel="00000000" w:rsidR="00000000" w:rsidRPr="00000000">
          <w:rPr>
            <w:rFonts w:ascii="Open Sans" w:cs="Open Sans" w:eastAsia="Open Sans" w:hAnsi="Open Sans"/>
            <w:b w:val="1"/>
            <w:color w:val="0000ff"/>
            <w:u w:val="single"/>
            <w:rtl w:val="0"/>
          </w:rPr>
          <w:t xml:space="preserve">Fotocasa</w:t>
        </w:r>
      </w:hyperlink>
      <w:r w:rsidDel="00000000" w:rsidR="00000000" w:rsidRPr="00000000">
        <w:rPr>
          <w:rFonts w:ascii="Open Sans" w:cs="Open Sans" w:eastAsia="Open Sans" w:hAnsi="Open Sans"/>
          <w:b w:val="1"/>
          <w:rtl w:val="0"/>
        </w:rPr>
        <w:t xml:space="preserve">.</w:t>
      </w:r>
    </w:p>
    <w:p w:rsidR="00000000" w:rsidDel="00000000" w:rsidP="00000000" w:rsidRDefault="00000000" w:rsidRPr="00000000" w14:paraId="00000019">
      <w:pPr>
        <w:spacing w:line="276" w:lineRule="auto"/>
        <w:ind w:right="-567"/>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A">
      <w:pPr>
        <w:spacing w:line="276" w:lineRule="auto"/>
        <w:ind w:right="-567"/>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Si analizamos los precios del alquiler respecto a los de hace un año, vemos que 16 de las 17 comunidades incrementan el precio interanual en noviembre. </w:t>
      </w:r>
      <w:r w:rsidDel="00000000" w:rsidR="00000000" w:rsidRPr="00000000">
        <w:rPr>
          <w:rFonts w:ascii="Open Sans" w:cs="Open Sans" w:eastAsia="Open Sans" w:hAnsi="Open Sans"/>
          <w:b w:val="1"/>
          <w:color w:val="000000"/>
          <w:rtl w:val="0"/>
        </w:rPr>
        <w:t xml:space="preserve">Las comunidades autónomas con incrementos superiores al 10% son</w:t>
      </w:r>
      <w:r w:rsidDel="00000000" w:rsidR="00000000" w:rsidRPr="00000000">
        <w:rPr>
          <w:rFonts w:ascii="Open Sans" w:cs="Open Sans" w:eastAsia="Open Sans" w:hAnsi="Open Sans"/>
          <w:color w:val="000000"/>
          <w:rtl w:val="0"/>
        </w:rPr>
        <w:t xml:space="preserve">: Madrid (20,9%), Castilla-La Mancha (18,6%), Asturias (17,5%), Cataluña (13,0%), Región de Murcia (12,9%), La Rioja (12,3%), Comunitat Valenciana (11,6%), Galicia (11,4%), Extremadura (11,3%), Aragón (10,9%), País Vasco (10,2%) y Navarra (10,1%).</w:t>
      </w:r>
    </w:p>
    <w:p w:rsidR="00000000" w:rsidDel="00000000" w:rsidP="00000000" w:rsidRDefault="00000000" w:rsidRPr="00000000" w14:paraId="0000001B">
      <w:pPr>
        <w:spacing w:line="276" w:lineRule="auto"/>
        <w:ind w:right="-567"/>
        <w:jc w:val="both"/>
        <w:rPr>
          <w:rFonts w:ascii="Open Sans" w:cs="Open Sans" w:eastAsia="Open Sans" w:hAnsi="Open Sans"/>
          <w:color w:val="000000"/>
        </w:rPr>
      </w:pPr>
      <w:r w:rsidDel="00000000" w:rsidR="00000000" w:rsidRPr="00000000">
        <w:rPr>
          <w:rtl w:val="0"/>
        </w:rPr>
      </w:r>
    </w:p>
    <w:p w:rsidR="00000000" w:rsidDel="00000000" w:rsidP="00000000" w:rsidRDefault="00000000" w:rsidRPr="00000000" w14:paraId="0000001C">
      <w:pPr>
        <w:spacing w:line="276" w:lineRule="auto"/>
        <w:ind w:right="-567"/>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En cuanto al </w:t>
      </w:r>
      <w:r w:rsidDel="00000000" w:rsidR="00000000" w:rsidRPr="00000000">
        <w:rPr>
          <w:rFonts w:ascii="Open Sans" w:cs="Open Sans" w:eastAsia="Open Sans" w:hAnsi="Open Sans"/>
          <w:b w:val="1"/>
          <w:color w:val="000000"/>
          <w:rtl w:val="0"/>
        </w:rPr>
        <w:t xml:space="preserve">ranking de Comunidades Autónomas</w:t>
      </w:r>
      <w:r w:rsidDel="00000000" w:rsidR="00000000" w:rsidRPr="00000000">
        <w:rPr>
          <w:rFonts w:ascii="Open Sans" w:cs="Open Sans" w:eastAsia="Open Sans" w:hAnsi="Open Sans"/>
          <w:color w:val="000000"/>
          <w:rtl w:val="0"/>
        </w:rPr>
        <w:t xml:space="preserve"> (CC.AA.) </w:t>
      </w:r>
      <w:r w:rsidDel="00000000" w:rsidR="00000000" w:rsidRPr="00000000">
        <w:rPr>
          <w:rFonts w:ascii="Open Sans" w:cs="Open Sans" w:eastAsia="Open Sans" w:hAnsi="Open Sans"/>
          <w:b w:val="1"/>
          <w:color w:val="000000"/>
          <w:rtl w:val="0"/>
        </w:rPr>
        <w:t xml:space="preserve">con el precio de la vivienda más caras para alquilar una vivienda en España</w:t>
      </w:r>
      <w:r w:rsidDel="00000000" w:rsidR="00000000" w:rsidRPr="00000000">
        <w:rPr>
          <w:rFonts w:ascii="Open Sans" w:cs="Open Sans" w:eastAsia="Open Sans" w:hAnsi="Open Sans"/>
          <w:color w:val="000000"/>
          <w:rtl w:val="0"/>
        </w:rPr>
        <w:t xml:space="preserve">, las cuatro con precios superiores a los 15,00 €/m</w:t>
      </w:r>
      <w:r w:rsidDel="00000000" w:rsidR="00000000" w:rsidRPr="00000000">
        <w:rPr>
          <w:rFonts w:ascii="Open Sans" w:cs="Open Sans" w:eastAsia="Open Sans" w:hAnsi="Open Sans"/>
          <w:color w:val="000000"/>
          <w:vertAlign w:val="superscript"/>
          <w:rtl w:val="0"/>
        </w:rPr>
        <w:t xml:space="preserve">2</w:t>
      </w:r>
      <w:r w:rsidDel="00000000" w:rsidR="00000000" w:rsidRPr="00000000">
        <w:rPr>
          <w:rFonts w:ascii="Open Sans" w:cs="Open Sans" w:eastAsia="Open Sans" w:hAnsi="Open Sans"/>
          <w:color w:val="000000"/>
          <w:rtl w:val="0"/>
        </w:rPr>
        <w:t xml:space="preserve"> al mes y son: Madrid con 20,72 €/m</w:t>
      </w:r>
      <w:r w:rsidDel="00000000" w:rsidR="00000000" w:rsidRPr="00000000">
        <w:rPr>
          <w:rFonts w:ascii="Open Sans" w:cs="Open Sans" w:eastAsia="Open Sans" w:hAnsi="Open Sans"/>
          <w:color w:val="000000"/>
          <w:vertAlign w:val="superscript"/>
          <w:rtl w:val="0"/>
        </w:rPr>
        <w:t xml:space="preserve">2</w:t>
      </w:r>
      <w:r w:rsidDel="00000000" w:rsidR="00000000" w:rsidRPr="00000000">
        <w:rPr>
          <w:rFonts w:ascii="Open Sans" w:cs="Open Sans" w:eastAsia="Open Sans" w:hAnsi="Open Sans"/>
          <w:color w:val="000000"/>
          <w:rtl w:val="0"/>
        </w:rPr>
        <w:t xml:space="preserve"> al mes, Cataluña con 17,91 €/m</w:t>
      </w:r>
      <w:r w:rsidDel="00000000" w:rsidR="00000000" w:rsidRPr="00000000">
        <w:rPr>
          <w:rFonts w:ascii="Open Sans" w:cs="Open Sans" w:eastAsia="Open Sans" w:hAnsi="Open Sans"/>
          <w:color w:val="000000"/>
          <w:vertAlign w:val="superscript"/>
          <w:rtl w:val="0"/>
        </w:rPr>
        <w:t xml:space="preserve">2</w:t>
      </w:r>
      <w:r w:rsidDel="00000000" w:rsidR="00000000" w:rsidRPr="00000000">
        <w:rPr>
          <w:rFonts w:ascii="Open Sans" w:cs="Open Sans" w:eastAsia="Open Sans" w:hAnsi="Open Sans"/>
          <w:color w:val="000000"/>
          <w:rtl w:val="0"/>
        </w:rPr>
        <w:t xml:space="preserve"> al mes, Baleares con 17,35 €/m</w:t>
      </w:r>
      <w:r w:rsidDel="00000000" w:rsidR="00000000" w:rsidRPr="00000000">
        <w:rPr>
          <w:rFonts w:ascii="Open Sans" w:cs="Open Sans" w:eastAsia="Open Sans" w:hAnsi="Open Sans"/>
          <w:color w:val="000000"/>
          <w:vertAlign w:val="superscript"/>
          <w:rtl w:val="0"/>
        </w:rPr>
        <w:t xml:space="preserve">2</w:t>
      </w:r>
      <w:r w:rsidDel="00000000" w:rsidR="00000000" w:rsidRPr="00000000">
        <w:rPr>
          <w:rFonts w:ascii="Open Sans" w:cs="Open Sans" w:eastAsia="Open Sans" w:hAnsi="Open Sans"/>
          <w:color w:val="000000"/>
          <w:rtl w:val="0"/>
        </w:rPr>
        <w:t xml:space="preserve"> al mes y País Vasco con 16,75 €/m</w:t>
      </w:r>
      <w:r w:rsidDel="00000000" w:rsidR="00000000" w:rsidRPr="00000000">
        <w:rPr>
          <w:rFonts w:ascii="Open Sans" w:cs="Open Sans" w:eastAsia="Open Sans" w:hAnsi="Open Sans"/>
          <w:color w:val="000000"/>
          <w:vertAlign w:val="superscript"/>
          <w:rtl w:val="0"/>
        </w:rPr>
        <w:t xml:space="preserve">2</w:t>
      </w:r>
      <w:r w:rsidDel="00000000" w:rsidR="00000000" w:rsidRPr="00000000">
        <w:rPr>
          <w:rFonts w:ascii="Open Sans" w:cs="Open Sans" w:eastAsia="Open Sans" w:hAnsi="Open Sans"/>
          <w:color w:val="000000"/>
          <w:rtl w:val="0"/>
        </w:rPr>
        <w:t xml:space="preserve"> al mes. Le siguen, Canarias con 13,92 €/m</w:t>
      </w:r>
      <w:r w:rsidDel="00000000" w:rsidR="00000000" w:rsidRPr="00000000">
        <w:rPr>
          <w:rFonts w:ascii="Open Sans" w:cs="Open Sans" w:eastAsia="Open Sans" w:hAnsi="Open Sans"/>
          <w:color w:val="000000"/>
          <w:vertAlign w:val="superscript"/>
          <w:rtl w:val="0"/>
        </w:rPr>
        <w:t xml:space="preserve">2</w:t>
      </w:r>
      <w:r w:rsidDel="00000000" w:rsidR="00000000" w:rsidRPr="00000000">
        <w:rPr>
          <w:rFonts w:ascii="Open Sans" w:cs="Open Sans" w:eastAsia="Open Sans" w:hAnsi="Open Sans"/>
          <w:color w:val="000000"/>
          <w:rtl w:val="0"/>
        </w:rPr>
        <w:t xml:space="preserve"> al mes, Comunitat Valenciana con 12,75 €/m</w:t>
      </w:r>
      <w:r w:rsidDel="00000000" w:rsidR="00000000" w:rsidRPr="00000000">
        <w:rPr>
          <w:rFonts w:ascii="Open Sans" w:cs="Open Sans" w:eastAsia="Open Sans" w:hAnsi="Open Sans"/>
          <w:color w:val="000000"/>
          <w:vertAlign w:val="superscript"/>
          <w:rtl w:val="0"/>
        </w:rPr>
        <w:t xml:space="preserve">2</w:t>
      </w:r>
      <w:r w:rsidDel="00000000" w:rsidR="00000000" w:rsidRPr="00000000">
        <w:rPr>
          <w:rFonts w:ascii="Open Sans" w:cs="Open Sans" w:eastAsia="Open Sans" w:hAnsi="Open Sans"/>
          <w:color w:val="000000"/>
          <w:rtl w:val="0"/>
        </w:rPr>
        <w:t xml:space="preserve"> al mes, Navarra con 12,13 €/m</w:t>
      </w:r>
      <w:r w:rsidDel="00000000" w:rsidR="00000000" w:rsidRPr="00000000">
        <w:rPr>
          <w:rFonts w:ascii="Open Sans" w:cs="Open Sans" w:eastAsia="Open Sans" w:hAnsi="Open Sans"/>
          <w:color w:val="000000"/>
          <w:vertAlign w:val="superscript"/>
          <w:rtl w:val="0"/>
        </w:rPr>
        <w:t xml:space="preserve">2</w:t>
      </w:r>
      <w:r w:rsidDel="00000000" w:rsidR="00000000" w:rsidRPr="00000000">
        <w:rPr>
          <w:rFonts w:ascii="Open Sans" w:cs="Open Sans" w:eastAsia="Open Sans" w:hAnsi="Open Sans"/>
          <w:color w:val="000000"/>
          <w:rtl w:val="0"/>
        </w:rPr>
        <w:t xml:space="preserve"> al mes, Cantabria con 11,46 €/m</w:t>
      </w:r>
      <w:r w:rsidDel="00000000" w:rsidR="00000000" w:rsidRPr="00000000">
        <w:rPr>
          <w:rFonts w:ascii="Open Sans" w:cs="Open Sans" w:eastAsia="Open Sans" w:hAnsi="Open Sans"/>
          <w:color w:val="000000"/>
          <w:vertAlign w:val="superscript"/>
          <w:rtl w:val="0"/>
        </w:rPr>
        <w:t xml:space="preserve">2</w:t>
      </w:r>
      <w:r w:rsidDel="00000000" w:rsidR="00000000" w:rsidRPr="00000000">
        <w:rPr>
          <w:rFonts w:ascii="Open Sans" w:cs="Open Sans" w:eastAsia="Open Sans" w:hAnsi="Open Sans"/>
          <w:color w:val="000000"/>
          <w:rtl w:val="0"/>
        </w:rPr>
        <w:t xml:space="preserve"> al mes, Andalucía con 10,86 €/m</w:t>
      </w:r>
      <w:r w:rsidDel="00000000" w:rsidR="00000000" w:rsidRPr="00000000">
        <w:rPr>
          <w:rFonts w:ascii="Open Sans" w:cs="Open Sans" w:eastAsia="Open Sans" w:hAnsi="Open Sans"/>
          <w:color w:val="000000"/>
          <w:vertAlign w:val="superscript"/>
          <w:rtl w:val="0"/>
        </w:rPr>
        <w:t xml:space="preserve">2</w:t>
      </w:r>
      <w:r w:rsidDel="00000000" w:rsidR="00000000" w:rsidRPr="00000000">
        <w:rPr>
          <w:rFonts w:ascii="Open Sans" w:cs="Open Sans" w:eastAsia="Open Sans" w:hAnsi="Open Sans"/>
          <w:color w:val="000000"/>
          <w:rtl w:val="0"/>
        </w:rPr>
        <w:t xml:space="preserve"> al mes, Asturias con 10,80 €/m</w:t>
      </w:r>
      <w:r w:rsidDel="00000000" w:rsidR="00000000" w:rsidRPr="00000000">
        <w:rPr>
          <w:rFonts w:ascii="Open Sans" w:cs="Open Sans" w:eastAsia="Open Sans" w:hAnsi="Open Sans"/>
          <w:color w:val="000000"/>
          <w:vertAlign w:val="superscript"/>
          <w:rtl w:val="0"/>
        </w:rPr>
        <w:t xml:space="preserve">2</w:t>
      </w:r>
      <w:r w:rsidDel="00000000" w:rsidR="00000000" w:rsidRPr="00000000">
        <w:rPr>
          <w:rFonts w:ascii="Open Sans" w:cs="Open Sans" w:eastAsia="Open Sans" w:hAnsi="Open Sans"/>
          <w:color w:val="000000"/>
          <w:rtl w:val="0"/>
        </w:rPr>
        <w:t xml:space="preserve"> al mes, Aragón con 10,07 €/m</w:t>
      </w:r>
      <w:r w:rsidDel="00000000" w:rsidR="00000000" w:rsidRPr="00000000">
        <w:rPr>
          <w:rFonts w:ascii="Open Sans" w:cs="Open Sans" w:eastAsia="Open Sans" w:hAnsi="Open Sans"/>
          <w:color w:val="000000"/>
          <w:vertAlign w:val="superscript"/>
          <w:rtl w:val="0"/>
        </w:rPr>
        <w:t xml:space="preserve">2</w:t>
      </w:r>
      <w:r w:rsidDel="00000000" w:rsidR="00000000" w:rsidRPr="00000000">
        <w:rPr>
          <w:rFonts w:ascii="Open Sans" w:cs="Open Sans" w:eastAsia="Open Sans" w:hAnsi="Open Sans"/>
          <w:color w:val="000000"/>
          <w:rtl w:val="0"/>
        </w:rPr>
        <w:t xml:space="preserve"> al mes, Galicia con 9,49 €/m</w:t>
      </w:r>
      <w:r w:rsidDel="00000000" w:rsidR="00000000" w:rsidRPr="00000000">
        <w:rPr>
          <w:rFonts w:ascii="Open Sans" w:cs="Open Sans" w:eastAsia="Open Sans" w:hAnsi="Open Sans"/>
          <w:color w:val="000000"/>
          <w:vertAlign w:val="superscript"/>
          <w:rtl w:val="0"/>
        </w:rPr>
        <w:t xml:space="preserve">2</w:t>
      </w:r>
      <w:r w:rsidDel="00000000" w:rsidR="00000000" w:rsidRPr="00000000">
        <w:rPr>
          <w:rFonts w:ascii="Open Sans" w:cs="Open Sans" w:eastAsia="Open Sans" w:hAnsi="Open Sans"/>
          <w:color w:val="000000"/>
          <w:rtl w:val="0"/>
        </w:rPr>
        <w:t xml:space="preserve"> al mes, La Rioja con 9,42 €/m</w:t>
      </w:r>
      <w:r w:rsidDel="00000000" w:rsidR="00000000" w:rsidRPr="00000000">
        <w:rPr>
          <w:rFonts w:ascii="Open Sans" w:cs="Open Sans" w:eastAsia="Open Sans" w:hAnsi="Open Sans"/>
          <w:color w:val="000000"/>
          <w:vertAlign w:val="superscript"/>
          <w:rtl w:val="0"/>
        </w:rPr>
        <w:t xml:space="preserve">2</w:t>
      </w:r>
      <w:r w:rsidDel="00000000" w:rsidR="00000000" w:rsidRPr="00000000">
        <w:rPr>
          <w:rFonts w:ascii="Open Sans" w:cs="Open Sans" w:eastAsia="Open Sans" w:hAnsi="Open Sans"/>
          <w:color w:val="000000"/>
          <w:rtl w:val="0"/>
        </w:rPr>
        <w:t xml:space="preserve"> al mes, Región de Murcia con 9,13 €/m</w:t>
      </w:r>
      <w:r w:rsidDel="00000000" w:rsidR="00000000" w:rsidRPr="00000000">
        <w:rPr>
          <w:rFonts w:ascii="Open Sans" w:cs="Open Sans" w:eastAsia="Open Sans" w:hAnsi="Open Sans"/>
          <w:color w:val="000000"/>
          <w:vertAlign w:val="superscript"/>
          <w:rtl w:val="0"/>
        </w:rPr>
        <w:t xml:space="preserve">2</w:t>
      </w:r>
      <w:r w:rsidDel="00000000" w:rsidR="00000000" w:rsidRPr="00000000">
        <w:rPr>
          <w:rFonts w:ascii="Open Sans" w:cs="Open Sans" w:eastAsia="Open Sans" w:hAnsi="Open Sans"/>
          <w:color w:val="000000"/>
          <w:rtl w:val="0"/>
        </w:rPr>
        <w:t xml:space="preserve"> al mes, Castilla y León con 9,09 €/m</w:t>
      </w:r>
      <w:r w:rsidDel="00000000" w:rsidR="00000000" w:rsidRPr="00000000">
        <w:rPr>
          <w:rFonts w:ascii="Open Sans" w:cs="Open Sans" w:eastAsia="Open Sans" w:hAnsi="Open Sans"/>
          <w:color w:val="000000"/>
          <w:vertAlign w:val="superscript"/>
          <w:rtl w:val="0"/>
        </w:rPr>
        <w:t xml:space="preserve">2</w:t>
      </w:r>
      <w:r w:rsidDel="00000000" w:rsidR="00000000" w:rsidRPr="00000000">
        <w:rPr>
          <w:rFonts w:ascii="Open Sans" w:cs="Open Sans" w:eastAsia="Open Sans" w:hAnsi="Open Sans"/>
          <w:color w:val="000000"/>
          <w:rtl w:val="0"/>
        </w:rPr>
        <w:t xml:space="preserve"> al mes, Castilla-La Mancha con 7,40 €/m</w:t>
      </w:r>
      <w:r w:rsidDel="00000000" w:rsidR="00000000" w:rsidRPr="00000000">
        <w:rPr>
          <w:rFonts w:ascii="Open Sans" w:cs="Open Sans" w:eastAsia="Open Sans" w:hAnsi="Open Sans"/>
          <w:color w:val="000000"/>
          <w:vertAlign w:val="superscript"/>
          <w:rtl w:val="0"/>
        </w:rPr>
        <w:t xml:space="preserve">2</w:t>
      </w:r>
      <w:r w:rsidDel="00000000" w:rsidR="00000000" w:rsidRPr="00000000">
        <w:rPr>
          <w:rFonts w:ascii="Open Sans" w:cs="Open Sans" w:eastAsia="Open Sans" w:hAnsi="Open Sans"/>
          <w:color w:val="000000"/>
          <w:rtl w:val="0"/>
        </w:rPr>
        <w:t xml:space="preserve"> al mes y Extremadura con 6,70 €/m</w:t>
      </w:r>
      <w:r w:rsidDel="00000000" w:rsidR="00000000" w:rsidRPr="00000000">
        <w:rPr>
          <w:rFonts w:ascii="Open Sans" w:cs="Open Sans" w:eastAsia="Open Sans" w:hAnsi="Open Sans"/>
          <w:color w:val="000000"/>
          <w:vertAlign w:val="superscript"/>
          <w:rtl w:val="0"/>
        </w:rPr>
        <w:t xml:space="preserve">2</w:t>
      </w:r>
      <w:r w:rsidDel="00000000" w:rsidR="00000000" w:rsidRPr="00000000">
        <w:rPr>
          <w:rFonts w:ascii="Open Sans" w:cs="Open Sans" w:eastAsia="Open Sans" w:hAnsi="Open Sans"/>
          <w:color w:val="000000"/>
          <w:rtl w:val="0"/>
        </w:rPr>
        <w:t xml:space="preserve"> al mes. </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ffffff" w:val="clear"/>
        <w:spacing w:after="280" w:before="280" w:line="276" w:lineRule="auto"/>
        <w:ind w:right="-567"/>
        <w:jc w:val="both"/>
        <w:rPr>
          <w:rFonts w:ascii="Open Sans Light" w:cs="Open Sans Light" w:eastAsia="Open Sans Light" w:hAnsi="Open Sans Light"/>
          <w:b w:val="1"/>
          <w:color w:val="303ab2"/>
          <w:sz w:val="28"/>
          <w:szCs w:val="28"/>
        </w:rPr>
      </w:pPr>
      <w:r w:rsidDel="00000000" w:rsidR="00000000" w:rsidRPr="00000000">
        <w:rPr>
          <w:rFonts w:ascii="Open Sans Light" w:cs="Open Sans Light" w:eastAsia="Open Sans Light" w:hAnsi="Open Sans Light"/>
          <w:b w:val="1"/>
          <w:color w:val="303ab2"/>
          <w:sz w:val="28"/>
          <w:szCs w:val="28"/>
          <w:rtl w:val="0"/>
        </w:rPr>
        <w:t xml:space="preserve">CCAA con precio, variación mensual e interanual</w:t>
      </w:r>
    </w:p>
    <w:tbl>
      <w:tblPr>
        <w:tblStyle w:val="Table1"/>
        <w:tblW w:w="9071.0" w:type="dxa"/>
        <w:jc w:val="left"/>
        <w:tblInd w:w="-5.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A0"/>
      </w:tblPr>
      <w:tblGrid>
        <w:gridCol w:w="2410"/>
        <w:gridCol w:w="1701"/>
        <w:gridCol w:w="1559"/>
        <w:gridCol w:w="1701"/>
        <w:gridCol w:w="1700"/>
        <w:tblGridChange w:id="0">
          <w:tblGrid>
            <w:gridCol w:w="2410"/>
            <w:gridCol w:w="1701"/>
            <w:gridCol w:w="1559"/>
            <w:gridCol w:w="1701"/>
            <w:gridCol w:w="1700"/>
          </w:tblGrid>
        </w:tblGridChange>
      </w:tblGrid>
      <w:tr>
        <w:trPr>
          <w:cantSplit w:val="0"/>
          <w:trHeight w:val="283" w:hRule="atLeast"/>
          <w:tblHeader w:val="0"/>
        </w:trPr>
        <w:tc>
          <w:tcPr>
            <w:vAlign w:val="center"/>
          </w:tcPr>
          <w:p w:rsidR="00000000" w:rsidDel="00000000" w:rsidP="00000000" w:rsidRDefault="00000000" w:rsidRPr="00000000" w14:paraId="0000001E">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Comunidad Autónoma</w:t>
            </w:r>
            <w:r w:rsidDel="00000000" w:rsidR="00000000" w:rsidRPr="00000000">
              <w:rPr>
                <w:rtl w:val="0"/>
              </w:rPr>
            </w:r>
          </w:p>
        </w:tc>
        <w:tc>
          <w:tcPr>
            <w:vAlign w:val="center"/>
          </w:tcPr>
          <w:p w:rsidR="00000000" w:rsidDel="00000000" w:rsidP="00000000" w:rsidRDefault="00000000" w:rsidRPr="00000000" w14:paraId="0000001F">
            <w:pPr>
              <w:jc w:val="cente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Noviembre 2024</w:t>
            </w:r>
            <w:r w:rsidDel="00000000" w:rsidR="00000000" w:rsidRPr="00000000">
              <w:rPr>
                <w:rtl w:val="0"/>
              </w:rPr>
            </w:r>
          </w:p>
          <w:p w:rsidR="00000000" w:rsidDel="00000000" w:rsidP="00000000" w:rsidRDefault="00000000" w:rsidRPr="00000000" w14:paraId="00000020">
            <w:pPr>
              <w:jc w:val="cente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(€/m² al mes)</w:t>
            </w:r>
            <w:r w:rsidDel="00000000" w:rsidR="00000000" w:rsidRPr="00000000">
              <w:rPr>
                <w:rtl w:val="0"/>
              </w:rPr>
            </w:r>
          </w:p>
        </w:tc>
        <w:tc>
          <w:tcPr>
            <w:vAlign w:val="center"/>
          </w:tcPr>
          <w:p w:rsidR="00000000" w:rsidDel="00000000" w:rsidP="00000000" w:rsidRDefault="00000000" w:rsidRPr="00000000" w14:paraId="00000021">
            <w:pPr>
              <w:jc w:val="cente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Variación mensual (%)</w:t>
            </w:r>
            <w:r w:rsidDel="00000000" w:rsidR="00000000" w:rsidRPr="00000000">
              <w:rPr>
                <w:rtl w:val="0"/>
              </w:rPr>
            </w:r>
          </w:p>
        </w:tc>
        <w:tc>
          <w:tcPr>
            <w:vAlign w:val="center"/>
          </w:tcPr>
          <w:p w:rsidR="00000000" w:rsidDel="00000000" w:rsidP="00000000" w:rsidRDefault="00000000" w:rsidRPr="00000000" w14:paraId="00000022">
            <w:pPr>
              <w:jc w:val="cente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Variación interanual (%)</w:t>
            </w:r>
            <w:r w:rsidDel="00000000" w:rsidR="00000000" w:rsidRPr="00000000">
              <w:rPr>
                <w:rtl w:val="0"/>
              </w:rPr>
            </w:r>
          </w:p>
        </w:tc>
        <w:tc>
          <w:tcPr/>
          <w:p w:rsidR="00000000" w:rsidDel="00000000" w:rsidP="00000000" w:rsidRDefault="00000000" w:rsidRPr="00000000" w14:paraId="00000023">
            <w:pPr>
              <w:jc w:val="cente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 respecto media nacional</w:t>
            </w:r>
            <w:r w:rsidDel="00000000" w:rsidR="00000000" w:rsidRPr="00000000">
              <w:rPr>
                <w:rtl w:val="0"/>
              </w:rPr>
            </w:r>
          </w:p>
        </w:tc>
      </w:tr>
      <w:tr>
        <w:trPr>
          <w:cantSplit w:val="0"/>
          <w:trHeight w:val="283" w:hRule="atLeast"/>
          <w:tblHeader w:val="0"/>
        </w:trPr>
        <w:tc>
          <w:tcPr/>
          <w:p w:rsidR="00000000" w:rsidDel="00000000" w:rsidP="00000000" w:rsidRDefault="00000000" w:rsidRPr="00000000" w14:paraId="00000024">
            <w:pPr>
              <w:rPr>
                <w:rFonts w:ascii="Open Sans" w:cs="Open Sans" w:eastAsia="Open Sans" w:hAnsi="Open Sans"/>
                <w:sz w:val="22"/>
                <w:szCs w:val="22"/>
              </w:rPr>
            </w:pPr>
            <w:r w:rsidDel="00000000" w:rsidR="00000000" w:rsidRPr="00000000">
              <w:rPr>
                <w:rFonts w:ascii="Open Sans" w:cs="Open Sans" w:eastAsia="Open Sans" w:hAnsi="Open Sans"/>
                <w:b w:val="0"/>
                <w:rtl w:val="0"/>
              </w:rPr>
              <w:t xml:space="preserve">Madrid</w:t>
            </w:r>
            <w:r w:rsidDel="00000000" w:rsidR="00000000" w:rsidRPr="00000000">
              <w:rPr>
                <w:rtl w:val="0"/>
              </w:rPr>
            </w:r>
          </w:p>
        </w:tc>
        <w:tc>
          <w:tcPr>
            <w:vAlign w:val="bottom"/>
          </w:tcPr>
          <w:p w:rsidR="00000000" w:rsidDel="00000000" w:rsidP="00000000" w:rsidRDefault="00000000" w:rsidRPr="00000000" w14:paraId="00000025">
            <w:pPr>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20,72 €</w:t>
            </w:r>
          </w:p>
        </w:tc>
        <w:tc>
          <w:tcPr>
            <w:vAlign w:val="bottom"/>
          </w:tcPr>
          <w:p w:rsidR="00000000" w:rsidDel="00000000" w:rsidP="00000000" w:rsidRDefault="00000000" w:rsidRPr="00000000" w14:paraId="00000026">
            <w:pPr>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4,5%</w:t>
            </w:r>
          </w:p>
        </w:tc>
        <w:tc>
          <w:tcPr>
            <w:vAlign w:val="bottom"/>
          </w:tcPr>
          <w:p w:rsidR="00000000" w:rsidDel="00000000" w:rsidP="00000000" w:rsidRDefault="00000000" w:rsidRPr="00000000" w14:paraId="00000027">
            <w:pPr>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20,9%</w:t>
            </w:r>
          </w:p>
        </w:tc>
        <w:tc>
          <w:tcPr>
            <w:vAlign w:val="bottom"/>
          </w:tcPr>
          <w:p w:rsidR="00000000" w:rsidDel="00000000" w:rsidP="00000000" w:rsidRDefault="00000000" w:rsidRPr="00000000" w14:paraId="00000028">
            <w:pPr>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57,8%</w:t>
            </w:r>
          </w:p>
        </w:tc>
      </w:tr>
      <w:tr>
        <w:trPr>
          <w:cantSplit w:val="0"/>
          <w:trHeight w:val="283" w:hRule="atLeast"/>
          <w:tblHeader w:val="0"/>
        </w:trPr>
        <w:tc>
          <w:tcPr/>
          <w:p w:rsidR="00000000" w:rsidDel="00000000" w:rsidP="00000000" w:rsidRDefault="00000000" w:rsidRPr="00000000" w14:paraId="00000029">
            <w:pPr>
              <w:rPr>
                <w:rFonts w:ascii="Open Sans" w:cs="Open Sans" w:eastAsia="Open Sans" w:hAnsi="Open Sans"/>
                <w:sz w:val="22"/>
                <w:szCs w:val="22"/>
              </w:rPr>
            </w:pPr>
            <w:r w:rsidDel="00000000" w:rsidR="00000000" w:rsidRPr="00000000">
              <w:rPr>
                <w:rFonts w:ascii="Open Sans" w:cs="Open Sans" w:eastAsia="Open Sans" w:hAnsi="Open Sans"/>
                <w:b w:val="0"/>
                <w:rtl w:val="0"/>
              </w:rPr>
              <w:t xml:space="preserve">Castilla-La Mancha</w:t>
            </w:r>
            <w:r w:rsidDel="00000000" w:rsidR="00000000" w:rsidRPr="00000000">
              <w:rPr>
                <w:rtl w:val="0"/>
              </w:rPr>
            </w:r>
          </w:p>
        </w:tc>
        <w:tc>
          <w:tcPr>
            <w:vAlign w:val="bottom"/>
          </w:tcPr>
          <w:p w:rsidR="00000000" w:rsidDel="00000000" w:rsidP="00000000" w:rsidRDefault="00000000" w:rsidRPr="00000000" w14:paraId="0000002A">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7,40 €</w:t>
            </w:r>
          </w:p>
        </w:tc>
        <w:tc>
          <w:tcPr>
            <w:vAlign w:val="bottom"/>
          </w:tcPr>
          <w:p w:rsidR="00000000" w:rsidDel="00000000" w:rsidP="00000000" w:rsidRDefault="00000000" w:rsidRPr="00000000" w14:paraId="0000002B">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1,0%</w:t>
            </w:r>
          </w:p>
        </w:tc>
        <w:tc>
          <w:tcPr>
            <w:vAlign w:val="bottom"/>
          </w:tcPr>
          <w:p w:rsidR="00000000" w:rsidDel="00000000" w:rsidP="00000000" w:rsidRDefault="00000000" w:rsidRPr="00000000" w14:paraId="0000002C">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18,6%</w:t>
            </w:r>
          </w:p>
        </w:tc>
        <w:tc>
          <w:tcPr>
            <w:vAlign w:val="bottom"/>
          </w:tcPr>
          <w:p w:rsidR="00000000" w:rsidDel="00000000" w:rsidP="00000000" w:rsidRDefault="00000000" w:rsidRPr="00000000" w14:paraId="0000002D">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9c0006"/>
                <w:sz w:val="22"/>
                <w:szCs w:val="22"/>
                <w:rtl w:val="0"/>
              </w:rPr>
              <w:t xml:space="preserve">-43,6%</w:t>
            </w:r>
            <w:r w:rsidDel="00000000" w:rsidR="00000000" w:rsidRPr="00000000">
              <w:rPr>
                <w:rtl w:val="0"/>
              </w:rPr>
            </w:r>
          </w:p>
        </w:tc>
      </w:tr>
      <w:tr>
        <w:trPr>
          <w:cantSplit w:val="0"/>
          <w:trHeight w:val="283" w:hRule="atLeast"/>
          <w:tblHeader w:val="0"/>
        </w:trPr>
        <w:tc>
          <w:tcPr/>
          <w:p w:rsidR="00000000" w:rsidDel="00000000" w:rsidP="00000000" w:rsidRDefault="00000000" w:rsidRPr="00000000" w14:paraId="0000002E">
            <w:pPr>
              <w:rPr>
                <w:rFonts w:ascii="Open Sans" w:cs="Open Sans" w:eastAsia="Open Sans" w:hAnsi="Open Sans"/>
                <w:sz w:val="22"/>
                <w:szCs w:val="22"/>
              </w:rPr>
            </w:pPr>
            <w:r w:rsidDel="00000000" w:rsidR="00000000" w:rsidRPr="00000000">
              <w:rPr>
                <w:rFonts w:ascii="Open Sans" w:cs="Open Sans" w:eastAsia="Open Sans" w:hAnsi="Open Sans"/>
                <w:b w:val="0"/>
                <w:rtl w:val="0"/>
              </w:rPr>
              <w:t xml:space="preserve">Asturias</w:t>
            </w:r>
            <w:r w:rsidDel="00000000" w:rsidR="00000000" w:rsidRPr="00000000">
              <w:rPr>
                <w:rtl w:val="0"/>
              </w:rPr>
            </w:r>
          </w:p>
        </w:tc>
        <w:tc>
          <w:tcPr>
            <w:vAlign w:val="bottom"/>
          </w:tcPr>
          <w:p w:rsidR="00000000" w:rsidDel="00000000" w:rsidP="00000000" w:rsidRDefault="00000000" w:rsidRPr="00000000" w14:paraId="0000002F">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10,80 €</w:t>
            </w:r>
          </w:p>
        </w:tc>
        <w:tc>
          <w:tcPr>
            <w:vAlign w:val="bottom"/>
          </w:tcPr>
          <w:p w:rsidR="00000000" w:rsidDel="00000000" w:rsidP="00000000" w:rsidRDefault="00000000" w:rsidRPr="00000000" w14:paraId="00000030">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3,3%</w:t>
            </w:r>
          </w:p>
        </w:tc>
        <w:tc>
          <w:tcPr>
            <w:vAlign w:val="bottom"/>
          </w:tcPr>
          <w:p w:rsidR="00000000" w:rsidDel="00000000" w:rsidP="00000000" w:rsidRDefault="00000000" w:rsidRPr="00000000" w14:paraId="00000031">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17,5%</w:t>
            </w:r>
          </w:p>
        </w:tc>
        <w:tc>
          <w:tcPr>
            <w:vAlign w:val="bottom"/>
          </w:tcPr>
          <w:p w:rsidR="00000000" w:rsidDel="00000000" w:rsidP="00000000" w:rsidRDefault="00000000" w:rsidRPr="00000000" w14:paraId="00000032">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9c0006"/>
                <w:sz w:val="22"/>
                <w:szCs w:val="22"/>
                <w:rtl w:val="0"/>
              </w:rPr>
              <w:t xml:space="preserve">-17,7%</w:t>
            </w:r>
            <w:r w:rsidDel="00000000" w:rsidR="00000000" w:rsidRPr="00000000">
              <w:rPr>
                <w:rtl w:val="0"/>
              </w:rPr>
            </w:r>
          </w:p>
        </w:tc>
      </w:tr>
      <w:tr>
        <w:trPr>
          <w:cantSplit w:val="0"/>
          <w:trHeight w:val="283" w:hRule="atLeast"/>
          <w:tblHeader w:val="0"/>
        </w:trPr>
        <w:tc>
          <w:tcPr/>
          <w:p w:rsidR="00000000" w:rsidDel="00000000" w:rsidP="00000000" w:rsidRDefault="00000000" w:rsidRPr="00000000" w14:paraId="00000033">
            <w:pPr>
              <w:rPr>
                <w:rFonts w:ascii="Open Sans" w:cs="Open Sans" w:eastAsia="Open Sans" w:hAnsi="Open Sans"/>
                <w:sz w:val="22"/>
                <w:szCs w:val="22"/>
              </w:rPr>
            </w:pPr>
            <w:r w:rsidDel="00000000" w:rsidR="00000000" w:rsidRPr="00000000">
              <w:rPr>
                <w:rFonts w:ascii="Open Sans" w:cs="Open Sans" w:eastAsia="Open Sans" w:hAnsi="Open Sans"/>
                <w:b w:val="0"/>
                <w:rtl w:val="0"/>
              </w:rPr>
              <w:t xml:space="preserve">Cataluña</w:t>
            </w:r>
            <w:r w:rsidDel="00000000" w:rsidR="00000000" w:rsidRPr="00000000">
              <w:rPr>
                <w:rtl w:val="0"/>
              </w:rPr>
            </w:r>
          </w:p>
        </w:tc>
        <w:tc>
          <w:tcPr>
            <w:vAlign w:val="bottom"/>
          </w:tcPr>
          <w:p w:rsidR="00000000" w:rsidDel="00000000" w:rsidP="00000000" w:rsidRDefault="00000000" w:rsidRPr="00000000" w14:paraId="00000034">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17,91 €</w:t>
            </w:r>
          </w:p>
        </w:tc>
        <w:tc>
          <w:tcPr>
            <w:vAlign w:val="bottom"/>
          </w:tcPr>
          <w:p w:rsidR="00000000" w:rsidDel="00000000" w:rsidP="00000000" w:rsidRDefault="00000000" w:rsidRPr="00000000" w14:paraId="00000035">
            <w:pPr>
              <w:jc w:val="center"/>
              <w:rPr>
                <w:rFonts w:ascii="Open Sans" w:cs="Open Sans" w:eastAsia="Open Sans" w:hAnsi="Open Sans"/>
                <w:color w:val="9c0006"/>
                <w:sz w:val="22"/>
                <w:szCs w:val="22"/>
              </w:rPr>
            </w:pPr>
            <w:r w:rsidDel="00000000" w:rsidR="00000000" w:rsidRPr="00000000">
              <w:rPr>
                <w:rFonts w:ascii="Open Sans" w:cs="Open Sans" w:eastAsia="Open Sans" w:hAnsi="Open Sans"/>
                <w:color w:val="000000"/>
                <w:sz w:val="22"/>
                <w:szCs w:val="22"/>
                <w:rtl w:val="0"/>
              </w:rPr>
              <w:t xml:space="preserve">9,7%</w:t>
            </w:r>
            <w:r w:rsidDel="00000000" w:rsidR="00000000" w:rsidRPr="00000000">
              <w:rPr>
                <w:rtl w:val="0"/>
              </w:rPr>
            </w:r>
          </w:p>
        </w:tc>
        <w:tc>
          <w:tcPr>
            <w:vAlign w:val="bottom"/>
          </w:tcPr>
          <w:p w:rsidR="00000000" w:rsidDel="00000000" w:rsidP="00000000" w:rsidRDefault="00000000" w:rsidRPr="00000000" w14:paraId="00000036">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13,0%</w:t>
            </w:r>
          </w:p>
        </w:tc>
        <w:tc>
          <w:tcPr>
            <w:vAlign w:val="bottom"/>
          </w:tcPr>
          <w:p w:rsidR="00000000" w:rsidDel="00000000" w:rsidP="00000000" w:rsidRDefault="00000000" w:rsidRPr="00000000" w14:paraId="00000037">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36,4%</w:t>
            </w:r>
          </w:p>
        </w:tc>
      </w:tr>
      <w:tr>
        <w:trPr>
          <w:cantSplit w:val="0"/>
          <w:trHeight w:val="283" w:hRule="atLeast"/>
          <w:tblHeader w:val="0"/>
        </w:trPr>
        <w:tc>
          <w:tcPr/>
          <w:p w:rsidR="00000000" w:rsidDel="00000000" w:rsidP="00000000" w:rsidRDefault="00000000" w:rsidRPr="00000000" w14:paraId="00000038">
            <w:pPr>
              <w:rPr>
                <w:rFonts w:ascii="Open Sans" w:cs="Open Sans" w:eastAsia="Open Sans" w:hAnsi="Open Sans"/>
                <w:sz w:val="22"/>
                <w:szCs w:val="22"/>
              </w:rPr>
            </w:pPr>
            <w:r w:rsidDel="00000000" w:rsidR="00000000" w:rsidRPr="00000000">
              <w:rPr>
                <w:rFonts w:ascii="Open Sans" w:cs="Open Sans" w:eastAsia="Open Sans" w:hAnsi="Open Sans"/>
                <w:b w:val="0"/>
                <w:rtl w:val="0"/>
              </w:rPr>
              <w:t xml:space="preserve">Región de Murcia</w:t>
            </w:r>
            <w:r w:rsidDel="00000000" w:rsidR="00000000" w:rsidRPr="00000000">
              <w:rPr>
                <w:rtl w:val="0"/>
              </w:rPr>
            </w:r>
          </w:p>
        </w:tc>
        <w:tc>
          <w:tcPr>
            <w:vAlign w:val="bottom"/>
          </w:tcPr>
          <w:p w:rsidR="00000000" w:rsidDel="00000000" w:rsidP="00000000" w:rsidRDefault="00000000" w:rsidRPr="00000000" w14:paraId="00000039">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9,13 €</w:t>
            </w:r>
          </w:p>
        </w:tc>
        <w:tc>
          <w:tcPr>
            <w:vAlign w:val="bottom"/>
          </w:tcPr>
          <w:p w:rsidR="00000000" w:rsidDel="00000000" w:rsidP="00000000" w:rsidRDefault="00000000" w:rsidRPr="00000000" w14:paraId="0000003A">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0,4%</w:t>
            </w:r>
          </w:p>
        </w:tc>
        <w:tc>
          <w:tcPr>
            <w:vAlign w:val="bottom"/>
          </w:tcPr>
          <w:p w:rsidR="00000000" w:rsidDel="00000000" w:rsidP="00000000" w:rsidRDefault="00000000" w:rsidRPr="00000000" w14:paraId="0000003B">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12,9%</w:t>
            </w:r>
          </w:p>
        </w:tc>
        <w:tc>
          <w:tcPr>
            <w:vAlign w:val="bottom"/>
          </w:tcPr>
          <w:p w:rsidR="00000000" w:rsidDel="00000000" w:rsidP="00000000" w:rsidRDefault="00000000" w:rsidRPr="00000000" w14:paraId="0000003C">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9c0006"/>
                <w:sz w:val="22"/>
                <w:szCs w:val="22"/>
                <w:rtl w:val="0"/>
              </w:rPr>
              <w:t xml:space="preserve">-30%</w:t>
            </w:r>
            <w:r w:rsidDel="00000000" w:rsidR="00000000" w:rsidRPr="00000000">
              <w:rPr>
                <w:rtl w:val="0"/>
              </w:rPr>
            </w:r>
          </w:p>
        </w:tc>
      </w:tr>
      <w:tr>
        <w:trPr>
          <w:cantSplit w:val="0"/>
          <w:trHeight w:val="283" w:hRule="atLeast"/>
          <w:tblHeader w:val="0"/>
        </w:trPr>
        <w:tc>
          <w:tcPr/>
          <w:p w:rsidR="00000000" w:rsidDel="00000000" w:rsidP="00000000" w:rsidRDefault="00000000" w:rsidRPr="00000000" w14:paraId="0000003D">
            <w:pPr>
              <w:rPr>
                <w:rFonts w:ascii="Open Sans" w:cs="Open Sans" w:eastAsia="Open Sans" w:hAnsi="Open Sans"/>
                <w:sz w:val="22"/>
                <w:szCs w:val="22"/>
              </w:rPr>
            </w:pPr>
            <w:r w:rsidDel="00000000" w:rsidR="00000000" w:rsidRPr="00000000">
              <w:rPr>
                <w:rFonts w:ascii="Open Sans" w:cs="Open Sans" w:eastAsia="Open Sans" w:hAnsi="Open Sans"/>
                <w:b w:val="0"/>
                <w:rtl w:val="0"/>
              </w:rPr>
              <w:t xml:space="preserve">La Rioja</w:t>
            </w:r>
            <w:r w:rsidDel="00000000" w:rsidR="00000000" w:rsidRPr="00000000">
              <w:rPr>
                <w:rtl w:val="0"/>
              </w:rPr>
            </w:r>
          </w:p>
        </w:tc>
        <w:tc>
          <w:tcPr>
            <w:vAlign w:val="bottom"/>
          </w:tcPr>
          <w:p w:rsidR="00000000" w:rsidDel="00000000" w:rsidP="00000000" w:rsidRDefault="00000000" w:rsidRPr="00000000" w14:paraId="0000003E">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9,42 €</w:t>
            </w:r>
          </w:p>
        </w:tc>
        <w:tc>
          <w:tcPr>
            <w:vAlign w:val="bottom"/>
          </w:tcPr>
          <w:p w:rsidR="00000000" w:rsidDel="00000000" w:rsidP="00000000" w:rsidRDefault="00000000" w:rsidRPr="00000000" w14:paraId="0000003F">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4,0%</w:t>
            </w:r>
          </w:p>
        </w:tc>
        <w:tc>
          <w:tcPr>
            <w:vAlign w:val="bottom"/>
          </w:tcPr>
          <w:p w:rsidR="00000000" w:rsidDel="00000000" w:rsidP="00000000" w:rsidRDefault="00000000" w:rsidRPr="00000000" w14:paraId="00000040">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12,3%</w:t>
            </w:r>
          </w:p>
        </w:tc>
        <w:tc>
          <w:tcPr>
            <w:vAlign w:val="bottom"/>
          </w:tcPr>
          <w:p w:rsidR="00000000" w:rsidDel="00000000" w:rsidP="00000000" w:rsidRDefault="00000000" w:rsidRPr="00000000" w14:paraId="00000041">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9c0006"/>
                <w:sz w:val="22"/>
                <w:szCs w:val="22"/>
                <w:rtl w:val="0"/>
              </w:rPr>
              <w:t xml:space="preserve">-28,3%</w:t>
            </w:r>
            <w:r w:rsidDel="00000000" w:rsidR="00000000" w:rsidRPr="00000000">
              <w:rPr>
                <w:rtl w:val="0"/>
              </w:rPr>
            </w:r>
          </w:p>
        </w:tc>
      </w:tr>
      <w:tr>
        <w:trPr>
          <w:cantSplit w:val="0"/>
          <w:trHeight w:val="283" w:hRule="atLeast"/>
          <w:tblHeader w:val="0"/>
        </w:trPr>
        <w:tc>
          <w:tcPr/>
          <w:p w:rsidR="00000000" w:rsidDel="00000000" w:rsidP="00000000" w:rsidRDefault="00000000" w:rsidRPr="00000000" w14:paraId="00000042">
            <w:pPr>
              <w:rPr>
                <w:rFonts w:ascii="Open Sans" w:cs="Open Sans" w:eastAsia="Open Sans" w:hAnsi="Open Sans"/>
                <w:sz w:val="22"/>
                <w:szCs w:val="22"/>
              </w:rPr>
            </w:pPr>
            <w:r w:rsidDel="00000000" w:rsidR="00000000" w:rsidRPr="00000000">
              <w:rPr>
                <w:rFonts w:ascii="Open Sans" w:cs="Open Sans" w:eastAsia="Open Sans" w:hAnsi="Open Sans"/>
                <w:b w:val="0"/>
                <w:rtl w:val="0"/>
              </w:rPr>
              <w:t xml:space="preserve">Comunitat Valenciana</w:t>
            </w:r>
            <w:r w:rsidDel="00000000" w:rsidR="00000000" w:rsidRPr="00000000">
              <w:rPr>
                <w:rtl w:val="0"/>
              </w:rPr>
            </w:r>
          </w:p>
        </w:tc>
        <w:tc>
          <w:tcPr>
            <w:vAlign w:val="bottom"/>
          </w:tcPr>
          <w:p w:rsidR="00000000" w:rsidDel="00000000" w:rsidP="00000000" w:rsidRDefault="00000000" w:rsidRPr="00000000" w14:paraId="00000043">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12,75 €</w:t>
            </w:r>
          </w:p>
        </w:tc>
        <w:tc>
          <w:tcPr>
            <w:vAlign w:val="bottom"/>
          </w:tcPr>
          <w:p w:rsidR="00000000" w:rsidDel="00000000" w:rsidP="00000000" w:rsidRDefault="00000000" w:rsidRPr="00000000" w14:paraId="00000044">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3,5%</w:t>
            </w:r>
          </w:p>
        </w:tc>
        <w:tc>
          <w:tcPr>
            <w:vAlign w:val="bottom"/>
          </w:tcPr>
          <w:p w:rsidR="00000000" w:rsidDel="00000000" w:rsidP="00000000" w:rsidRDefault="00000000" w:rsidRPr="00000000" w14:paraId="00000045">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11,6%</w:t>
            </w:r>
          </w:p>
        </w:tc>
        <w:tc>
          <w:tcPr>
            <w:vAlign w:val="bottom"/>
          </w:tcPr>
          <w:p w:rsidR="00000000" w:rsidDel="00000000" w:rsidP="00000000" w:rsidRDefault="00000000" w:rsidRPr="00000000" w14:paraId="00000046">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9c0006"/>
                <w:sz w:val="22"/>
                <w:szCs w:val="22"/>
                <w:rtl w:val="0"/>
              </w:rPr>
              <w:t xml:space="preserve">-2,9%</w:t>
            </w:r>
            <w:r w:rsidDel="00000000" w:rsidR="00000000" w:rsidRPr="00000000">
              <w:rPr>
                <w:rtl w:val="0"/>
              </w:rPr>
            </w:r>
          </w:p>
        </w:tc>
      </w:tr>
      <w:tr>
        <w:trPr>
          <w:cantSplit w:val="0"/>
          <w:trHeight w:val="283" w:hRule="atLeast"/>
          <w:tblHeader w:val="0"/>
        </w:trPr>
        <w:tc>
          <w:tcPr/>
          <w:p w:rsidR="00000000" w:rsidDel="00000000" w:rsidP="00000000" w:rsidRDefault="00000000" w:rsidRPr="00000000" w14:paraId="00000047">
            <w:pPr>
              <w:rPr>
                <w:rFonts w:ascii="Open Sans" w:cs="Open Sans" w:eastAsia="Open Sans" w:hAnsi="Open Sans"/>
                <w:sz w:val="22"/>
                <w:szCs w:val="22"/>
              </w:rPr>
            </w:pPr>
            <w:r w:rsidDel="00000000" w:rsidR="00000000" w:rsidRPr="00000000">
              <w:rPr>
                <w:rFonts w:ascii="Open Sans" w:cs="Open Sans" w:eastAsia="Open Sans" w:hAnsi="Open Sans"/>
                <w:b w:val="0"/>
                <w:rtl w:val="0"/>
              </w:rPr>
              <w:t xml:space="preserve">Galicia</w:t>
            </w:r>
            <w:r w:rsidDel="00000000" w:rsidR="00000000" w:rsidRPr="00000000">
              <w:rPr>
                <w:rtl w:val="0"/>
              </w:rPr>
            </w:r>
          </w:p>
        </w:tc>
        <w:tc>
          <w:tcPr>
            <w:vAlign w:val="bottom"/>
          </w:tcPr>
          <w:p w:rsidR="00000000" w:rsidDel="00000000" w:rsidP="00000000" w:rsidRDefault="00000000" w:rsidRPr="00000000" w14:paraId="00000048">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9,49 €</w:t>
            </w:r>
          </w:p>
        </w:tc>
        <w:tc>
          <w:tcPr>
            <w:vAlign w:val="bottom"/>
          </w:tcPr>
          <w:p w:rsidR="00000000" w:rsidDel="00000000" w:rsidP="00000000" w:rsidRDefault="00000000" w:rsidRPr="00000000" w14:paraId="00000049">
            <w:pPr>
              <w:jc w:val="center"/>
              <w:rPr>
                <w:rFonts w:ascii="Open Sans" w:cs="Open Sans" w:eastAsia="Open Sans" w:hAnsi="Open Sans"/>
                <w:color w:val="9c0006"/>
                <w:sz w:val="22"/>
                <w:szCs w:val="22"/>
              </w:rPr>
            </w:pPr>
            <w:r w:rsidDel="00000000" w:rsidR="00000000" w:rsidRPr="00000000">
              <w:rPr>
                <w:rFonts w:ascii="Open Sans" w:cs="Open Sans" w:eastAsia="Open Sans" w:hAnsi="Open Sans"/>
                <w:color w:val="000000"/>
                <w:sz w:val="22"/>
                <w:szCs w:val="22"/>
                <w:rtl w:val="0"/>
              </w:rPr>
              <w:t xml:space="preserve">1,8%</w:t>
            </w:r>
            <w:r w:rsidDel="00000000" w:rsidR="00000000" w:rsidRPr="00000000">
              <w:rPr>
                <w:rtl w:val="0"/>
              </w:rPr>
            </w:r>
          </w:p>
        </w:tc>
        <w:tc>
          <w:tcPr>
            <w:vAlign w:val="bottom"/>
          </w:tcPr>
          <w:p w:rsidR="00000000" w:rsidDel="00000000" w:rsidP="00000000" w:rsidRDefault="00000000" w:rsidRPr="00000000" w14:paraId="0000004A">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11,4%</w:t>
            </w:r>
          </w:p>
        </w:tc>
        <w:tc>
          <w:tcPr>
            <w:vAlign w:val="bottom"/>
          </w:tcPr>
          <w:p w:rsidR="00000000" w:rsidDel="00000000" w:rsidP="00000000" w:rsidRDefault="00000000" w:rsidRPr="00000000" w14:paraId="0000004B">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9c0006"/>
                <w:sz w:val="22"/>
                <w:szCs w:val="22"/>
                <w:rtl w:val="0"/>
              </w:rPr>
              <w:t xml:space="preserve">-27,7%</w:t>
            </w:r>
            <w:r w:rsidDel="00000000" w:rsidR="00000000" w:rsidRPr="00000000">
              <w:rPr>
                <w:rtl w:val="0"/>
              </w:rPr>
            </w:r>
          </w:p>
        </w:tc>
      </w:tr>
      <w:tr>
        <w:trPr>
          <w:cantSplit w:val="0"/>
          <w:trHeight w:val="283" w:hRule="atLeast"/>
          <w:tblHeader w:val="0"/>
        </w:trPr>
        <w:tc>
          <w:tcPr/>
          <w:p w:rsidR="00000000" w:rsidDel="00000000" w:rsidP="00000000" w:rsidRDefault="00000000" w:rsidRPr="00000000" w14:paraId="0000004C">
            <w:pPr>
              <w:rPr>
                <w:rFonts w:ascii="Open Sans" w:cs="Open Sans" w:eastAsia="Open Sans" w:hAnsi="Open Sans"/>
                <w:sz w:val="22"/>
                <w:szCs w:val="22"/>
              </w:rPr>
            </w:pPr>
            <w:r w:rsidDel="00000000" w:rsidR="00000000" w:rsidRPr="00000000">
              <w:rPr>
                <w:rFonts w:ascii="Open Sans" w:cs="Open Sans" w:eastAsia="Open Sans" w:hAnsi="Open Sans"/>
                <w:b w:val="0"/>
                <w:rtl w:val="0"/>
              </w:rPr>
              <w:t xml:space="preserve">Extremadura</w:t>
            </w:r>
            <w:r w:rsidDel="00000000" w:rsidR="00000000" w:rsidRPr="00000000">
              <w:rPr>
                <w:rtl w:val="0"/>
              </w:rPr>
            </w:r>
          </w:p>
        </w:tc>
        <w:tc>
          <w:tcPr>
            <w:vAlign w:val="bottom"/>
          </w:tcPr>
          <w:p w:rsidR="00000000" w:rsidDel="00000000" w:rsidP="00000000" w:rsidRDefault="00000000" w:rsidRPr="00000000" w14:paraId="0000004D">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6,70 €</w:t>
            </w:r>
          </w:p>
        </w:tc>
        <w:tc>
          <w:tcPr>
            <w:vAlign w:val="bottom"/>
          </w:tcPr>
          <w:p w:rsidR="00000000" w:rsidDel="00000000" w:rsidP="00000000" w:rsidRDefault="00000000" w:rsidRPr="00000000" w14:paraId="0000004E">
            <w:pPr>
              <w:jc w:val="center"/>
              <w:rPr>
                <w:rFonts w:ascii="Open Sans" w:cs="Open Sans" w:eastAsia="Open Sans" w:hAnsi="Open Sans"/>
                <w:color w:val="9c0006"/>
                <w:sz w:val="22"/>
                <w:szCs w:val="22"/>
              </w:rPr>
            </w:pPr>
            <w:r w:rsidDel="00000000" w:rsidR="00000000" w:rsidRPr="00000000">
              <w:rPr>
                <w:rFonts w:ascii="Open Sans" w:cs="Open Sans" w:eastAsia="Open Sans" w:hAnsi="Open Sans"/>
                <w:color w:val="000000"/>
                <w:sz w:val="22"/>
                <w:szCs w:val="22"/>
                <w:rtl w:val="0"/>
              </w:rPr>
              <w:t xml:space="preserve">3,1%</w:t>
            </w:r>
            <w:r w:rsidDel="00000000" w:rsidR="00000000" w:rsidRPr="00000000">
              <w:rPr>
                <w:rtl w:val="0"/>
              </w:rPr>
            </w:r>
          </w:p>
        </w:tc>
        <w:tc>
          <w:tcPr>
            <w:vAlign w:val="bottom"/>
          </w:tcPr>
          <w:p w:rsidR="00000000" w:rsidDel="00000000" w:rsidP="00000000" w:rsidRDefault="00000000" w:rsidRPr="00000000" w14:paraId="0000004F">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11,3%</w:t>
            </w:r>
          </w:p>
        </w:tc>
        <w:tc>
          <w:tcPr>
            <w:vAlign w:val="bottom"/>
          </w:tcPr>
          <w:p w:rsidR="00000000" w:rsidDel="00000000" w:rsidP="00000000" w:rsidRDefault="00000000" w:rsidRPr="00000000" w14:paraId="00000050">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9c0006"/>
                <w:sz w:val="22"/>
                <w:szCs w:val="22"/>
                <w:rtl w:val="0"/>
              </w:rPr>
              <w:t xml:space="preserve">-49,0%</w:t>
            </w:r>
            <w:r w:rsidDel="00000000" w:rsidR="00000000" w:rsidRPr="00000000">
              <w:rPr>
                <w:rtl w:val="0"/>
              </w:rPr>
            </w:r>
          </w:p>
        </w:tc>
      </w:tr>
      <w:tr>
        <w:trPr>
          <w:cantSplit w:val="0"/>
          <w:trHeight w:val="283" w:hRule="atLeast"/>
          <w:tblHeader w:val="0"/>
        </w:trPr>
        <w:tc>
          <w:tcPr/>
          <w:p w:rsidR="00000000" w:rsidDel="00000000" w:rsidP="00000000" w:rsidRDefault="00000000" w:rsidRPr="00000000" w14:paraId="00000051">
            <w:pPr>
              <w:rPr>
                <w:rFonts w:ascii="Open Sans" w:cs="Open Sans" w:eastAsia="Open Sans" w:hAnsi="Open Sans"/>
                <w:sz w:val="22"/>
                <w:szCs w:val="22"/>
              </w:rPr>
            </w:pPr>
            <w:r w:rsidDel="00000000" w:rsidR="00000000" w:rsidRPr="00000000">
              <w:rPr>
                <w:rFonts w:ascii="Open Sans" w:cs="Open Sans" w:eastAsia="Open Sans" w:hAnsi="Open Sans"/>
                <w:b w:val="0"/>
                <w:rtl w:val="0"/>
              </w:rPr>
              <w:t xml:space="preserve">Aragón</w:t>
            </w:r>
            <w:r w:rsidDel="00000000" w:rsidR="00000000" w:rsidRPr="00000000">
              <w:rPr>
                <w:rtl w:val="0"/>
              </w:rPr>
            </w:r>
          </w:p>
        </w:tc>
        <w:tc>
          <w:tcPr>
            <w:vAlign w:val="bottom"/>
          </w:tcPr>
          <w:p w:rsidR="00000000" w:rsidDel="00000000" w:rsidP="00000000" w:rsidRDefault="00000000" w:rsidRPr="00000000" w14:paraId="00000052">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10,07 €</w:t>
            </w:r>
          </w:p>
        </w:tc>
        <w:tc>
          <w:tcPr>
            <w:vAlign w:val="bottom"/>
          </w:tcPr>
          <w:p w:rsidR="00000000" w:rsidDel="00000000" w:rsidP="00000000" w:rsidRDefault="00000000" w:rsidRPr="00000000" w14:paraId="00000053">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2,5%</w:t>
            </w:r>
          </w:p>
        </w:tc>
        <w:tc>
          <w:tcPr>
            <w:vAlign w:val="bottom"/>
          </w:tcPr>
          <w:p w:rsidR="00000000" w:rsidDel="00000000" w:rsidP="00000000" w:rsidRDefault="00000000" w:rsidRPr="00000000" w14:paraId="00000054">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10,9%</w:t>
            </w:r>
          </w:p>
        </w:tc>
        <w:tc>
          <w:tcPr>
            <w:vAlign w:val="bottom"/>
          </w:tcPr>
          <w:p w:rsidR="00000000" w:rsidDel="00000000" w:rsidP="00000000" w:rsidRDefault="00000000" w:rsidRPr="00000000" w14:paraId="00000055">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9c0006"/>
                <w:sz w:val="22"/>
                <w:szCs w:val="22"/>
                <w:rtl w:val="0"/>
              </w:rPr>
              <w:t xml:space="preserve">-23,3%</w:t>
            </w:r>
            <w:r w:rsidDel="00000000" w:rsidR="00000000" w:rsidRPr="00000000">
              <w:rPr>
                <w:rtl w:val="0"/>
              </w:rPr>
            </w:r>
          </w:p>
        </w:tc>
      </w:tr>
      <w:tr>
        <w:trPr>
          <w:cantSplit w:val="0"/>
          <w:trHeight w:val="283" w:hRule="atLeast"/>
          <w:tblHeader w:val="0"/>
        </w:trPr>
        <w:tc>
          <w:tcPr/>
          <w:p w:rsidR="00000000" w:rsidDel="00000000" w:rsidP="00000000" w:rsidRDefault="00000000" w:rsidRPr="00000000" w14:paraId="00000056">
            <w:pPr>
              <w:rPr>
                <w:rFonts w:ascii="Open Sans" w:cs="Open Sans" w:eastAsia="Open Sans" w:hAnsi="Open Sans"/>
                <w:sz w:val="22"/>
                <w:szCs w:val="22"/>
              </w:rPr>
            </w:pPr>
            <w:r w:rsidDel="00000000" w:rsidR="00000000" w:rsidRPr="00000000">
              <w:rPr>
                <w:rFonts w:ascii="Open Sans" w:cs="Open Sans" w:eastAsia="Open Sans" w:hAnsi="Open Sans"/>
                <w:b w:val="0"/>
                <w:rtl w:val="0"/>
              </w:rPr>
              <w:t xml:space="preserve">País Vasco</w:t>
            </w:r>
            <w:r w:rsidDel="00000000" w:rsidR="00000000" w:rsidRPr="00000000">
              <w:rPr>
                <w:rtl w:val="0"/>
              </w:rPr>
            </w:r>
          </w:p>
        </w:tc>
        <w:tc>
          <w:tcPr>
            <w:vAlign w:val="bottom"/>
          </w:tcPr>
          <w:p w:rsidR="00000000" w:rsidDel="00000000" w:rsidP="00000000" w:rsidRDefault="00000000" w:rsidRPr="00000000" w14:paraId="00000057">
            <w:pPr>
              <w:jc w:val="center"/>
              <w:rPr>
                <w:rFonts w:ascii="Open Sans" w:cs="Open Sans" w:eastAsia="Open Sans" w:hAnsi="Open Sans"/>
                <w:color w:val="9c0006"/>
                <w:sz w:val="22"/>
                <w:szCs w:val="22"/>
              </w:rPr>
            </w:pPr>
            <w:r w:rsidDel="00000000" w:rsidR="00000000" w:rsidRPr="00000000">
              <w:rPr>
                <w:rFonts w:ascii="Open Sans" w:cs="Open Sans" w:eastAsia="Open Sans" w:hAnsi="Open Sans"/>
                <w:color w:val="000000"/>
                <w:sz w:val="22"/>
                <w:szCs w:val="22"/>
                <w:rtl w:val="0"/>
              </w:rPr>
              <w:t xml:space="preserve">16,75 €</w:t>
            </w:r>
            <w:r w:rsidDel="00000000" w:rsidR="00000000" w:rsidRPr="00000000">
              <w:rPr>
                <w:rtl w:val="0"/>
              </w:rPr>
            </w:r>
          </w:p>
        </w:tc>
        <w:tc>
          <w:tcPr>
            <w:vAlign w:val="bottom"/>
          </w:tcPr>
          <w:p w:rsidR="00000000" w:rsidDel="00000000" w:rsidP="00000000" w:rsidRDefault="00000000" w:rsidRPr="00000000" w14:paraId="00000058">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3,4%</w:t>
            </w:r>
          </w:p>
        </w:tc>
        <w:tc>
          <w:tcPr>
            <w:vAlign w:val="bottom"/>
          </w:tcPr>
          <w:p w:rsidR="00000000" w:rsidDel="00000000" w:rsidP="00000000" w:rsidRDefault="00000000" w:rsidRPr="00000000" w14:paraId="00000059">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10,2%</w:t>
            </w:r>
          </w:p>
        </w:tc>
        <w:tc>
          <w:tcPr>
            <w:vAlign w:val="bottom"/>
          </w:tcPr>
          <w:p w:rsidR="00000000" w:rsidDel="00000000" w:rsidP="00000000" w:rsidRDefault="00000000" w:rsidRPr="00000000" w14:paraId="0000005A">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27,6%</w:t>
            </w:r>
          </w:p>
        </w:tc>
      </w:tr>
      <w:tr>
        <w:trPr>
          <w:cantSplit w:val="0"/>
          <w:trHeight w:val="283" w:hRule="atLeast"/>
          <w:tblHeader w:val="0"/>
        </w:trPr>
        <w:tc>
          <w:tcPr/>
          <w:p w:rsidR="00000000" w:rsidDel="00000000" w:rsidP="00000000" w:rsidRDefault="00000000" w:rsidRPr="00000000" w14:paraId="0000005B">
            <w:pPr>
              <w:rPr>
                <w:rFonts w:ascii="Open Sans" w:cs="Open Sans" w:eastAsia="Open Sans" w:hAnsi="Open Sans"/>
                <w:sz w:val="22"/>
                <w:szCs w:val="22"/>
              </w:rPr>
            </w:pPr>
            <w:r w:rsidDel="00000000" w:rsidR="00000000" w:rsidRPr="00000000">
              <w:rPr>
                <w:rFonts w:ascii="Open Sans" w:cs="Open Sans" w:eastAsia="Open Sans" w:hAnsi="Open Sans"/>
                <w:b w:val="0"/>
                <w:rtl w:val="0"/>
              </w:rPr>
              <w:t xml:space="preserve">Navarra</w:t>
            </w:r>
            <w:r w:rsidDel="00000000" w:rsidR="00000000" w:rsidRPr="00000000">
              <w:rPr>
                <w:rtl w:val="0"/>
              </w:rPr>
            </w:r>
          </w:p>
        </w:tc>
        <w:tc>
          <w:tcPr>
            <w:vAlign w:val="bottom"/>
          </w:tcPr>
          <w:p w:rsidR="00000000" w:rsidDel="00000000" w:rsidP="00000000" w:rsidRDefault="00000000" w:rsidRPr="00000000" w14:paraId="0000005C">
            <w:pPr>
              <w:jc w:val="center"/>
              <w:rPr>
                <w:rFonts w:ascii="Open Sans" w:cs="Open Sans" w:eastAsia="Open Sans" w:hAnsi="Open Sans"/>
                <w:color w:val="9c0006"/>
                <w:sz w:val="22"/>
                <w:szCs w:val="22"/>
              </w:rPr>
            </w:pPr>
            <w:r w:rsidDel="00000000" w:rsidR="00000000" w:rsidRPr="00000000">
              <w:rPr>
                <w:rFonts w:ascii="Open Sans" w:cs="Open Sans" w:eastAsia="Open Sans" w:hAnsi="Open Sans"/>
                <w:color w:val="000000"/>
                <w:sz w:val="22"/>
                <w:szCs w:val="22"/>
                <w:rtl w:val="0"/>
              </w:rPr>
              <w:t xml:space="preserve">12,13 €</w:t>
            </w:r>
            <w:r w:rsidDel="00000000" w:rsidR="00000000" w:rsidRPr="00000000">
              <w:rPr>
                <w:rtl w:val="0"/>
              </w:rPr>
            </w:r>
          </w:p>
        </w:tc>
        <w:tc>
          <w:tcPr>
            <w:vAlign w:val="bottom"/>
          </w:tcPr>
          <w:p w:rsidR="00000000" w:rsidDel="00000000" w:rsidP="00000000" w:rsidRDefault="00000000" w:rsidRPr="00000000" w14:paraId="0000005D">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0,7%</w:t>
            </w:r>
          </w:p>
        </w:tc>
        <w:tc>
          <w:tcPr>
            <w:vAlign w:val="bottom"/>
          </w:tcPr>
          <w:p w:rsidR="00000000" w:rsidDel="00000000" w:rsidP="00000000" w:rsidRDefault="00000000" w:rsidRPr="00000000" w14:paraId="0000005E">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10,1%</w:t>
            </w:r>
          </w:p>
        </w:tc>
        <w:tc>
          <w:tcPr>
            <w:vAlign w:val="bottom"/>
          </w:tcPr>
          <w:p w:rsidR="00000000" w:rsidDel="00000000" w:rsidP="00000000" w:rsidRDefault="00000000" w:rsidRPr="00000000" w14:paraId="0000005F">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9c0006"/>
                <w:sz w:val="22"/>
                <w:szCs w:val="22"/>
                <w:rtl w:val="0"/>
              </w:rPr>
              <w:t xml:space="preserve">-7,6%</w:t>
            </w:r>
            <w:r w:rsidDel="00000000" w:rsidR="00000000" w:rsidRPr="00000000">
              <w:rPr>
                <w:rtl w:val="0"/>
              </w:rPr>
            </w:r>
          </w:p>
        </w:tc>
      </w:tr>
      <w:tr>
        <w:trPr>
          <w:cantSplit w:val="0"/>
          <w:trHeight w:val="283" w:hRule="atLeast"/>
          <w:tblHeader w:val="0"/>
        </w:trPr>
        <w:tc>
          <w:tcPr/>
          <w:p w:rsidR="00000000" w:rsidDel="00000000" w:rsidP="00000000" w:rsidRDefault="00000000" w:rsidRPr="00000000" w14:paraId="00000060">
            <w:pPr>
              <w:rPr>
                <w:rFonts w:ascii="Open Sans" w:cs="Open Sans" w:eastAsia="Open Sans" w:hAnsi="Open Sans"/>
                <w:sz w:val="22"/>
                <w:szCs w:val="22"/>
              </w:rPr>
            </w:pPr>
            <w:r w:rsidDel="00000000" w:rsidR="00000000" w:rsidRPr="00000000">
              <w:rPr>
                <w:rFonts w:ascii="Open Sans" w:cs="Open Sans" w:eastAsia="Open Sans" w:hAnsi="Open Sans"/>
                <w:b w:val="0"/>
                <w:rtl w:val="0"/>
              </w:rPr>
              <w:t xml:space="preserve">Andalucía</w:t>
            </w:r>
            <w:r w:rsidDel="00000000" w:rsidR="00000000" w:rsidRPr="00000000">
              <w:rPr>
                <w:rtl w:val="0"/>
              </w:rPr>
            </w:r>
          </w:p>
        </w:tc>
        <w:tc>
          <w:tcPr>
            <w:vAlign w:val="bottom"/>
          </w:tcPr>
          <w:p w:rsidR="00000000" w:rsidDel="00000000" w:rsidP="00000000" w:rsidRDefault="00000000" w:rsidRPr="00000000" w14:paraId="00000061">
            <w:pPr>
              <w:jc w:val="center"/>
              <w:rPr>
                <w:rFonts w:ascii="Open Sans" w:cs="Open Sans" w:eastAsia="Open Sans" w:hAnsi="Open Sans"/>
                <w:color w:val="9c0006"/>
                <w:sz w:val="22"/>
                <w:szCs w:val="22"/>
              </w:rPr>
            </w:pPr>
            <w:r w:rsidDel="00000000" w:rsidR="00000000" w:rsidRPr="00000000">
              <w:rPr>
                <w:rFonts w:ascii="Open Sans" w:cs="Open Sans" w:eastAsia="Open Sans" w:hAnsi="Open Sans"/>
                <w:color w:val="000000"/>
                <w:sz w:val="22"/>
                <w:szCs w:val="22"/>
                <w:rtl w:val="0"/>
              </w:rPr>
              <w:t xml:space="preserve">10,86 €</w:t>
            </w:r>
            <w:r w:rsidDel="00000000" w:rsidR="00000000" w:rsidRPr="00000000">
              <w:rPr>
                <w:rtl w:val="0"/>
              </w:rPr>
            </w:r>
          </w:p>
        </w:tc>
        <w:tc>
          <w:tcPr>
            <w:vAlign w:val="bottom"/>
          </w:tcPr>
          <w:p w:rsidR="00000000" w:rsidDel="00000000" w:rsidP="00000000" w:rsidRDefault="00000000" w:rsidRPr="00000000" w14:paraId="00000062">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3,4%</w:t>
            </w:r>
          </w:p>
        </w:tc>
        <w:tc>
          <w:tcPr>
            <w:vAlign w:val="bottom"/>
          </w:tcPr>
          <w:p w:rsidR="00000000" w:rsidDel="00000000" w:rsidP="00000000" w:rsidRDefault="00000000" w:rsidRPr="00000000" w14:paraId="00000063">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8,7%</w:t>
            </w:r>
          </w:p>
        </w:tc>
        <w:tc>
          <w:tcPr>
            <w:vAlign w:val="bottom"/>
          </w:tcPr>
          <w:p w:rsidR="00000000" w:rsidDel="00000000" w:rsidP="00000000" w:rsidRDefault="00000000" w:rsidRPr="00000000" w14:paraId="00000064">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9c0006"/>
                <w:sz w:val="22"/>
                <w:szCs w:val="22"/>
                <w:rtl w:val="0"/>
              </w:rPr>
              <w:t xml:space="preserve">-17,3%</w:t>
            </w:r>
            <w:r w:rsidDel="00000000" w:rsidR="00000000" w:rsidRPr="00000000">
              <w:rPr>
                <w:rtl w:val="0"/>
              </w:rPr>
            </w:r>
          </w:p>
        </w:tc>
      </w:tr>
      <w:tr>
        <w:trPr>
          <w:cantSplit w:val="0"/>
          <w:trHeight w:val="283" w:hRule="atLeast"/>
          <w:tblHeader w:val="0"/>
        </w:trPr>
        <w:tc>
          <w:tcPr/>
          <w:p w:rsidR="00000000" w:rsidDel="00000000" w:rsidP="00000000" w:rsidRDefault="00000000" w:rsidRPr="00000000" w14:paraId="00000065">
            <w:pPr>
              <w:rPr>
                <w:rFonts w:ascii="Open Sans" w:cs="Open Sans" w:eastAsia="Open Sans" w:hAnsi="Open Sans"/>
                <w:sz w:val="22"/>
                <w:szCs w:val="22"/>
              </w:rPr>
            </w:pPr>
            <w:r w:rsidDel="00000000" w:rsidR="00000000" w:rsidRPr="00000000">
              <w:rPr>
                <w:rFonts w:ascii="Open Sans" w:cs="Open Sans" w:eastAsia="Open Sans" w:hAnsi="Open Sans"/>
                <w:b w:val="0"/>
                <w:rtl w:val="0"/>
              </w:rPr>
              <w:t xml:space="preserve">Canarias</w:t>
            </w:r>
            <w:r w:rsidDel="00000000" w:rsidR="00000000" w:rsidRPr="00000000">
              <w:rPr>
                <w:rtl w:val="0"/>
              </w:rPr>
            </w:r>
          </w:p>
        </w:tc>
        <w:tc>
          <w:tcPr>
            <w:vAlign w:val="bottom"/>
          </w:tcPr>
          <w:p w:rsidR="00000000" w:rsidDel="00000000" w:rsidP="00000000" w:rsidRDefault="00000000" w:rsidRPr="00000000" w14:paraId="00000066">
            <w:pPr>
              <w:jc w:val="center"/>
              <w:rPr>
                <w:rFonts w:ascii="Open Sans" w:cs="Open Sans" w:eastAsia="Open Sans" w:hAnsi="Open Sans"/>
                <w:color w:val="9c0006"/>
                <w:sz w:val="22"/>
                <w:szCs w:val="22"/>
              </w:rPr>
            </w:pPr>
            <w:r w:rsidDel="00000000" w:rsidR="00000000" w:rsidRPr="00000000">
              <w:rPr>
                <w:rFonts w:ascii="Open Sans" w:cs="Open Sans" w:eastAsia="Open Sans" w:hAnsi="Open Sans"/>
                <w:color w:val="000000"/>
                <w:sz w:val="22"/>
                <w:szCs w:val="22"/>
                <w:rtl w:val="0"/>
              </w:rPr>
              <w:t xml:space="preserve">13,92 €</w:t>
            </w:r>
            <w:r w:rsidDel="00000000" w:rsidR="00000000" w:rsidRPr="00000000">
              <w:rPr>
                <w:rtl w:val="0"/>
              </w:rPr>
            </w:r>
          </w:p>
        </w:tc>
        <w:tc>
          <w:tcPr>
            <w:vAlign w:val="bottom"/>
          </w:tcPr>
          <w:p w:rsidR="00000000" w:rsidDel="00000000" w:rsidP="00000000" w:rsidRDefault="00000000" w:rsidRPr="00000000" w14:paraId="00000067">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9c0006"/>
                <w:sz w:val="22"/>
                <w:szCs w:val="22"/>
                <w:rtl w:val="0"/>
              </w:rPr>
              <w:t xml:space="preserve">-1,8%</w:t>
            </w:r>
            <w:r w:rsidDel="00000000" w:rsidR="00000000" w:rsidRPr="00000000">
              <w:rPr>
                <w:rtl w:val="0"/>
              </w:rPr>
            </w:r>
          </w:p>
        </w:tc>
        <w:tc>
          <w:tcPr>
            <w:vAlign w:val="bottom"/>
          </w:tcPr>
          <w:p w:rsidR="00000000" w:rsidDel="00000000" w:rsidP="00000000" w:rsidRDefault="00000000" w:rsidRPr="00000000" w14:paraId="00000068">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7,4%</w:t>
            </w:r>
          </w:p>
        </w:tc>
        <w:tc>
          <w:tcPr>
            <w:vAlign w:val="bottom"/>
          </w:tcPr>
          <w:p w:rsidR="00000000" w:rsidDel="00000000" w:rsidP="00000000" w:rsidRDefault="00000000" w:rsidRPr="00000000" w14:paraId="00000069">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6%</w:t>
            </w:r>
          </w:p>
        </w:tc>
      </w:tr>
      <w:tr>
        <w:trPr>
          <w:cantSplit w:val="0"/>
          <w:trHeight w:val="283" w:hRule="atLeast"/>
          <w:tblHeader w:val="0"/>
        </w:trPr>
        <w:tc>
          <w:tcPr/>
          <w:p w:rsidR="00000000" w:rsidDel="00000000" w:rsidP="00000000" w:rsidRDefault="00000000" w:rsidRPr="00000000" w14:paraId="0000006A">
            <w:pPr>
              <w:rPr>
                <w:rFonts w:ascii="Open Sans" w:cs="Open Sans" w:eastAsia="Open Sans" w:hAnsi="Open Sans"/>
                <w:sz w:val="22"/>
                <w:szCs w:val="22"/>
              </w:rPr>
            </w:pPr>
            <w:r w:rsidDel="00000000" w:rsidR="00000000" w:rsidRPr="00000000">
              <w:rPr>
                <w:rFonts w:ascii="Open Sans" w:cs="Open Sans" w:eastAsia="Open Sans" w:hAnsi="Open Sans"/>
                <w:b w:val="0"/>
                <w:rtl w:val="0"/>
              </w:rPr>
              <w:t xml:space="preserve">Castilla y León</w:t>
            </w:r>
            <w:r w:rsidDel="00000000" w:rsidR="00000000" w:rsidRPr="00000000">
              <w:rPr>
                <w:rtl w:val="0"/>
              </w:rPr>
            </w:r>
          </w:p>
        </w:tc>
        <w:tc>
          <w:tcPr>
            <w:vAlign w:val="bottom"/>
          </w:tcPr>
          <w:p w:rsidR="00000000" w:rsidDel="00000000" w:rsidP="00000000" w:rsidRDefault="00000000" w:rsidRPr="00000000" w14:paraId="0000006B">
            <w:pPr>
              <w:jc w:val="center"/>
              <w:rPr>
                <w:rFonts w:ascii="Open Sans" w:cs="Open Sans" w:eastAsia="Open Sans" w:hAnsi="Open Sans"/>
                <w:color w:val="9c0006"/>
                <w:sz w:val="22"/>
                <w:szCs w:val="22"/>
              </w:rPr>
            </w:pPr>
            <w:r w:rsidDel="00000000" w:rsidR="00000000" w:rsidRPr="00000000">
              <w:rPr>
                <w:rFonts w:ascii="Open Sans" w:cs="Open Sans" w:eastAsia="Open Sans" w:hAnsi="Open Sans"/>
                <w:color w:val="000000"/>
                <w:sz w:val="22"/>
                <w:szCs w:val="22"/>
                <w:rtl w:val="0"/>
              </w:rPr>
              <w:t xml:space="preserve">9,09 €</w:t>
            </w:r>
            <w:r w:rsidDel="00000000" w:rsidR="00000000" w:rsidRPr="00000000">
              <w:rPr>
                <w:rtl w:val="0"/>
              </w:rPr>
            </w:r>
          </w:p>
        </w:tc>
        <w:tc>
          <w:tcPr>
            <w:vAlign w:val="bottom"/>
          </w:tcPr>
          <w:p w:rsidR="00000000" w:rsidDel="00000000" w:rsidP="00000000" w:rsidRDefault="00000000" w:rsidRPr="00000000" w14:paraId="0000006C">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1,5%</w:t>
            </w:r>
          </w:p>
        </w:tc>
        <w:tc>
          <w:tcPr>
            <w:vAlign w:val="bottom"/>
          </w:tcPr>
          <w:p w:rsidR="00000000" w:rsidDel="00000000" w:rsidP="00000000" w:rsidRDefault="00000000" w:rsidRPr="00000000" w14:paraId="0000006D">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7,2%</w:t>
            </w:r>
          </w:p>
        </w:tc>
        <w:tc>
          <w:tcPr>
            <w:vAlign w:val="bottom"/>
          </w:tcPr>
          <w:p w:rsidR="00000000" w:rsidDel="00000000" w:rsidP="00000000" w:rsidRDefault="00000000" w:rsidRPr="00000000" w14:paraId="0000006E">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9c0006"/>
                <w:sz w:val="22"/>
                <w:szCs w:val="22"/>
                <w:rtl w:val="0"/>
              </w:rPr>
              <w:t xml:space="preserve">-30,8%</w:t>
            </w:r>
            <w:r w:rsidDel="00000000" w:rsidR="00000000" w:rsidRPr="00000000">
              <w:rPr>
                <w:rtl w:val="0"/>
              </w:rPr>
            </w:r>
          </w:p>
        </w:tc>
      </w:tr>
      <w:tr>
        <w:trPr>
          <w:cantSplit w:val="0"/>
          <w:trHeight w:val="283" w:hRule="atLeast"/>
          <w:tblHeader w:val="0"/>
        </w:trPr>
        <w:tc>
          <w:tcPr/>
          <w:p w:rsidR="00000000" w:rsidDel="00000000" w:rsidP="00000000" w:rsidRDefault="00000000" w:rsidRPr="00000000" w14:paraId="0000006F">
            <w:pPr>
              <w:rPr>
                <w:rFonts w:ascii="Open Sans" w:cs="Open Sans" w:eastAsia="Open Sans" w:hAnsi="Open Sans"/>
                <w:sz w:val="22"/>
                <w:szCs w:val="22"/>
              </w:rPr>
            </w:pPr>
            <w:r w:rsidDel="00000000" w:rsidR="00000000" w:rsidRPr="00000000">
              <w:rPr>
                <w:rFonts w:ascii="Open Sans" w:cs="Open Sans" w:eastAsia="Open Sans" w:hAnsi="Open Sans"/>
                <w:b w:val="0"/>
                <w:rtl w:val="0"/>
              </w:rPr>
              <w:t xml:space="preserve">Baleares</w:t>
            </w:r>
            <w:r w:rsidDel="00000000" w:rsidR="00000000" w:rsidRPr="00000000">
              <w:rPr>
                <w:rtl w:val="0"/>
              </w:rPr>
            </w:r>
          </w:p>
        </w:tc>
        <w:tc>
          <w:tcPr>
            <w:vAlign w:val="bottom"/>
          </w:tcPr>
          <w:p w:rsidR="00000000" w:rsidDel="00000000" w:rsidP="00000000" w:rsidRDefault="00000000" w:rsidRPr="00000000" w14:paraId="00000070">
            <w:pPr>
              <w:jc w:val="center"/>
              <w:rPr>
                <w:rFonts w:ascii="Open Sans" w:cs="Open Sans" w:eastAsia="Open Sans" w:hAnsi="Open Sans"/>
                <w:color w:val="9c0006"/>
                <w:sz w:val="22"/>
                <w:szCs w:val="22"/>
              </w:rPr>
            </w:pPr>
            <w:r w:rsidDel="00000000" w:rsidR="00000000" w:rsidRPr="00000000">
              <w:rPr>
                <w:rFonts w:ascii="Open Sans" w:cs="Open Sans" w:eastAsia="Open Sans" w:hAnsi="Open Sans"/>
                <w:color w:val="000000"/>
                <w:sz w:val="22"/>
                <w:szCs w:val="22"/>
                <w:rtl w:val="0"/>
              </w:rPr>
              <w:t xml:space="preserve">17,35 €</w:t>
            </w:r>
            <w:r w:rsidDel="00000000" w:rsidR="00000000" w:rsidRPr="00000000">
              <w:rPr>
                <w:rtl w:val="0"/>
              </w:rPr>
            </w:r>
          </w:p>
        </w:tc>
        <w:tc>
          <w:tcPr>
            <w:vAlign w:val="bottom"/>
          </w:tcPr>
          <w:p w:rsidR="00000000" w:rsidDel="00000000" w:rsidP="00000000" w:rsidRDefault="00000000" w:rsidRPr="00000000" w14:paraId="00000071">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0,0%</w:t>
            </w:r>
          </w:p>
        </w:tc>
        <w:tc>
          <w:tcPr>
            <w:vAlign w:val="bottom"/>
          </w:tcPr>
          <w:p w:rsidR="00000000" w:rsidDel="00000000" w:rsidP="00000000" w:rsidRDefault="00000000" w:rsidRPr="00000000" w14:paraId="00000072">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2,9%</w:t>
            </w:r>
          </w:p>
        </w:tc>
        <w:tc>
          <w:tcPr>
            <w:vAlign w:val="bottom"/>
          </w:tcPr>
          <w:p w:rsidR="00000000" w:rsidDel="00000000" w:rsidP="00000000" w:rsidRDefault="00000000" w:rsidRPr="00000000" w14:paraId="00000073">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32,1%</w:t>
            </w:r>
          </w:p>
        </w:tc>
      </w:tr>
      <w:tr>
        <w:trPr>
          <w:cantSplit w:val="0"/>
          <w:trHeight w:val="283" w:hRule="atLeast"/>
          <w:tblHeader w:val="0"/>
        </w:trPr>
        <w:tc>
          <w:tcPr/>
          <w:p w:rsidR="00000000" w:rsidDel="00000000" w:rsidP="00000000" w:rsidRDefault="00000000" w:rsidRPr="00000000" w14:paraId="00000074">
            <w:pPr>
              <w:rPr>
                <w:rFonts w:ascii="Open Sans" w:cs="Open Sans" w:eastAsia="Open Sans" w:hAnsi="Open Sans"/>
                <w:sz w:val="22"/>
                <w:szCs w:val="22"/>
              </w:rPr>
            </w:pPr>
            <w:r w:rsidDel="00000000" w:rsidR="00000000" w:rsidRPr="00000000">
              <w:rPr>
                <w:rFonts w:ascii="Open Sans" w:cs="Open Sans" w:eastAsia="Open Sans" w:hAnsi="Open Sans"/>
                <w:b w:val="0"/>
                <w:rtl w:val="0"/>
              </w:rPr>
              <w:t xml:space="preserve">Cantabria</w:t>
            </w:r>
            <w:r w:rsidDel="00000000" w:rsidR="00000000" w:rsidRPr="00000000">
              <w:rPr>
                <w:rtl w:val="0"/>
              </w:rPr>
            </w:r>
          </w:p>
        </w:tc>
        <w:tc>
          <w:tcPr>
            <w:vAlign w:val="bottom"/>
          </w:tcPr>
          <w:p w:rsidR="00000000" w:rsidDel="00000000" w:rsidP="00000000" w:rsidRDefault="00000000" w:rsidRPr="00000000" w14:paraId="00000075">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11,46 €</w:t>
            </w:r>
          </w:p>
        </w:tc>
        <w:tc>
          <w:tcPr>
            <w:vAlign w:val="bottom"/>
          </w:tcPr>
          <w:p w:rsidR="00000000" w:rsidDel="00000000" w:rsidP="00000000" w:rsidRDefault="00000000" w:rsidRPr="00000000" w14:paraId="00000076">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1,8%</w:t>
            </w:r>
          </w:p>
        </w:tc>
        <w:tc>
          <w:tcPr>
            <w:vAlign w:val="bottom"/>
          </w:tcPr>
          <w:p w:rsidR="00000000" w:rsidDel="00000000" w:rsidP="00000000" w:rsidRDefault="00000000" w:rsidRPr="00000000" w14:paraId="00000077">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9c0006"/>
                <w:sz w:val="22"/>
                <w:szCs w:val="22"/>
                <w:rtl w:val="0"/>
              </w:rPr>
              <w:t xml:space="preserve">-0,6%</w:t>
            </w:r>
            <w:r w:rsidDel="00000000" w:rsidR="00000000" w:rsidRPr="00000000">
              <w:rPr>
                <w:rtl w:val="0"/>
              </w:rPr>
            </w:r>
          </w:p>
        </w:tc>
        <w:tc>
          <w:tcPr>
            <w:vAlign w:val="bottom"/>
          </w:tcPr>
          <w:p w:rsidR="00000000" w:rsidDel="00000000" w:rsidP="00000000" w:rsidRDefault="00000000" w:rsidRPr="00000000" w14:paraId="00000078">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9c0006"/>
                <w:sz w:val="22"/>
                <w:szCs w:val="22"/>
                <w:rtl w:val="0"/>
              </w:rPr>
              <w:t xml:space="preserve">-12,7%</w:t>
            </w:r>
            <w:r w:rsidDel="00000000" w:rsidR="00000000" w:rsidRPr="00000000">
              <w:rPr>
                <w:rtl w:val="0"/>
              </w:rPr>
            </w:r>
          </w:p>
        </w:tc>
      </w:tr>
      <w:tr>
        <w:trPr>
          <w:cantSplit w:val="0"/>
          <w:trHeight w:val="283" w:hRule="atLeast"/>
          <w:tblHeader w:val="0"/>
        </w:trPr>
        <w:tc>
          <w:tcPr/>
          <w:p w:rsidR="00000000" w:rsidDel="00000000" w:rsidP="00000000" w:rsidRDefault="00000000" w:rsidRPr="00000000" w14:paraId="00000079">
            <w:pPr>
              <w:rPr>
                <w:rFonts w:ascii="Open Sans" w:cs="Open Sans" w:eastAsia="Open Sans" w:hAnsi="Open Sans"/>
                <w:sz w:val="22"/>
                <w:szCs w:val="22"/>
              </w:rPr>
            </w:pPr>
            <w:r w:rsidDel="00000000" w:rsidR="00000000" w:rsidRPr="00000000">
              <w:rPr>
                <w:rFonts w:ascii="Open Sans" w:cs="Open Sans" w:eastAsia="Open Sans" w:hAnsi="Open Sans"/>
                <w:b w:val="0"/>
                <w:rtl w:val="0"/>
              </w:rPr>
              <w:t xml:space="preserve">España</w:t>
            </w:r>
            <w:r w:rsidDel="00000000" w:rsidR="00000000" w:rsidRPr="00000000">
              <w:rPr>
                <w:rtl w:val="0"/>
              </w:rPr>
            </w:r>
          </w:p>
        </w:tc>
        <w:tc>
          <w:tcPr>
            <w:vAlign w:val="bottom"/>
          </w:tcPr>
          <w:p w:rsidR="00000000" w:rsidDel="00000000" w:rsidP="00000000" w:rsidRDefault="00000000" w:rsidRPr="00000000" w14:paraId="0000007A">
            <w:pPr>
              <w:jc w:val="center"/>
              <w:rPr>
                <w:rFonts w:ascii="Open Sans" w:cs="Open Sans" w:eastAsia="Open Sans" w:hAnsi="Open Sans"/>
                <w:color w:val="9c0006"/>
                <w:sz w:val="22"/>
                <w:szCs w:val="22"/>
              </w:rPr>
            </w:pPr>
            <w:r w:rsidDel="00000000" w:rsidR="00000000" w:rsidRPr="00000000">
              <w:rPr>
                <w:rFonts w:ascii="Open Sans" w:cs="Open Sans" w:eastAsia="Open Sans" w:hAnsi="Open Sans"/>
                <w:color w:val="000000"/>
                <w:sz w:val="22"/>
                <w:szCs w:val="22"/>
                <w:rtl w:val="0"/>
              </w:rPr>
              <w:t xml:space="preserve">13,13 €</w:t>
            </w:r>
            <w:r w:rsidDel="00000000" w:rsidR="00000000" w:rsidRPr="00000000">
              <w:rPr>
                <w:rtl w:val="0"/>
              </w:rPr>
            </w:r>
          </w:p>
        </w:tc>
        <w:tc>
          <w:tcPr>
            <w:vAlign w:val="bottom"/>
          </w:tcPr>
          <w:p w:rsidR="00000000" w:rsidDel="00000000" w:rsidP="00000000" w:rsidRDefault="00000000" w:rsidRPr="00000000" w14:paraId="0000007B">
            <w:pPr>
              <w:jc w:val="center"/>
              <w:rPr>
                <w:rFonts w:ascii="Open Sans" w:cs="Open Sans" w:eastAsia="Open Sans" w:hAnsi="Open Sans"/>
                <w:color w:val="9c0006"/>
                <w:sz w:val="22"/>
                <w:szCs w:val="22"/>
              </w:rPr>
            </w:pPr>
            <w:r w:rsidDel="00000000" w:rsidR="00000000" w:rsidRPr="00000000">
              <w:rPr>
                <w:rFonts w:ascii="Open Sans" w:cs="Open Sans" w:eastAsia="Open Sans" w:hAnsi="Open Sans"/>
                <w:color w:val="000000"/>
                <w:sz w:val="22"/>
                <w:szCs w:val="22"/>
                <w:rtl w:val="0"/>
              </w:rPr>
              <w:t xml:space="preserve">6,5%</w:t>
            </w:r>
            <w:r w:rsidDel="00000000" w:rsidR="00000000" w:rsidRPr="00000000">
              <w:rPr>
                <w:rtl w:val="0"/>
              </w:rPr>
            </w:r>
          </w:p>
        </w:tc>
        <w:tc>
          <w:tcPr>
            <w:vAlign w:val="bottom"/>
          </w:tcPr>
          <w:p w:rsidR="00000000" w:rsidDel="00000000" w:rsidP="00000000" w:rsidRDefault="00000000" w:rsidRPr="00000000" w14:paraId="0000007C">
            <w:pPr>
              <w:jc w:val="center"/>
              <w:rPr>
                <w:rFonts w:ascii="Open Sans" w:cs="Open Sans" w:eastAsia="Open Sans" w:hAnsi="Open Sans"/>
                <w:sz w:val="22"/>
                <w:szCs w:val="22"/>
              </w:rPr>
            </w:pPr>
            <w:r w:rsidDel="00000000" w:rsidR="00000000" w:rsidRPr="00000000">
              <w:rPr>
                <w:rFonts w:ascii="Open Sans" w:cs="Open Sans" w:eastAsia="Open Sans" w:hAnsi="Open Sans"/>
                <w:color w:val="000000"/>
                <w:sz w:val="22"/>
                <w:szCs w:val="22"/>
                <w:rtl w:val="0"/>
              </w:rPr>
              <w:t xml:space="preserve">14,7%</w:t>
            </w:r>
            <w:r w:rsidDel="00000000" w:rsidR="00000000" w:rsidRPr="00000000">
              <w:rPr>
                <w:rtl w:val="0"/>
              </w:rPr>
            </w:r>
          </w:p>
        </w:tc>
        <w:tc>
          <w:tcPr>
            <w:vAlign w:val="bottom"/>
          </w:tcPr>
          <w:p w:rsidR="00000000" w:rsidDel="00000000" w:rsidP="00000000" w:rsidRDefault="00000000" w:rsidRPr="00000000" w14:paraId="0000007D">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w:t>
            </w:r>
          </w:p>
        </w:tc>
      </w:tr>
    </w:tbl>
    <w:p w:rsidR="00000000" w:rsidDel="00000000" w:rsidP="00000000" w:rsidRDefault="00000000" w:rsidRPr="00000000" w14:paraId="0000007E">
      <w:pPr>
        <w:pBdr>
          <w:top w:space="0" w:sz="0" w:val="nil"/>
          <w:left w:space="0" w:sz="0" w:val="nil"/>
          <w:bottom w:space="0" w:sz="0" w:val="nil"/>
          <w:right w:space="0" w:sz="0" w:val="nil"/>
          <w:between w:space="0" w:sz="0" w:val="nil"/>
        </w:pBdr>
        <w:shd w:fill="ffffff" w:val="clear"/>
        <w:spacing w:after="280" w:before="280" w:line="276" w:lineRule="auto"/>
        <w:ind w:right="-567"/>
        <w:jc w:val="both"/>
        <w:rPr>
          <w:rFonts w:ascii="Open Sans Light" w:cs="Open Sans Light" w:eastAsia="Open Sans Light" w:hAnsi="Open Sans Light"/>
          <w:b w:val="1"/>
          <w:color w:val="303ab2"/>
          <w:sz w:val="28"/>
          <w:szCs w:val="28"/>
        </w:rPr>
      </w:pPr>
      <w:r w:rsidDel="00000000" w:rsidR="00000000" w:rsidRPr="00000000">
        <w:rPr>
          <w:rFonts w:ascii="Open Sans Light" w:cs="Open Sans Light" w:eastAsia="Open Sans Light" w:hAnsi="Open Sans Light"/>
          <w:b w:val="1"/>
          <w:color w:val="303ab2"/>
          <w:sz w:val="28"/>
          <w:szCs w:val="28"/>
          <w:rtl w:val="0"/>
        </w:rPr>
        <w:t xml:space="preserve">Provincias de España</w:t>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ffffff" w:val="clear"/>
        <w:spacing w:after="280" w:before="280" w:line="276" w:lineRule="auto"/>
        <w:ind w:right="-567"/>
        <w:jc w:val="both"/>
        <w:rPr>
          <w:rFonts w:ascii="Open Sans" w:cs="Open Sans" w:eastAsia="Open Sans" w:hAnsi="Open Sans"/>
          <w:color w:val="000000"/>
        </w:rPr>
      </w:pPr>
      <w:r w:rsidDel="00000000" w:rsidR="00000000" w:rsidRPr="00000000">
        <w:rPr>
          <w:rFonts w:ascii="Open Sans" w:cs="Open Sans" w:eastAsia="Open Sans" w:hAnsi="Open Sans"/>
          <w:b w:val="1"/>
          <w:color w:val="000000"/>
          <w:rtl w:val="0"/>
        </w:rPr>
        <w:t xml:space="preserve">En 46 de las 49 provincias se incrementa el precio interanual de la vivienda en alquiler en noviembre de 2024</w:t>
      </w:r>
      <w:r w:rsidDel="00000000" w:rsidR="00000000" w:rsidRPr="00000000">
        <w:rPr>
          <w:rFonts w:ascii="Open Sans" w:cs="Open Sans" w:eastAsia="Open Sans" w:hAnsi="Open Sans"/>
          <w:color w:val="000000"/>
          <w:rtl w:val="0"/>
        </w:rPr>
        <w:t xml:space="preserve">, exceptuando Cantabria, Teruel y Araba – Álava. Los incrementos superiores al 10% se dan en 22 (45%) provincias, según el Índice Inmobiliario </w:t>
      </w:r>
      <w:hyperlink r:id="rId11">
        <w:r w:rsidDel="00000000" w:rsidR="00000000" w:rsidRPr="00000000">
          <w:rPr>
            <w:rFonts w:ascii="Open Sans" w:cs="Open Sans" w:eastAsia="Open Sans" w:hAnsi="Open Sans"/>
            <w:color w:val="0000ff"/>
            <w:u w:val="single"/>
            <w:rtl w:val="0"/>
          </w:rPr>
          <w:t xml:space="preserve">Fotocasa</w:t>
        </w:r>
      </w:hyperlink>
      <w:r w:rsidDel="00000000" w:rsidR="00000000" w:rsidRPr="00000000">
        <w:rPr>
          <w:rFonts w:ascii="Open Sans" w:cs="Open Sans" w:eastAsia="Open Sans" w:hAnsi="Open Sans"/>
          <w:color w:val="000000"/>
          <w:rtl w:val="0"/>
        </w:rPr>
        <w:t xml:space="preserve">. </w:t>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ffffff" w:val="clear"/>
        <w:spacing w:after="280" w:before="280" w:line="276" w:lineRule="auto"/>
        <w:ind w:right="-567"/>
        <w:jc w:val="both"/>
        <w:rPr>
          <w:rFonts w:ascii="Open Sans" w:cs="Open Sans" w:eastAsia="Open Sans" w:hAnsi="Open Sans"/>
          <w:color w:val="000000"/>
        </w:rPr>
      </w:pPr>
      <w:r w:rsidDel="00000000" w:rsidR="00000000" w:rsidRPr="00000000">
        <w:rPr>
          <w:rFonts w:ascii="Open Sans" w:cs="Open Sans" w:eastAsia="Open Sans" w:hAnsi="Open Sans"/>
          <w:b w:val="1"/>
          <w:color w:val="000000"/>
          <w:rtl w:val="0"/>
        </w:rPr>
        <w:t xml:space="preserve">El orden de las provincias con los incrementos interanuales superior al 10% son</w:t>
      </w:r>
      <w:r w:rsidDel="00000000" w:rsidR="00000000" w:rsidRPr="00000000">
        <w:rPr>
          <w:rFonts w:ascii="Open Sans" w:cs="Open Sans" w:eastAsia="Open Sans" w:hAnsi="Open Sans"/>
          <w:color w:val="000000"/>
          <w:rtl w:val="0"/>
        </w:rPr>
        <w:t xml:space="preserve">: Palencia (25,9%), Huesca (25,2%), Lugo (21,2%), Madrid (20,9%), Asturias (17,5%), Cáceres (17,2%), Zamora (16,2%), Sevilla (16,1%), Gipuzkoa (15,4%), Toledo (14,5%), Barcelona (14,3%), Segovia (14,0%), A Coruña (13,1%), Murcia (12,9%), La Rioja (12,3%), Santa Cruz de Tenerife (11,9%), Girona (11,5%), Alicante (11,4%), Almería (10,3%), Navarra (10,1%), Valencia (10,0%) y Albacete (10,0%). Por otro lado, las provincias con descensos interanuales son: Araba - Álava (-12,1%), Teruel (-1,4%) y Cantabria (-0,6%).</w:t>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ffffff" w:val="clear"/>
        <w:spacing w:after="280" w:before="280" w:line="276" w:lineRule="auto"/>
        <w:ind w:right="-567"/>
        <w:jc w:val="both"/>
        <w:rPr>
          <w:rFonts w:ascii="Open Sans" w:cs="Open Sans" w:eastAsia="Open Sans" w:hAnsi="Open Sans"/>
          <w:color w:val="000000"/>
        </w:rPr>
      </w:pPr>
      <w:r w:rsidDel="00000000" w:rsidR="00000000" w:rsidRPr="00000000">
        <w:rPr>
          <w:rFonts w:ascii="Open Sans" w:cs="Open Sans" w:eastAsia="Open Sans" w:hAnsi="Open Sans"/>
          <w:b w:val="1"/>
          <w:color w:val="000000"/>
          <w:rtl w:val="0"/>
        </w:rPr>
        <w:t xml:space="preserve">Las seis provincias más caras son</w:t>
      </w:r>
      <w:r w:rsidDel="00000000" w:rsidR="00000000" w:rsidRPr="00000000">
        <w:rPr>
          <w:rFonts w:ascii="Open Sans" w:cs="Open Sans" w:eastAsia="Open Sans" w:hAnsi="Open Sans"/>
          <w:color w:val="000000"/>
          <w:rtl w:val="0"/>
        </w:rPr>
        <w:t xml:space="preserve"> Madrid con 20,72 €/m</w:t>
      </w:r>
      <w:r w:rsidDel="00000000" w:rsidR="00000000" w:rsidRPr="00000000">
        <w:rPr>
          <w:rFonts w:ascii="Open Sans" w:cs="Open Sans" w:eastAsia="Open Sans" w:hAnsi="Open Sans"/>
          <w:color w:val="000000"/>
          <w:vertAlign w:val="superscript"/>
          <w:rtl w:val="0"/>
        </w:rPr>
        <w:t xml:space="preserve">2 </w:t>
      </w:r>
      <w:r w:rsidDel="00000000" w:rsidR="00000000" w:rsidRPr="00000000">
        <w:rPr>
          <w:rFonts w:ascii="Open Sans" w:cs="Open Sans" w:eastAsia="Open Sans" w:hAnsi="Open Sans"/>
          <w:color w:val="000000"/>
          <w:rtl w:val="0"/>
        </w:rPr>
        <w:t xml:space="preserve">al mes, Barcelona con 20,28 €/m</w:t>
      </w:r>
      <w:r w:rsidDel="00000000" w:rsidR="00000000" w:rsidRPr="00000000">
        <w:rPr>
          <w:rFonts w:ascii="Open Sans" w:cs="Open Sans" w:eastAsia="Open Sans" w:hAnsi="Open Sans"/>
          <w:color w:val="000000"/>
          <w:vertAlign w:val="superscript"/>
          <w:rtl w:val="0"/>
        </w:rPr>
        <w:t xml:space="preserve">2 </w:t>
      </w:r>
      <w:r w:rsidDel="00000000" w:rsidR="00000000" w:rsidRPr="00000000">
        <w:rPr>
          <w:rFonts w:ascii="Open Sans" w:cs="Open Sans" w:eastAsia="Open Sans" w:hAnsi="Open Sans"/>
          <w:color w:val="000000"/>
          <w:rtl w:val="0"/>
        </w:rPr>
        <w:t xml:space="preserve">al mes, Gipuzkoa con 19,22 €/m</w:t>
      </w:r>
      <w:r w:rsidDel="00000000" w:rsidR="00000000" w:rsidRPr="00000000">
        <w:rPr>
          <w:rFonts w:ascii="Open Sans" w:cs="Open Sans" w:eastAsia="Open Sans" w:hAnsi="Open Sans"/>
          <w:color w:val="000000"/>
          <w:vertAlign w:val="superscript"/>
          <w:rtl w:val="0"/>
        </w:rPr>
        <w:t xml:space="preserve">2 </w:t>
      </w:r>
      <w:r w:rsidDel="00000000" w:rsidR="00000000" w:rsidRPr="00000000">
        <w:rPr>
          <w:rFonts w:ascii="Open Sans" w:cs="Open Sans" w:eastAsia="Open Sans" w:hAnsi="Open Sans"/>
          <w:color w:val="000000"/>
          <w:rtl w:val="0"/>
        </w:rPr>
        <w:t xml:space="preserve">al mes, Illes Balears con 17,35 €/m</w:t>
      </w:r>
      <w:r w:rsidDel="00000000" w:rsidR="00000000" w:rsidRPr="00000000">
        <w:rPr>
          <w:rFonts w:ascii="Open Sans" w:cs="Open Sans" w:eastAsia="Open Sans" w:hAnsi="Open Sans"/>
          <w:color w:val="000000"/>
          <w:vertAlign w:val="superscript"/>
          <w:rtl w:val="0"/>
        </w:rPr>
        <w:t xml:space="preserve">2 </w:t>
      </w:r>
      <w:r w:rsidDel="00000000" w:rsidR="00000000" w:rsidRPr="00000000">
        <w:rPr>
          <w:rFonts w:ascii="Open Sans" w:cs="Open Sans" w:eastAsia="Open Sans" w:hAnsi="Open Sans"/>
          <w:color w:val="000000"/>
          <w:rtl w:val="0"/>
        </w:rPr>
        <w:t xml:space="preserve">al mes, Bizkaia con 16,14 €/m</w:t>
      </w:r>
      <w:r w:rsidDel="00000000" w:rsidR="00000000" w:rsidRPr="00000000">
        <w:rPr>
          <w:rFonts w:ascii="Open Sans" w:cs="Open Sans" w:eastAsia="Open Sans" w:hAnsi="Open Sans"/>
          <w:color w:val="000000"/>
          <w:vertAlign w:val="superscript"/>
          <w:rtl w:val="0"/>
        </w:rPr>
        <w:t xml:space="preserve">2 </w:t>
      </w:r>
      <w:r w:rsidDel="00000000" w:rsidR="00000000" w:rsidRPr="00000000">
        <w:rPr>
          <w:rFonts w:ascii="Open Sans" w:cs="Open Sans" w:eastAsia="Open Sans" w:hAnsi="Open Sans"/>
          <w:color w:val="000000"/>
          <w:rtl w:val="0"/>
        </w:rPr>
        <w:t xml:space="preserve">al mes y Málaga con 15,01 €/m</w:t>
      </w:r>
      <w:r w:rsidDel="00000000" w:rsidR="00000000" w:rsidRPr="00000000">
        <w:rPr>
          <w:rFonts w:ascii="Open Sans" w:cs="Open Sans" w:eastAsia="Open Sans" w:hAnsi="Open Sans"/>
          <w:color w:val="000000"/>
          <w:vertAlign w:val="superscript"/>
          <w:rtl w:val="0"/>
        </w:rPr>
        <w:t xml:space="preserve">2 </w:t>
      </w:r>
      <w:r w:rsidDel="00000000" w:rsidR="00000000" w:rsidRPr="00000000">
        <w:rPr>
          <w:rFonts w:ascii="Open Sans" w:cs="Open Sans" w:eastAsia="Open Sans" w:hAnsi="Open Sans"/>
          <w:color w:val="000000"/>
          <w:rtl w:val="0"/>
        </w:rPr>
        <w:t xml:space="preserve">al mes. Por otro lado, las tres provincias más económicas para alquilar una vivienda son: Jaén con 5,89 €/m</w:t>
      </w:r>
      <w:r w:rsidDel="00000000" w:rsidR="00000000" w:rsidRPr="00000000">
        <w:rPr>
          <w:rFonts w:ascii="Open Sans" w:cs="Open Sans" w:eastAsia="Open Sans" w:hAnsi="Open Sans"/>
          <w:color w:val="000000"/>
          <w:vertAlign w:val="superscript"/>
          <w:rtl w:val="0"/>
        </w:rPr>
        <w:t xml:space="preserve">2 </w:t>
      </w:r>
      <w:r w:rsidDel="00000000" w:rsidR="00000000" w:rsidRPr="00000000">
        <w:rPr>
          <w:rFonts w:ascii="Open Sans" w:cs="Open Sans" w:eastAsia="Open Sans" w:hAnsi="Open Sans"/>
          <w:color w:val="000000"/>
          <w:rtl w:val="0"/>
        </w:rPr>
        <w:t xml:space="preserve">al mes, Ciudad Real con 6,17 €/m</w:t>
      </w:r>
      <w:r w:rsidDel="00000000" w:rsidR="00000000" w:rsidRPr="00000000">
        <w:rPr>
          <w:rFonts w:ascii="Open Sans" w:cs="Open Sans" w:eastAsia="Open Sans" w:hAnsi="Open Sans"/>
          <w:color w:val="000000"/>
          <w:vertAlign w:val="superscript"/>
          <w:rtl w:val="0"/>
        </w:rPr>
        <w:t xml:space="preserve">2 </w:t>
      </w:r>
      <w:r w:rsidDel="00000000" w:rsidR="00000000" w:rsidRPr="00000000">
        <w:rPr>
          <w:rFonts w:ascii="Open Sans" w:cs="Open Sans" w:eastAsia="Open Sans" w:hAnsi="Open Sans"/>
          <w:color w:val="000000"/>
          <w:rtl w:val="0"/>
        </w:rPr>
        <w:t xml:space="preserve">al mes y Teruel con 6,25 €/m</w:t>
      </w:r>
      <w:r w:rsidDel="00000000" w:rsidR="00000000" w:rsidRPr="00000000">
        <w:rPr>
          <w:rFonts w:ascii="Open Sans" w:cs="Open Sans" w:eastAsia="Open Sans" w:hAnsi="Open Sans"/>
          <w:color w:val="000000"/>
          <w:vertAlign w:val="superscript"/>
          <w:rtl w:val="0"/>
        </w:rPr>
        <w:t xml:space="preserve">2 </w:t>
      </w:r>
      <w:r w:rsidDel="00000000" w:rsidR="00000000" w:rsidRPr="00000000">
        <w:rPr>
          <w:rFonts w:ascii="Open Sans" w:cs="Open Sans" w:eastAsia="Open Sans" w:hAnsi="Open Sans"/>
          <w:color w:val="000000"/>
          <w:rtl w:val="0"/>
        </w:rPr>
        <w:t xml:space="preserve">al mes.</w:t>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ffffff" w:val="clear"/>
        <w:spacing w:after="280" w:before="280" w:line="276" w:lineRule="auto"/>
        <w:ind w:right="-567"/>
        <w:jc w:val="both"/>
        <w:rPr>
          <w:rFonts w:ascii="Open Sans Light" w:cs="Open Sans Light" w:eastAsia="Open Sans Light" w:hAnsi="Open Sans Light"/>
          <w:b w:val="1"/>
          <w:color w:val="303ab2"/>
          <w:sz w:val="28"/>
          <w:szCs w:val="28"/>
        </w:rPr>
      </w:pPr>
      <w:r w:rsidDel="00000000" w:rsidR="00000000" w:rsidRPr="00000000">
        <w:rPr>
          <w:rFonts w:ascii="Open Sans Light" w:cs="Open Sans Light" w:eastAsia="Open Sans Light" w:hAnsi="Open Sans Light"/>
          <w:b w:val="1"/>
          <w:color w:val="303ab2"/>
          <w:sz w:val="28"/>
          <w:szCs w:val="28"/>
          <w:rtl w:val="0"/>
        </w:rPr>
        <w:t xml:space="preserve">Provincias con precio, variación mensual e interanual</w:t>
      </w:r>
    </w:p>
    <w:tbl>
      <w:tblPr>
        <w:tblStyle w:val="Table2"/>
        <w:tblW w:w="9071.0" w:type="dxa"/>
        <w:jc w:val="left"/>
        <w:tblInd w:w="-5.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A0"/>
      </w:tblPr>
      <w:tblGrid>
        <w:gridCol w:w="2127"/>
        <w:gridCol w:w="1984"/>
        <w:gridCol w:w="1559"/>
        <w:gridCol w:w="1701"/>
        <w:gridCol w:w="1700"/>
        <w:tblGridChange w:id="0">
          <w:tblGrid>
            <w:gridCol w:w="2127"/>
            <w:gridCol w:w="1984"/>
            <w:gridCol w:w="1559"/>
            <w:gridCol w:w="1701"/>
            <w:gridCol w:w="1700"/>
          </w:tblGrid>
        </w:tblGridChange>
      </w:tblGrid>
      <w:tr>
        <w:trPr>
          <w:cantSplit w:val="0"/>
          <w:trHeight w:val="280" w:hRule="atLeast"/>
          <w:tblHeader w:val="0"/>
        </w:trPr>
        <w:tc>
          <w:tcPr>
            <w:vAlign w:val="center"/>
          </w:tcPr>
          <w:p w:rsidR="00000000" w:rsidDel="00000000" w:rsidP="00000000" w:rsidRDefault="00000000" w:rsidRPr="00000000" w14:paraId="00000083">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Provincia</w:t>
            </w:r>
            <w:r w:rsidDel="00000000" w:rsidR="00000000" w:rsidRPr="00000000">
              <w:rPr>
                <w:rtl w:val="0"/>
              </w:rPr>
            </w:r>
          </w:p>
        </w:tc>
        <w:tc>
          <w:tcPr>
            <w:vAlign w:val="center"/>
          </w:tcPr>
          <w:p w:rsidR="00000000" w:rsidDel="00000000" w:rsidP="00000000" w:rsidRDefault="00000000" w:rsidRPr="00000000" w14:paraId="00000084">
            <w:pPr>
              <w:jc w:val="cente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Noviembre 2024</w:t>
            </w:r>
            <w:r w:rsidDel="00000000" w:rsidR="00000000" w:rsidRPr="00000000">
              <w:rPr>
                <w:rtl w:val="0"/>
              </w:rPr>
            </w:r>
          </w:p>
          <w:p w:rsidR="00000000" w:rsidDel="00000000" w:rsidP="00000000" w:rsidRDefault="00000000" w:rsidRPr="00000000" w14:paraId="00000085">
            <w:pPr>
              <w:jc w:val="cente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(€/m² al mes)</w:t>
            </w:r>
            <w:r w:rsidDel="00000000" w:rsidR="00000000" w:rsidRPr="00000000">
              <w:rPr>
                <w:rtl w:val="0"/>
              </w:rPr>
            </w:r>
          </w:p>
        </w:tc>
        <w:tc>
          <w:tcPr>
            <w:vAlign w:val="center"/>
          </w:tcPr>
          <w:p w:rsidR="00000000" w:rsidDel="00000000" w:rsidP="00000000" w:rsidRDefault="00000000" w:rsidRPr="00000000" w14:paraId="00000086">
            <w:pPr>
              <w:jc w:val="cente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Variación mensual (%)</w:t>
            </w:r>
            <w:r w:rsidDel="00000000" w:rsidR="00000000" w:rsidRPr="00000000">
              <w:rPr>
                <w:rtl w:val="0"/>
              </w:rPr>
            </w:r>
          </w:p>
        </w:tc>
        <w:tc>
          <w:tcPr>
            <w:vAlign w:val="center"/>
          </w:tcPr>
          <w:p w:rsidR="00000000" w:rsidDel="00000000" w:rsidP="00000000" w:rsidRDefault="00000000" w:rsidRPr="00000000" w14:paraId="00000087">
            <w:pPr>
              <w:jc w:val="cente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Variación interanual (%)</w:t>
            </w:r>
            <w:r w:rsidDel="00000000" w:rsidR="00000000" w:rsidRPr="00000000">
              <w:rPr>
                <w:rtl w:val="0"/>
              </w:rPr>
            </w:r>
          </w:p>
        </w:tc>
        <w:tc>
          <w:tcPr/>
          <w:p w:rsidR="00000000" w:rsidDel="00000000" w:rsidP="00000000" w:rsidRDefault="00000000" w:rsidRPr="00000000" w14:paraId="00000088">
            <w:pPr>
              <w:jc w:val="cente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 respecto media nacional</w:t>
            </w:r>
            <w:r w:rsidDel="00000000" w:rsidR="00000000" w:rsidRPr="00000000">
              <w:rPr>
                <w:rtl w:val="0"/>
              </w:rPr>
            </w:r>
          </w:p>
        </w:tc>
      </w:tr>
      <w:tr>
        <w:trPr>
          <w:cantSplit w:val="0"/>
          <w:trHeight w:val="280" w:hRule="atLeast"/>
          <w:tblHeader w:val="0"/>
        </w:trPr>
        <w:tc>
          <w:tcPr>
            <w:vAlign w:val="bottom"/>
          </w:tcPr>
          <w:p w:rsidR="00000000" w:rsidDel="00000000" w:rsidP="00000000" w:rsidRDefault="00000000" w:rsidRPr="00000000" w14:paraId="00000089">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Palencia</w:t>
            </w:r>
            <w:r w:rsidDel="00000000" w:rsidR="00000000" w:rsidRPr="00000000">
              <w:rPr>
                <w:rtl w:val="0"/>
              </w:rPr>
            </w:r>
          </w:p>
        </w:tc>
        <w:tc>
          <w:tcPr>
            <w:vAlign w:val="bottom"/>
          </w:tcPr>
          <w:p w:rsidR="00000000" w:rsidDel="00000000" w:rsidP="00000000" w:rsidRDefault="00000000" w:rsidRPr="00000000" w14:paraId="0000008A">
            <w:pPr>
              <w:jc w:val="center"/>
              <w:rPr>
                <w:rFonts w:ascii="Open Sans" w:cs="Open Sans" w:eastAsia="Open Sans" w:hAnsi="Open Sans"/>
                <w:color w:val="9c0006"/>
                <w:sz w:val="22"/>
                <w:szCs w:val="22"/>
              </w:rPr>
            </w:pPr>
            <w:r w:rsidDel="00000000" w:rsidR="00000000" w:rsidRPr="00000000">
              <w:rPr>
                <w:rFonts w:ascii="Open Sans" w:cs="Open Sans" w:eastAsia="Open Sans" w:hAnsi="Open Sans"/>
                <w:color w:val="000000"/>
                <w:sz w:val="22"/>
                <w:szCs w:val="22"/>
                <w:rtl w:val="0"/>
              </w:rPr>
              <w:t xml:space="preserve">           8,80 € </w:t>
            </w:r>
            <w:r w:rsidDel="00000000" w:rsidR="00000000" w:rsidRPr="00000000">
              <w:rPr>
                <w:rtl w:val="0"/>
              </w:rPr>
            </w:r>
          </w:p>
        </w:tc>
        <w:tc>
          <w:tcPr>
            <w:vAlign w:val="bottom"/>
          </w:tcPr>
          <w:p w:rsidR="00000000" w:rsidDel="00000000" w:rsidP="00000000" w:rsidRDefault="00000000" w:rsidRPr="00000000" w14:paraId="0000008B">
            <w:pPr>
              <w:jc w:val="center"/>
              <w:rPr>
                <w:rFonts w:ascii="Open Sans" w:cs="Open Sans" w:eastAsia="Open Sans" w:hAnsi="Open Sans"/>
                <w:color w:val="0d0d0d"/>
                <w:sz w:val="22"/>
                <w:szCs w:val="22"/>
              </w:rPr>
            </w:pPr>
            <w:r w:rsidDel="00000000" w:rsidR="00000000" w:rsidRPr="00000000">
              <w:rPr>
                <w:rFonts w:ascii="Open Sans" w:cs="Open Sans" w:eastAsia="Open Sans" w:hAnsi="Open Sans"/>
                <w:color w:val="000000"/>
                <w:sz w:val="22"/>
                <w:szCs w:val="22"/>
                <w:rtl w:val="0"/>
              </w:rPr>
              <w:t xml:space="preserve">8,6%</w:t>
            </w:r>
            <w:r w:rsidDel="00000000" w:rsidR="00000000" w:rsidRPr="00000000">
              <w:rPr>
                <w:rtl w:val="0"/>
              </w:rPr>
            </w:r>
          </w:p>
        </w:tc>
        <w:tc>
          <w:tcPr>
            <w:vAlign w:val="bottom"/>
          </w:tcPr>
          <w:p w:rsidR="00000000" w:rsidDel="00000000" w:rsidP="00000000" w:rsidRDefault="00000000" w:rsidRPr="00000000" w14:paraId="0000008C">
            <w:pPr>
              <w:jc w:val="center"/>
              <w:rPr>
                <w:rFonts w:ascii="Open Sans" w:cs="Open Sans" w:eastAsia="Open Sans" w:hAnsi="Open Sans"/>
                <w:b w:val="1"/>
                <w:color w:val="0d0d0d"/>
                <w:sz w:val="22"/>
                <w:szCs w:val="22"/>
              </w:rPr>
            </w:pPr>
            <w:r w:rsidDel="00000000" w:rsidR="00000000" w:rsidRPr="00000000">
              <w:rPr>
                <w:rFonts w:ascii="Open Sans" w:cs="Open Sans" w:eastAsia="Open Sans" w:hAnsi="Open Sans"/>
                <w:color w:val="000000"/>
                <w:sz w:val="22"/>
                <w:szCs w:val="22"/>
                <w:rtl w:val="0"/>
              </w:rPr>
              <w:t xml:space="preserve">25,9%</w:t>
            </w:r>
            <w:r w:rsidDel="00000000" w:rsidR="00000000" w:rsidRPr="00000000">
              <w:rPr>
                <w:rtl w:val="0"/>
              </w:rPr>
            </w:r>
          </w:p>
        </w:tc>
        <w:tc>
          <w:tcPr>
            <w:vAlign w:val="bottom"/>
          </w:tcPr>
          <w:p w:rsidR="00000000" w:rsidDel="00000000" w:rsidP="00000000" w:rsidRDefault="00000000" w:rsidRPr="00000000" w14:paraId="0000008D">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9c0006"/>
                <w:sz w:val="22"/>
                <w:szCs w:val="22"/>
                <w:rtl w:val="0"/>
              </w:rPr>
              <w:t xml:space="preserve">-33,0%</w:t>
            </w:r>
            <w:r w:rsidDel="00000000" w:rsidR="00000000" w:rsidRPr="00000000">
              <w:rPr>
                <w:rtl w:val="0"/>
              </w:rPr>
            </w:r>
          </w:p>
        </w:tc>
      </w:tr>
      <w:tr>
        <w:trPr>
          <w:cantSplit w:val="0"/>
          <w:trHeight w:val="280" w:hRule="atLeast"/>
          <w:tblHeader w:val="0"/>
        </w:trPr>
        <w:tc>
          <w:tcPr>
            <w:vAlign w:val="bottom"/>
          </w:tcPr>
          <w:p w:rsidR="00000000" w:rsidDel="00000000" w:rsidP="00000000" w:rsidRDefault="00000000" w:rsidRPr="00000000" w14:paraId="0000008E">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Huesca</w:t>
            </w:r>
            <w:r w:rsidDel="00000000" w:rsidR="00000000" w:rsidRPr="00000000">
              <w:rPr>
                <w:rtl w:val="0"/>
              </w:rPr>
            </w:r>
          </w:p>
        </w:tc>
        <w:tc>
          <w:tcPr>
            <w:vAlign w:val="bottom"/>
          </w:tcPr>
          <w:p w:rsidR="00000000" w:rsidDel="00000000" w:rsidP="00000000" w:rsidRDefault="00000000" w:rsidRPr="00000000" w14:paraId="0000008F">
            <w:pPr>
              <w:jc w:val="center"/>
              <w:rPr>
                <w:rFonts w:ascii="Open Sans" w:cs="Open Sans" w:eastAsia="Open Sans" w:hAnsi="Open Sans"/>
                <w:color w:val="9c0006"/>
                <w:sz w:val="22"/>
                <w:szCs w:val="22"/>
              </w:rPr>
            </w:pPr>
            <w:r w:rsidDel="00000000" w:rsidR="00000000" w:rsidRPr="00000000">
              <w:rPr>
                <w:rFonts w:ascii="Open Sans" w:cs="Open Sans" w:eastAsia="Open Sans" w:hAnsi="Open Sans"/>
                <w:color w:val="000000"/>
                <w:sz w:val="22"/>
                <w:szCs w:val="22"/>
                <w:rtl w:val="0"/>
              </w:rPr>
              <w:t xml:space="preserve">         10,15 € </w:t>
            </w:r>
            <w:r w:rsidDel="00000000" w:rsidR="00000000" w:rsidRPr="00000000">
              <w:rPr>
                <w:rtl w:val="0"/>
              </w:rPr>
            </w:r>
          </w:p>
        </w:tc>
        <w:tc>
          <w:tcPr>
            <w:vAlign w:val="bottom"/>
          </w:tcPr>
          <w:p w:rsidR="00000000" w:rsidDel="00000000" w:rsidP="00000000" w:rsidRDefault="00000000" w:rsidRPr="00000000" w14:paraId="00000090">
            <w:pPr>
              <w:jc w:val="center"/>
              <w:rPr>
                <w:rFonts w:ascii="Open Sans" w:cs="Open Sans" w:eastAsia="Open Sans" w:hAnsi="Open Sans"/>
                <w:color w:val="0d0d0d"/>
                <w:sz w:val="22"/>
                <w:szCs w:val="22"/>
              </w:rPr>
            </w:pPr>
            <w:r w:rsidDel="00000000" w:rsidR="00000000" w:rsidRPr="00000000">
              <w:rPr>
                <w:rFonts w:ascii="Open Sans" w:cs="Open Sans" w:eastAsia="Open Sans" w:hAnsi="Open Sans"/>
                <w:color w:val="000000"/>
                <w:sz w:val="22"/>
                <w:szCs w:val="22"/>
                <w:rtl w:val="0"/>
              </w:rPr>
              <w:t xml:space="preserve">6,7%</w:t>
            </w:r>
            <w:r w:rsidDel="00000000" w:rsidR="00000000" w:rsidRPr="00000000">
              <w:rPr>
                <w:rtl w:val="0"/>
              </w:rPr>
            </w:r>
          </w:p>
        </w:tc>
        <w:tc>
          <w:tcPr>
            <w:vAlign w:val="bottom"/>
          </w:tcPr>
          <w:p w:rsidR="00000000" w:rsidDel="00000000" w:rsidP="00000000" w:rsidRDefault="00000000" w:rsidRPr="00000000" w14:paraId="00000091">
            <w:pPr>
              <w:jc w:val="center"/>
              <w:rPr>
                <w:rFonts w:ascii="Open Sans" w:cs="Open Sans" w:eastAsia="Open Sans" w:hAnsi="Open Sans"/>
                <w:b w:val="1"/>
                <w:color w:val="0d0d0d"/>
                <w:sz w:val="22"/>
                <w:szCs w:val="22"/>
              </w:rPr>
            </w:pPr>
            <w:r w:rsidDel="00000000" w:rsidR="00000000" w:rsidRPr="00000000">
              <w:rPr>
                <w:rFonts w:ascii="Open Sans" w:cs="Open Sans" w:eastAsia="Open Sans" w:hAnsi="Open Sans"/>
                <w:color w:val="000000"/>
                <w:sz w:val="22"/>
                <w:szCs w:val="22"/>
                <w:rtl w:val="0"/>
              </w:rPr>
              <w:t xml:space="preserve">25,2%</w:t>
            </w:r>
            <w:r w:rsidDel="00000000" w:rsidR="00000000" w:rsidRPr="00000000">
              <w:rPr>
                <w:rtl w:val="0"/>
              </w:rPr>
            </w:r>
          </w:p>
        </w:tc>
        <w:tc>
          <w:tcPr>
            <w:vAlign w:val="bottom"/>
          </w:tcPr>
          <w:p w:rsidR="00000000" w:rsidDel="00000000" w:rsidP="00000000" w:rsidRDefault="00000000" w:rsidRPr="00000000" w14:paraId="00000092">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9c0006"/>
                <w:sz w:val="22"/>
                <w:szCs w:val="22"/>
                <w:rtl w:val="0"/>
              </w:rPr>
              <w:t xml:space="preserve">-22,7%</w:t>
            </w:r>
            <w:r w:rsidDel="00000000" w:rsidR="00000000" w:rsidRPr="00000000">
              <w:rPr>
                <w:rtl w:val="0"/>
              </w:rPr>
            </w:r>
          </w:p>
        </w:tc>
      </w:tr>
      <w:tr>
        <w:trPr>
          <w:cantSplit w:val="0"/>
          <w:trHeight w:val="280" w:hRule="atLeast"/>
          <w:tblHeader w:val="0"/>
        </w:trPr>
        <w:tc>
          <w:tcPr>
            <w:vAlign w:val="bottom"/>
          </w:tcPr>
          <w:p w:rsidR="00000000" w:rsidDel="00000000" w:rsidP="00000000" w:rsidRDefault="00000000" w:rsidRPr="00000000" w14:paraId="00000093">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Lugo</w:t>
            </w:r>
            <w:r w:rsidDel="00000000" w:rsidR="00000000" w:rsidRPr="00000000">
              <w:rPr>
                <w:rtl w:val="0"/>
              </w:rPr>
            </w:r>
          </w:p>
        </w:tc>
        <w:tc>
          <w:tcPr>
            <w:vAlign w:val="bottom"/>
          </w:tcPr>
          <w:p w:rsidR="00000000" w:rsidDel="00000000" w:rsidP="00000000" w:rsidRDefault="00000000" w:rsidRPr="00000000" w14:paraId="00000094">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7,73 € </w:t>
            </w:r>
          </w:p>
        </w:tc>
        <w:tc>
          <w:tcPr>
            <w:vAlign w:val="bottom"/>
          </w:tcPr>
          <w:p w:rsidR="00000000" w:rsidDel="00000000" w:rsidP="00000000" w:rsidRDefault="00000000" w:rsidRPr="00000000" w14:paraId="00000095">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3,5%</w:t>
            </w:r>
          </w:p>
        </w:tc>
        <w:tc>
          <w:tcPr>
            <w:vAlign w:val="bottom"/>
          </w:tcPr>
          <w:p w:rsidR="00000000" w:rsidDel="00000000" w:rsidP="00000000" w:rsidRDefault="00000000" w:rsidRPr="00000000" w14:paraId="00000096">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color w:val="000000"/>
                <w:sz w:val="22"/>
                <w:szCs w:val="22"/>
                <w:rtl w:val="0"/>
              </w:rPr>
              <w:t xml:space="preserve">21,2%</w:t>
            </w:r>
            <w:r w:rsidDel="00000000" w:rsidR="00000000" w:rsidRPr="00000000">
              <w:rPr>
                <w:rtl w:val="0"/>
              </w:rPr>
            </w:r>
          </w:p>
        </w:tc>
        <w:tc>
          <w:tcPr>
            <w:vAlign w:val="bottom"/>
          </w:tcPr>
          <w:p w:rsidR="00000000" w:rsidDel="00000000" w:rsidP="00000000" w:rsidRDefault="00000000" w:rsidRPr="00000000" w14:paraId="00000097">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9c0006"/>
                <w:sz w:val="22"/>
                <w:szCs w:val="22"/>
                <w:rtl w:val="0"/>
              </w:rPr>
              <w:t xml:space="preserve">-41,1%</w:t>
            </w:r>
            <w:r w:rsidDel="00000000" w:rsidR="00000000" w:rsidRPr="00000000">
              <w:rPr>
                <w:rtl w:val="0"/>
              </w:rPr>
            </w:r>
          </w:p>
        </w:tc>
      </w:tr>
      <w:tr>
        <w:trPr>
          <w:cantSplit w:val="0"/>
          <w:trHeight w:val="280" w:hRule="atLeast"/>
          <w:tblHeader w:val="0"/>
        </w:trPr>
        <w:tc>
          <w:tcPr>
            <w:vAlign w:val="bottom"/>
          </w:tcPr>
          <w:p w:rsidR="00000000" w:rsidDel="00000000" w:rsidP="00000000" w:rsidRDefault="00000000" w:rsidRPr="00000000" w14:paraId="00000098">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Madrid</w:t>
            </w:r>
            <w:r w:rsidDel="00000000" w:rsidR="00000000" w:rsidRPr="00000000">
              <w:rPr>
                <w:rtl w:val="0"/>
              </w:rPr>
            </w:r>
          </w:p>
        </w:tc>
        <w:tc>
          <w:tcPr>
            <w:vAlign w:val="bottom"/>
          </w:tcPr>
          <w:p w:rsidR="00000000" w:rsidDel="00000000" w:rsidP="00000000" w:rsidRDefault="00000000" w:rsidRPr="00000000" w14:paraId="00000099">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20,72 € </w:t>
            </w:r>
          </w:p>
        </w:tc>
        <w:tc>
          <w:tcPr>
            <w:vAlign w:val="bottom"/>
          </w:tcPr>
          <w:p w:rsidR="00000000" w:rsidDel="00000000" w:rsidP="00000000" w:rsidRDefault="00000000" w:rsidRPr="00000000" w14:paraId="0000009A">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4,5%</w:t>
            </w:r>
          </w:p>
        </w:tc>
        <w:tc>
          <w:tcPr>
            <w:vAlign w:val="bottom"/>
          </w:tcPr>
          <w:p w:rsidR="00000000" w:rsidDel="00000000" w:rsidP="00000000" w:rsidRDefault="00000000" w:rsidRPr="00000000" w14:paraId="0000009B">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color w:val="000000"/>
                <w:sz w:val="22"/>
                <w:szCs w:val="22"/>
                <w:rtl w:val="0"/>
              </w:rPr>
              <w:t xml:space="preserve">20,9%</w:t>
            </w:r>
            <w:r w:rsidDel="00000000" w:rsidR="00000000" w:rsidRPr="00000000">
              <w:rPr>
                <w:rtl w:val="0"/>
              </w:rPr>
            </w:r>
          </w:p>
        </w:tc>
        <w:tc>
          <w:tcPr>
            <w:vAlign w:val="bottom"/>
          </w:tcPr>
          <w:p w:rsidR="00000000" w:rsidDel="00000000" w:rsidP="00000000" w:rsidRDefault="00000000" w:rsidRPr="00000000" w14:paraId="0000009C">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57,8%</w:t>
            </w:r>
          </w:p>
        </w:tc>
      </w:tr>
      <w:tr>
        <w:trPr>
          <w:cantSplit w:val="0"/>
          <w:trHeight w:val="280" w:hRule="atLeast"/>
          <w:tblHeader w:val="0"/>
        </w:trPr>
        <w:tc>
          <w:tcPr>
            <w:vAlign w:val="bottom"/>
          </w:tcPr>
          <w:p w:rsidR="00000000" w:rsidDel="00000000" w:rsidP="00000000" w:rsidRDefault="00000000" w:rsidRPr="00000000" w14:paraId="0000009D">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Asturias</w:t>
            </w:r>
            <w:r w:rsidDel="00000000" w:rsidR="00000000" w:rsidRPr="00000000">
              <w:rPr>
                <w:rtl w:val="0"/>
              </w:rPr>
            </w:r>
          </w:p>
        </w:tc>
        <w:tc>
          <w:tcPr>
            <w:vAlign w:val="bottom"/>
          </w:tcPr>
          <w:p w:rsidR="00000000" w:rsidDel="00000000" w:rsidP="00000000" w:rsidRDefault="00000000" w:rsidRPr="00000000" w14:paraId="0000009E">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10,80 € </w:t>
            </w:r>
          </w:p>
        </w:tc>
        <w:tc>
          <w:tcPr>
            <w:vAlign w:val="bottom"/>
          </w:tcPr>
          <w:p w:rsidR="00000000" w:rsidDel="00000000" w:rsidP="00000000" w:rsidRDefault="00000000" w:rsidRPr="00000000" w14:paraId="0000009F">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3,3%</w:t>
            </w:r>
          </w:p>
        </w:tc>
        <w:tc>
          <w:tcPr>
            <w:vAlign w:val="bottom"/>
          </w:tcPr>
          <w:p w:rsidR="00000000" w:rsidDel="00000000" w:rsidP="00000000" w:rsidRDefault="00000000" w:rsidRPr="00000000" w14:paraId="000000A0">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color w:val="000000"/>
                <w:sz w:val="22"/>
                <w:szCs w:val="22"/>
                <w:rtl w:val="0"/>
              </w:rPr>
              <w:t xml:space="preserve">17,5%</w:t>
            </w:r>
            <w:r w:rsidDel="00000000" w:rsidR="00000000" w:rsidRPr="00000000">
              <w:rPr>
                <w:rtl w:val="0"/>
              </w:rPr>
            </w:r>
          </w:p>
        </w:tc>
        <w:tc>
          <w:tcPr>
            <w:vAlign w:val="bottom"/>
          </w:tcPr>
          <w:p w:rsidR="00000000" w:rsidDel="00000000" w:rsidP="00000000" w:rsidRDefault="00000000" w:rsidRPr="00000000" w14:paraId="000000A1">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9c0006"/>
                <w:sz w:val="22"/>
                <w:szCs w:val="22"/>
                <w:rtl w:val="0"/>
              </w:rPr>
              <w:t xml:space="preserve">-17,7%</w:t>
            </w:r>
            <w:r w:rsidDel="00000000" w:rsidR="00000000" w:rsidRPr="00000000">
              <w:rPr>
                <w:rtl w:val="0"/>
              </w:rPr>
            </w:r>
          </w:p>
        </w:tc>
      </w:tr>
      <w:tr>
        <w:trPr>
          <w:cantSplit w:val="0"/>
          <w:trHeight w:val="280" w:hRule="atLeast"/>
          <w:tblHeader w:val="0"/>
        </w:trPr>
        <w:tc>
          <w:tcPr>
            <w:vAlign w:val="bottom"/>
          </w:tcPr>
          <w:p w:rsidR="00000000" w:rsidDel="00000000" w:rsidP="00000000" w:rsidRDefault="00000000" w:rsidRPr="00000000" w14:paraId="000000A2">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Cáceres</w:t>
            </w:r>
            <w:r w:rsidDel="00000000" w:rsidR="00000000" w:rsidRPr="00000000">
              <w:rPr>
                <w:rtl w:val="0"/>
              </w:rPr>
            </w:r>
          </w:p>
        </w:tc>
        <w:tc>
          <w:tcPr>
            <w:vAlign w:val="bottom"/>
          </w:tcPr>
          <w:p w:rsidR="00000000" w:rsidDel="00000000" w:rsidP="00000000" w:rsidRDefault="00000000" w:rsidRPr="00000000" w14:paraId="000000A3">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6,75 € </w:t>
            </w:r>
          </w:p>
        </w:tc>
        <w:tc>
          <w:tcPr>
            <w:vAlign w:val="bottom"/>
          </w:tcPr>
          <w:p w:rsidR="00000000" w:rsidDel="00000000" w:rsidP="00000000" w:rsidRDefault="00000000" w:rsidRPr="00000000" w14:paraId="000000A4">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3,7%</w:t>
            </w:r>
          </w:p>
        </w:tc>
        <w:tc>
          <w:tcPr>
            <w:vAlign w:val="bottom"/>
          </w:tcPr>
          <w:p w:rsidR="00000000" w:rsidDel="00000000" w:rsidP="00000000" w:rsidRDefault="00000000" w:rsidRPr="00000000" w14:paraId="000000A5">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color w:val="000000"/>
                <w:sz w:val="22"/>
                <w:szCs w:val="22"/>
                <w:rtl w:val="0"/>
              </w:rPr>
              <w:t xml:space="preserve">17,2%</w:t>
            </w:r>
            <w:r w:rsidDel="00000000" w:rsidR="00000000" w:rsidRPr="00000000">
              <w:rPr>
                <w:rtl w:val="0"/>
              </w:rPr>
            </w:r>
          </w:p>
        </w:tc>
        <w:tc>
          <w:tcPr>
            <w:vAlign w:val="bottom"/>
          </w:tcPr>
          <w:p w:rsidR="00000000" w:rsidDel="00000000" w:rsidP="00000000" w:rsidRDefault="00000000" w:rsidRPr="00000000" w14:paraId="000000A6">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9c0006"/>
                <w:sz w:val="22"/>
                <w:szCs w:val="22"/>
                <w:rtl w:val="0"/>
              </w:rPr>
              <w:t xml:space="preserve">-48,6%</w:t>
            </w:r>
            <w:r w:rsidDel="00000000" w:rsidR="00000000" w:rsidRPr="00000000">
              <w:rPr>
                <w:rtl w:val="0"/>
              </w:rPr>
            </w:r>
          </w:p>
        </w:tc>
      </w:tr>
      <w:tr>
        <w:trPr>
          <w:cantSplit w:val="0"/>
          <w:trHeight w:val="280" w:hRule="atLeast"/>
          <w:tblHeader w:val="0"/>
        </w:trPr>
        <w:tc>
          <w:tcPr>
            <w:vAlign w:val="bottom"/>
          </w:tcPr>
          <w:p w:rsidR="00000000" w:rsidDel="00000000" w:rsidP="00000000" w:rsidRDefault="00000000" w:rsidRPr="00000000" w14:paraId="000000A7">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Zamora</w:t>
            </w:r>
            <w:r w:rsidDel="00000000" w:rsidR="00000000" w:rsidRPr="00000000">
              <w:rPr>
                <w:rtl w:val="0"/>
              </w:rPr>
            </w:r>
          </w:p>
        </w:tc>
        <w:tc>
          <w:tcPr>
            <w:vAlign w:val="bottom"/>
          </w:tcPr>
          <w:p w:rsidR="00000000" w:rsidDel="00000000" w:rsidP="00000000" w:rsidRDefault="00000000" w:rsidRPr="00000000" w14:paraId="000000A8">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7,19 € </w:t>
            </w:r>
          </w:p>
        </w:tc>
        <w:tc>
          <w:tcPr>
            <w:vAlign w:val="bottom"/>
          </w:tcPr>
          <w:p w:rsidR="00000000" w:rsidDel="00000000" w:rsidP="00000000" w:rsidRDefault="00000000" w:rsidRPr="00000000" w14:paraId="000000A9">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3,2%</w:t>
            </w:r>
          </w:p>
        </w:tc>
        <w:tc>
          <w:tcPr>
            <w:vAlign w:val="bottom"/>
          </w:tcPr>
          <w:p w:rsidR="00000000" w:rsidDel="00000000" w:rsidP="00000000" w:rsidRDefault="00000000" w:rsidRPr="00000000" w14:paraId="000000AA">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color w:val="000000"/>
                <w:sz w:val="22"/>
                <w:szCs w:val="22"/>
                <w:rtl w:val="0"/>
              </w:rPr>
              <w:t xml:space="preserve">16,2%</w:t>
            </w:r>
            <w:r w:rsidDel="00000000" w:rsidR="00000000" w:rsidRPr="00000000">
              <w:rPr>
                <w:rtl w:val="0"/>
              </w:rPr>
            </w:r>
          </w:p>
        </w:tc>
        <w:tc>
          <w:tcPr>
            <w:vAlign w:val="bottom"/>
          </w:tcPr>
          <w:p w:rsidR="00000000" w:rsidDel="00000000" w:rsidP="00000000" w:rsidRDefault="00000000" w:rsidRPr="00000000" w14:paraId="000000AB">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9c0006"/>
                <w:sz w:val="22"/>
                <w:szCs w:val="22"/>
                <w:rtl w:val="0"/>
              </w:rPr>
              <w:t xml:space="preserve">-45,2%</w:t>
            </w:r>
            <w:r w:rsidDel="00000000" w:rsidR="00000000" w:rsidRPr="00000000">
              <w:rPr>
                <w:rtl w:val="0"/>
              </w:rPr>
            </w:r>
          </w:p>
        </w:tc>
      </w:tr>
      <w:tr>
        <w:trPr>
          <w:cantSplit w:val="0"/>
          <w:trHeight w:val="280" w:hRule="atLeast"/>
          <w:tblHeader w:val="0"/>
        </w:trPr>
        <w:tc>
          <w:tcPr>
            <w:vAlign w:val="bottom"/>
          </w:tcPr>
          <w:p w:rsidR="00000000" w:rsidDel="00000000" w:rsidP="00000000" w:rsidRDefault="00000000" w:rsidRPr="00000000" w14:paraId="000000AC">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Sevilla</w:t>
            </w:r>
            <w:r w:rsidDel="00000000" w:rsidR="00000000" w:rsidRPr="00000000">
              <w:rPr>
                <w:rtl w:val="0"/>
              </w:rPr>
            </w:r>
          </w:p>
        </w:tc>
        <w:tc>
          <w:tcPr>
            <w:vAlign w:val="bottom"/>
          </w:tcPr>
          <w:p w:rsidR="00000000" w:rsidDel="00000000" w:rsidP="00000000" w:rsidRDefault="00000000" w:rsidRPr="00000000" w14:paraId="000000AD">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12,62 € </w:t>
            </w:r>
          </w:p>
        </w:tc>
        <w:tc>
          <w:tcPr>
            <w:vAlign w:val="bottom"/>
          </w:tcPr>
          <w:p w:rsidR="00000000" w:rsidDel="00000000" w:rsidP="00000000" w:rsidRDefault="00000000" w:rsidRPr="00000000" w14:paraId="000000AE">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8,4%</w:t>
            </w:r>
          </w:p>
        </w:tc>
        <w:tc>
          <w:tcPr>
            <w:vAlign w:val="bottom"/>
          </w:tcPr>
          <w:p w:rsidR="00000000" w:rsidDel="00000000" w:rsidP="00000000" w:rsidRDefault="00000000" w:rsidRPr="00000000" w14:paraId="000000AF">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color w:val="000000"/>
                <w:sz w:val="22"/>
                <w:szCs w:val="22"/>
                <w:rtl w:val="0"/>
              </w:rPr>
              <w:t xml:space="preserve">16,1%</w:t>
            </w:r>
            <w:r w:rsidDel="00000000" w:rsidR="00000000" w:rsidRPr="00000000">
              <w:rPr>
                <w:rtl w:val="0"/>
              </w:rPr>
            </w:r>
          </w:p>
        </w:tc>
        <w:tc>
          <w:tcPr>
            <w:vAlign w:val="bottom"/>
          </w:tcPr>
          <w:p w:rsidR="00000000" w:rsidDel="00000000" w:rsidP="00000000" w:rsidRDefault="00000000" w:rsidRPr="00000000" w14:paraId="000000B0">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9c0006"/>
                <w:sz w:val="22"/>
                <w:szCs w:val="22"/>
                <w:rtl w:val="0"/>
              </w:rPr>
              <w:t xml:space="preserve">-3,9%</w:t>
            </w:r>
            <w:r w:rsidDel="00000000" w:rsidR="00000000" w:rsidRPr="00000000">
              <w:rPr>
                <w:rtl w:val="0"/>
              </w:rPr>
            </w:r>
          </w:p>
        </w:tc>
      </w:tr>
      <w:tr>
        <w:trPr>
          <w:cantSplit w:val="0"/>
          <w:trHeight w:val="280" w:hRule="atLeast"/>
          <w:tblHeader w:val="0"/>
        </w:trPr>
        <w:tc>
          <w:tcPr>
            <w:vAlign w:val="bottom"/>
          </w:tcPr>
          <w:p w:rsidR="00000000" w:rsidDel="00000000" w:rsidP="00000000" w:rsidRDefault="00000000" w:rsidRPr="00000000" w14:paraId="000000B1">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Gipuzkoa</w:t>
            </w:r>
            <w:r w:rsidDel="00000000" w:rsidR="00000000" w:rsidRPr="00000000">
              <w:rPr>
                <w:rtl w:val="0"/>
              </w:rPr>
            </w:r>
          </w:p>
        </w:tc>
        <w:tc>
          <w:tcPr>
            <w:vAlign w:val="bottom"/>
          </w:tcPr>
          <w:p w:rsidR="00000000" w:rsidDel="00000000" w:rsidP="00000000" w:rsidRDefault="00000000" w:rsidRPr="00000000" w14:paraId="000000B2">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19,22 € </w:t>
            </w:r>
          </w:p>
        </w:tc>
        <w:tc>
          <w:tcPr>
            <w:vAlign w:val="bottom"/>
          </w:tcPr>
          <w:p w:rsidR="00000000" w:rsidDel="00000000" w:rsidP="00000000" w:rsidRDefault="00000000" w:rsidRPr="00000000" w14:paraId="000000B3">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6,5%</w:t>
            </w:r>
          </w:p>
        </w:tc>
        <w:tc>
          <w:tcPr>
            <w:vAlign w:val="bottom"/>
          </w:tcPr>
          <w:p w:rsidR="00000000" w:rsidDel="00000000" w:rsidP="00000000" w:rsidRDefault="00000000" w:rsidRPr="00000000" w14:paraId="000000B4">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color w:val="000000"/>
                <w:sz w:val="22"/>
                <w:szCs w:val="22"/>
                <w:rtl w:val="0"/>
              </w:rPr>
              <w:t xml:space="preserve">15,4%</w:t>
            </w:r>
            <w:r w:rsidDel="00000000" w:rsidR="00000000" w:rsidRPr="00000000">
              <w:rPr>
                <w:rtl w:val="0"/>
              </w:rPr>
            </w:r>
          </w:p>
        </w:tc>
        <w:tc>
          <w:tcPr>
            <w:vAlign w:val="bottom"/>
          </w:tcPr>
          <w:p w:rsidR="00000000" w:rsidDel="00000000" w:rsidP="00000000" w:rsidRDefault="00000000" w:rsidRPr="00000000" w14:paraId="000000B5">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46,4%</w:t>
            </w:r>
          </w:p>
        </w:tc>
      </w:tr>
      <w:tr>
        <w:trPr>
          <w:cantSplit w:val="0"/>
          <w:trHeight w:val="280" w:hRule="atLeast"/>
          <w:tblHeader w:val="0"/>
        </w:trPr>
        <w:tc>
          <w:tcPr>
            <w:vAlign w:val="bottom"/>
          </w:tcPr>
          <w:p w:rsidR="00000000" w:rsidDel="00000000" w:rsidP="00000000" w:rsidRDefault="00000000" w:rsidRPr="00000000" w14:paraId="000000B6">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Toledo</w:t>
            </w:r>
            <w:r w:rsidDel="00000000" w:rsidR="00000000" w:rsidRPr="00000000">
              <w:rPr>
                <w:rtl w:val="0"/>
              </w:rPr>
            </w:r>
          </w:p>
        </w:tc>
        <w:tc>
          <w:tcPr>
            <w:vAlign w:val="bottom"/>
          </w:tcPr>
          <w:p w:rsidR="00000000" w:rsidDel="00000000" w:rsidP="00000000" w:rsidRDefault="00000000" w:rsidRPr="00000000" w14:paraId="000000B7">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8,59 € </w:t>
            </w:r>
          </w:p>
        </w:tc>
        <w:tc>
          <w:tcPr>
            <w:vAlign w:val="bottom"/>
          </w:tcPr>
          <w:p w:rsidR="00000000" w:rsidDel="00000000" w:rsidP="00000000" w:rsidRDefault="00000000" w:rsidRPr="00000000" w14:paraId="000000B8">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5,3%</w:t>
            </w:r>
          </w:p>
        </w:tc>
        <w:tc>
          <w:tcPr>
            <w:vAlign w:val="bottom"/>
          </w:tcPr>
          <w:p w:rsidR="00000000" w:rsidDel="00000000" w:rsidP="00000000" w:rsidRDefault="00000000" w:rsidRPr="00000000" w14:paraId="000000B9">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color w:val="000000"/>
                <w:sz w:val="22"/>
                <w:szCs w:val="22"/>
                <w:rtl w:val="0"/>
              </w:rPr>
              <w:t xml:space="preserve">14,5%</w:t>
            </w:r>
            <w:r w:rsidDel="00000000" w:rsidR="00000000" w:rsidRPr="00000000">
              <w:rPr>
                <w:rtl w:val="0"/>
              </w:rPr>
            </w:r>
          </w:p>
        </w:tc>
        <w:tc>
          <w:tcPr>
            <w:vAlign w:val="bottom"/>
          </w:tcPr>
          <w:p w:rsidR="00000000" w:rsidDel="00000000" w:rsidP="00000000" w:rsidRDefault="00000000" w:rsidRPr="00000000" w14:paraId="000000BA">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9c0006"/>
                <w:sz w:val="22"/>
                <w:szCs w:val="22"/>
                <w:rtl w:val="0"/>
              </w:rPr>
              <w:t xml:space="preserve">-34,6%</w:t>
            </w:r>
            <w:r w:rsidDel="00000000" w:rsidR="00000000" w:rsidRPr="00000000">
              <w:rPr>
                <w:rtl w:val="0"/>
              </w:rPr>
            </w:r>
          </w:p>
        </w:tc>
      </w:tr>
      <w:tr>
        <w:trPr>
          <w:cantSplit w:val="0"/>
          <w:trHeight w:val="280" w:hRule="atLeast"/>
          <w:tblHeader w:val="0"/>
        </w:trPr>
        <w:tc>
          <w:tcPr>
            <w:vAlign w:val="bottom"/>
          </w:tcPr>
          <w:p w:rsidR="00000000" w:rsidDel="00000000" w:rsidP="00000000" w:rsidRDefault="00000000" w:rsidRPr="00000000" w14:paraId="000000BB">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Barcelona</w:t>
            </w:r>
            <w:r w:rsidDel="00000000" w:rsidR="00000000" w:rsidRPr="00000000">
              <w:rPr>
                <w:rtl w:val="0"/>
              </w:rPr>
            </w:r>
          </w:p>
        </w:tc>
        <w:tc>
          <w:tcPr>
            <w:vAlign w:val="bottom"/>
          </w:tcPr>
          <w:p w:rsidR="00000000" w:rsidDel="00000000" w:rsidP="00000000" w:rsidRDefault="00000000" w:rsidRPr="00000000" w14:paraId="000000BC">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20,28 € </w:t>
            </w:r>
          </w:p>
        </w:tc>
        <w:tc>
          <w:tcPr>
            <w:vAlign w:val="bottom"/>
          </w:tcPr>
          <w:p w:rsidR="00000000" w:rsidDel="00000000" w:rsidP="00000000" w:rsidRDefault="00000000" w:rsidRPr="00000000" w14:paraId="000000BD">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6,6%</w:t>
            </w:r>
          </w:p>
        </w:tc>
        <w:tc>
          <w:tcPr>
            <w:vAlign w:val="bottom"/>
          </w:tcPr>
          <w:p w:rsidR="00000000" w:rsidDel="00000000" w:rsidP="00000000" w:rsidRDefault="00000000" w:rsidRPr="00000000" w14:paraId="000000BE">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color w:val="000000"/>
                <w:sz w:val="22"/>
                <w:szCs w:val="22"/>
                <w:rtl w:val="0"/>
              </w:rPr>
              <w:t xml:space="preserve">14,3%</w:t>
            </w:r>
            <w:r w:rsidDel="00000000" w:rsidR="00000000" w:rsidRPr="00000000">
              <w:rPr>
                <w:rtl w:val="0"/>
              </w:rPr>
            </w:r>
          </w:p>
        </w:tc>
        <w:tc>
          <w:tcPr>
            <w:vAlign w:val="bottom"/>
          </w:tcPr>
          <w:p w:rsidR="00000000" w:rsidDel="00000000" w:rsidP="00000000" w:rsidRDefault="00000000" w:rsidRPr="00000000" w14:paraId="000000BF">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54,5%</w:t>
            </w:r>
          </w:p>
        </w:tc>
      </w:tr>
      <w:tr>
        <w:trPr>
          <w:cantSplit w:val="0"/>
          <w:trHeight w:val="280" w:hRule="atLeast"/>
          <w:tblHeader w:val="0"/>
        </w:trPr>
        <w:tc>
          <w:tcPr>
            <w:vAlign w:val="bottom"/>
          </w:tcPr>
          <w:p w:rsidR="00000000" w:rsidDel="00000000" w:rsidP="00000000" w:rsidRDefault="00000000" w:rsidRPr="00000000" w14:paraId="000000C0">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Segovia</w:t>
            </w:r>
            <w:r w:rsidDel="00000000" w:rsidR="00000000" w:rsidRPr="00000000">
              <w:rPr>
                <w:rtl w:val="0"/>
              </w:rPr>
            </w:r>
          </w:p>
        </w:tc>
        <w:tc>
          <w:tcPr>
            <w:vAlign w:val="bottom"/>
          </w:tcPr>
          <w:p w:rsidR="00000000" w:rsidDel="00000000" w:rsidP="00000000" w:rsidRDefault="00000000" w:rsidRPr="00000000" w14:paraId="000000C1">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10,33 € </w:t>
            </w:r>
          </w:p>
        </w:tc>
        <w:tc>
          <w:tcPr>
            <w:vAlign w:val="bottom"/>
          </w:tcPr>
          <w:p w:rsidR="00000000" w:rsidDel="00000000" w:rsidP="00000000" w:rsidRDefault="00000000" w:rsidRPr="00000000" w14:paraId="000000C2">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2,7%</w:t>
            </w:r>
          </w:p>
        </w:tc>
        <w:tc>
          <w:tcPr>
            <w:vAlign w:val="bottom"/>
          </w:tcPr>
          <w:p w:rsidR="00000000" w:rsidDel="00000000" w:rsidP="00000000" w:rsidRDefault="00000000" w:rsidRPr="00000000" w14:paraId="000000C3">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color w:val="000000"/>
                <w:sz w:val="22"/>
                <w:szCs w:val="22"/>
                <w:rtl w:val="0"/>
              </w:rPr>
              <w:t xml:space="preserve">14,0%</w:t>
            </w:r>
            <w:r w:rsidDel="00000000" w:rsidR="00000000" w:rsidRPr="00000000">
              <w:rPr>
                <w:rtl w:val="0"/>
              </w:rPr>
            </w:r>
          </w:p>
        </w:tc>
        <w:tc>
          <w:tcPr>
            <w:vAlign w:val="bottom"/>
          </w:tcPr>
          <w:p w:rsidR="00000000" w:rsidDel="00000000" w:rsidP="00000000" w:rsidRDefault="00000000" w:rsidRPr="00000000" w14:paraId="000000C4">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9c0006"/>
                <w:sz w:val="22"/>
                <w:szCs w:val="22"/>
                <w:rtl w:val="0"/>
              </w:rPr>
              <w:t xml:space="preserve">-21,3%</w:t>
            </w:r>
            <w:r w:rsidDel="00000000" w:rsidR="00000000" w:rsidRPr="00000000">
              <w:rPr>
                <w:rtl w:val="0"/>
              </w:rPr>
            </w:r>
          </w:p>
        </w:tc>
      </w:tr>
      <w:tr>
        <w:trPr>
          <w:cantSplit w:val="0"/>
          <w:trHeight w:val="280" w:hRule="atLeast"/>
          <w:tblHeader w:val="0"/>
        </w:trPr>
        <w:tc>
          <w:tcPr>
            <w:vAlign w:val="bottom"/>
          </w:tcPr>
          <w:p w:rsidR="00000000" w:rsidDel="00000000" w:rsidP="00000000" w:rsidRDefault="00000000" w:rsidRPr="00000000" w14:paraId="000000C5">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A Coruña</w:t>
            </w:r>
            <w:r w:rsidDel="00000000" w:rsidR="00000000" w:rsidRPr="00000000">
              <w:rPr>
                <w:rtl w:val="0"/>
              </w:rPr>
            </w:r>
          </w:p>
        </w:tc>
        <w:tc>
          <w:tcPr>
            <w:vAlign w:val="bottom"/>
          </w:tcPr>
          <w:p w:rsidR="00000000" w:rsidDel="00000000" w:rsidP="00000000" w:rsidRDefault="00000000" w:rsidRPr="00000000" w14:paraId="000000C6">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9,67 € </w:t>
            </w:r>
          </w:p>
        </w:tc>
        <w:tc>
          <w:tcPr>
            <w:vAlign w:val="bottom"/>
          </w:tcPr>
          <w:p w:rsidR="00000000" w:rsidDel="00000000" w:rsidP="00000000" w:rsidRDefault="00000000" w:rsidRPr="00000000" w14:paraId="000000C7">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1,0%</w:t>
            </w:r>
          </w:p>
        </w:tc>
        <w:tc>
          <w:tcPr>
            <w:vAlign w:val="bottom"/>
          </w:tcPr>
          <w:p w:rsidR="00000000" w:rsidDel="00000000" w:rsidP="00000000" w:rsidRDefault="00000000" w:rsidRPr="00000000" w14:paraId="000000C8">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color w:val="000000"/>
                <w:sz w:val="22"/>
                <w:szCs w:val="22"/>
                <w:rtl w:val="0"/>
              </w:rPr>
              <w:t xml:space="preserve">13,1%</w:t>
            </w:r>
            <w:r w:rsidDel="00000000" w:rsidR="00000000" w:rsidRPr="00000000">
              <w:rPr>
                <w:rtl w:val="0"/>
              </w:rPr>
            </w:r>
          </w:p>
        </w:tc>
        <w:tc>
          <w:tcPr>
            <w:vAlign w:val="bottom"/>
          </w:tcPr>
          <w:p w:rsidR="00000000" w:rsidDel="00000000" w:rsidP="00000000" w:rsidRDefault="00000000" w:rsidRPr="00000000" w14:paraId="000000C9">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9c0006"/>
                <w:sz w:val="22"/>
                <w:szCs w:val="22"/>
                <w:rtl w:val="0"/>
              </w:rPr>
              <w:t xml:space="preserve">-26,4%</w:t>
            </w:r>
            <w:r w:rsidDel="00000000" w:rsidR="00000000" w:rsidRPr="00000000">
              <w:rPr>
                <w:rtl w:val="0"/>
              </w:rPr>
            </w:r>
          </w:p>
        </w:tc>
      </w:tr>
      <w:tr>
        <w:trPr>
          <w:cantSplit w:val="0"/>
          <w:trHeight w:val="280" w:hRule="atLeast"/>
          <w:tblHeader w:val="0"/>
        </w:trPr>
        <w:tc>
          <w:tcPr>
            <w:vAlign w:val="bottom"/>
          </w:tcPr>
          <w:p w:rsidR="00000000" w:rsidDel="00000000" w:rsidP="00000000" w:rsidRDefault="00000000" w:rsidRPr="00000000" w14:paraId="000000CA">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Murcia</w:t>
            </w:r>
            <w:r w:rsidDel="00000000" w:rsidR="00000000" w:rsidRPr="00000000">
              <w:rPr>
                <w:rtl w:val="0"/>
              </w:rPr>
            </w:r>
          </w:p>
        </w:tc>
        <w:tc>
          <w:tcPr>
            <w:vAlign w:val="bottom"/>
          </w:tcPr>
          <w:p w:rsidR="00000000" w:rsidDel="00000000" w:rsidP="00000000" w:rsidRDefault="00000000" w:rsidRPr="00000000" w14:paraId="000000CB">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9,13 € </w:t>
            </w:r>
          </w:p>
        </w:tc>
        <w:tc>
          <w:tcPr>
            <w:vAlign w:val="bottom"/>
          </w:tcPr>
          <w:p w:rsidR="00000000" w:rsidDel="00000000" w:rsidP="00000000" w:rsidRDefault="00000000" w:rsidRPr="00000000" w14:paraId="000000CC">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0,4%</w:t>
            </w:r>
          </w:p>
        </w:tc>
        <w:tc>
          <w:tcPr>
            <w:vAlign w:val="bottom"/>
          </w:tcPr>
          <w:p w:rsidR="00000000" w:rsidDel="00000000" w:rsidP="00000000" w:rsidRDefault="00000000" w:rsidRPr="00000000" w14:paraId="000000CD">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color w:val="000000"/>
                <w:sz w:val="22"/>
                <w:szCs w:val="22"/>
                <w:rtl w:val="0"/>
              </w:rPr>
              <w:t xml:space="preserve">12,9%</w:t>
            </w:r>
            <w:r w:rsidDel="00000000" w:rsidR="00000000" w:rsidRPr="00000000">
              <w:rPr>
                <w:rtl w:val="0"/>
              </w:rPr>
            </w:r>
          </w:p>
        </w:tc>
        <w:tc>
          <w:tcPr>
            <w:vAlign w:val="bottom"/>
          </w:tcPr>
          <w:p w:rsidR="00000000" w:rsidDel="00000000" w:rsidP="00000000" w:rsidRDefault="00000000" w:rsidRPr="00000000" w14:paraId="000000CE">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9c0006"/>
                <w:sz w:val="22"/>
                <w:szCs w:val="22"/>
                <w:rtl w:val="0"/>
              </w:rPr>
              <w:t xml:space="preserve">-30,5%</w:t>
            </w:r>
            <w:r w:rsidDel="00000000" w:rsidR="00000000" w:rsidRPr="00000000">
              <w:rPr>
                <w:rtl w:val="0"/>
              </w:rPr>
            </w:r>
          </w:p>
        </w:tc>
      </w:tr>
      <w:tr>
        <w:trPr>
          <w:cantSplit w:val="0"/>
          <w:trHeight w:val="280" w:hRule="atLeast"/>
          <w:tblHeader w:val="0"/>
        </w:trPr>
        <w:tc>
          <w:tcPr>
            <w:vAlign w:val="bottom"/>
          </w:tcPr>
          <w:p w:rsidR="00000000" w:rsidDel="00000000" w:rsidP="00000000" w:rsidRDefault="00000000" w:rsidRPr="00000000" w14:paraId="000000CF">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La Rioja</w:t>
            </w:r>
            <w:r w:rsidDel="00000000" w:rsidR="00000000" w:rsidRPr="00000000">
              <w:rPr>
                <w:rtl w:val="0"/>
              </w:rPr>
            </w:r>
          </w:p>
        </w:tc>
        <w:tc>
          <w:tcPr>
            <w:vAlign w:val="bottom"/>
          </w:tcPr>
          <w:p w:rsidR="00000000" w:rsidDel="00000000" w:rsidP="00000000" w:rsidRDefault="00000000" w:rsidRPr="00000000" w14:paraId="000000D0">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9,42 € </w:t>
            </w:r>
          </w:p>
        </w:tc>
        <w:tc>
          <w:tcPr>
            <w:vAlign w:val="bottom"/>
          </w:tcPr>
          <w:p w:rsidR="00000000" w:rsidDel="00000000" w:rsidP="00000000" w:rsidRDefault="00000000" w:rsidRPr="00000000" w14:paraId="000000D1">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4,0%</w:t>
            </w:r>
          </w:p>
        </w:tc>
        <w:tc>
          <w:tcPr>
            <w:vAlign w:val="bottom"/>
          </w:tcPr>
          <w:p w:rsidR="00000000" w:rsidDel="00000000" w:rsidP="00000000" w:rsidRDefault="00000000" w:rsidRPr="00000000" w14:paraId="000000D2">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color w:val="000000"/>
                <w:sz w:val="22"/>
                <w:szCs w:val="22"/>
                <w:rtl w:val="0"/>
              </w:rPr>
              <w:t xml:space="preserve">12,3%</w:t>
            </w:r>
            <w:r w:rsidDel="00000000" w:rsidR="00000000" w:rsidRPr="00000000">
              <w:rPr>
                <w:rtl w:val="0"/>
              </w:rPr>
            </w:r>
          </w:p>
        </w:tc>
        <w:tc>
          <w:tcPr>
            <w:vAlign w:val="bottom"/>
          </w:tcPr>
          <w:p w:rsidR="00000000" w:rsidDel="00000000" w:rsidP="00000000" w:rsidRDefault="00000000" w:rsidRPr="00000000" w14:paraId="000000D3">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9c0006"/>
                <w:sz w:val="22"/>
                <w:szCs w:val="22"/>
                <w:rtl w:val="0"/>
              </w:rPr>
              <w:t xml:space="preserve">-28,3%</w:t>
            </w:r>
            <w:r w:rsidDel="00000000" w:rsidR="00000000" w:rsidRPr="00000000">
              <w:rPr>
                <w:rtl w:val="0"/>
              </w:rPr>
            </w:r>
          </w:p>
        </w:tc>
      </w:tr>
      <w:tr>
        <w:trPr>
          <w:cantSplit w:val="0"/>
          <w:trHeight w:val="280" w:hRule="atLeast"/>
          <w:tblHeader w:val="0"/>
        </w:trPr>
        <w:tc>
          <w:tcPr>
            <w:vAlign w:val="bottom"/>
          </w:tcPr>
          <w:p w:rsidR="00000000" w:rsidDel="00000000" w:rsidP="00000000" w:rsidRDefault="00000000" w:rsidRPr="00000000" w14:paraId="000000D4">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Santa Cruz de Tenerife</w:t>
            </w:r>
            <w:r w:rsidDel="00000000" w:rsidR="00000000" w:rsidRPr="00000000">
              <w:rPr>
                <w:rtl w:val="0"/>
              </w:rPr>
            </w:r>
          </w:p>
        </w:tc>
        <w:tc>
          <w:tcPr>
            <w:vAlign w:val="bottom"/>
          </w:tcPr>
          <w:p w:rsidR="00000000" w:rsidDel="00000000" w:rsidP="00000000" w:rsidRDefault="00000000" w:rsidRPr="00000000" w14:paraId="000000D5">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13,48 € </w:t>
            </w:r>
          </w:p>
        </w:tc>
        <w:tc>
          <w:tcPr>
            <w:vAlign w:val="bottom"/>
          </w:tcPr>
          <w:p w:rsidR="00000000" w:rsidDel="00000000" w:rsidP="00000000" w:rsidRDefault="00000000" w:rsidRPr="00000000" w14:paraId="000000D6">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9c0006"/>
                <w:sz w:val="22"/>
                <w:szCs w:val="22"/>
                <w:rtl w:val="0"/>
              </w:rPr>
              <w:t xml:space="preserve">-5,5%</w:t>
            </w:r>
            <w:r w:rsidDel="00000000" w:rsidR="00000000" w:rsidRPr="00000000">
              <w:rPr>
                <w:rtl w:val="0"/>
              </w:rPr>
            </w:r>
          </w:p>
        </w:tc>
        <w:tc>
          <w:tcPr>
            <w:vAlign w:val="bottom"/>
          </w:tcPr>
          <w:p w:rsidR="00000000" w:rsidDel="00000000" w:rsidP="00000000" w:rsidRDefault="00000000" w:rsidRPr="00000000" w14:paraId="000000D7">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color w:val="000000"/>
                <w:sz w:val="22"/>
                <w:szCs w:val="22"/>
                <w:rtl w:val="0"/>
              </w:rPr>
              <w:t xml:space="preserve">11,9%</w:t>
            </w:r>
            <w:r w:rsidDel="00000000" w:rsidR="00000000" w:rsidRPr="00000000">
              <w:rPr>
                <w:rtl w:val="0"/>
              </w:rPr>
            </w:r>
          </w:p>
        </w:tc>
        <w:tc>
          <w:tcPr>
            <w:vAlign w:val="bottom"/>
          </w:tcPr>
          <w:p w:rsidR="00000000" w:rsidDel="00000000" w:rsidP="00000000" w:rsidRDefault="00000000" w:rsidRPr="00000000" w14:paraId="000000D8">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2,7%</w:t>
            </w:r>
          </w:p>
        </w:tc>
      </w:tr>
      <w:tr>
        <w:trPr>
          <w:cantSplit w:val="0"/>
          <w:trHeight w:val="280" w:hRule="atLeast"/>
          <w:tblHeader w:val="0"/>
        </w:trPr>
        <w:tc>
          <w:tcPr>
            <w:vAlign w:val="bottom"/>
          </w:tcPr>
          <w:p w:rsidR="00000000" w:rsidDel="00000000" w:rsidP="00000000" w:rsidRDefault="00000000" w:rsidRPr="00000000" w14:paraId="000000D9">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Girona</w:t>
            </w:r>
            <w:r w:rsidDel="00000000" w:rsidR="00000000" w:rsidRPr="00000000">
              <w:rPr>
                <w:rtl w:val="0"/>
              </w:rPr>
            </w:r>
          </w:p>
        </w:tc>
        <w:tc>
          <w:tcPr>
            <w:vAlign w:val="bottom"/>
          </w:tcPr>
          <w:p w:rsidR="00000000" w:rsidDel="00000000" w:rsidP="00000000" w:rsidRDefault="00000000" w:rsidRPr="00000000" w14:paraId="000000DA">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14,60 € </w:t>
            </w:r>
          </w:p>
        </w:tc>
        <w:tc>
          <w:tcPr>
            <w:vAlign w:val="bottom"/>
          </w:tcPr>
          <w:p w:rsidR="00000000" w:rsidDel="00000000" w:rsidP="00000000" w:rsidRDefault="00000000" w:rsidRPr="00000000" w14:paraId="000000DB">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3,5%</w:t>
            </w:r>
          </w:p>
        </w:tc>
        <w:tc>
          <w:tcPr>
            <w:vAlign w:val="bottom"/>
          </w:tcPr>
          <w:p w:rsidR="00000000" w:rsidDel="00000000" w:rsidP="00000000" w:rsidRDefault="00000000" w:rsidRPr="00000000" w14:paraId="000000DC">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color w:val="000000"/>
                <w:sz w:val="22"/>
                <w:szCs w:val="22"/>
                <w:rtl w:val="0"/>
              </w:rPr>
              <w:t xml:space="preserve">11,5%</w:t>
            </w:r>
            <w:r w:rsidDel="00000000" w:rsidR="00000000" w:rsidRPr="00000000">
              <w:rPr>
                <w:rtl w:val="0"/>
              </w:rPr>
            </w:r>
          </w:p>
        </w:tc>
        <w:tc>
          <w:tcPr>
            <w:vAlign w:val="bottom"/>
          </w:tcPr>
          <w:p w:rsidR="00000000" w:rsidDel="00000000" w:rsidP="00000000" w:rsidRDefault="00000000" w:rsidRPr="00000000" w14:paraId="000000DD">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11,2%</w:t>
            </w:r>
          </w:p>
        </w:tc>
      </w:tr>
      <w:tr>
        <w:trPr>
          <w:cantSplit w:val="0"/>
          <w:trHeight w:val="280" w:hRule="atLeast"/>
          <w:tblHeader w:val="0"/>
        </w:trPr>
        <w:tc>
          <w:tcPr>
            <w:vAlign w:val="bottom"/>
          </w:tcPr>
          <w:p w:rsidR="00000000" w:rsidDel="00000000" w:rsidP="00000000" w:rsidRDefault="00000000" w:rsidRPr="00000000" w14:paraId="000000DE">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Alicante</w:t>
            </w:r>
            <w:r w:rsidDel="00000000" w:rsidR="00000000" w:rsidRPr="00000000">
              <w:rPr>
                <w:rtl w:val="0"/>
              </w:rPr>
            </w:r>
          </w:p>
        </w:tc>
        <w:tc>
          <w:tcPr>
            <w:vAlign w:val="bottom"/>
          </w:tcPr>
          <w:p w:rsidR="00000000" w:rsidDel="00000000" w:rsidP="00000000" w:rsidRDefault="00000000" w:rsidRPr="00000000" w14:paraId="000000DF">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12,01 € </w:t>
            </w:r>
          </w:p>
        </w:tc>
        <w:tc>
          <w:tcPr>
            <w:vAlign w:val="bottom"/>
          </w:tcPr>
          <w:p w:rsidR="00000000" w:rsidDel="00000000" w:rsidP="00000000" w:rsidRDefault="00000000" w:rsidRPr="00000000" w14:paraId="000000E0">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1,7%</w:t>
            </w:r>
          </w:p>
        </w:tc>
        <w:tc>
          <w:tcPr>
            <w:vAlign w:val="bottom"/>
          </w:tcPr>
          <w:p w:rsidR="00000000" w:rsidDel="00000000" w:rsidP="00000000" w:rsidRDefault="00000000" w:rsidRPr="00000000" w14:paraId="000000E1">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color w:val="000000"/>
                <w:sz w:val="22"/>
                <w:szCs w:val="22"/>
                <w:rtl w:val="0"/>
              </w:rPr>
              <w:t xml:space="preserve">11,4%</w:t>
            </w:r>
            <w:r w:rsidDel="00000000" w:rsidR="00000000" w:rsidRPr="00000000">
              <w:rPr>
                <w:rtl w:val="0"/>
              </w:rPr>
            </w:r>
          </w:p>
        </w:tc>
        <w:tc>
          <w:tcPr>
            <w:vAlign w:val="bottom"/>
          </w:tcPr>
          <w:p w:rsidR="00000000" w:rsidDel="00000000" w:rsidP="00000000" w:rsidRDefault="00000000" w:rsidRPr="00000000" w14:paraId="000000E2">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9c0006"/>
                <w:sz w:val="22"/>
                <w:szCs w:val="22"/>
                <w:rtl w:val="0"/>
              </w:rPr>
              <w:t xml:space="preserve">-8,5%</w:t>
            </w:r>
            <w:r w:rsidDel="00000000" w:rsidR="00000000" w:rsidRPr="00000000">
              <w:rPr>
                <w:rtl w:val="0"/>
              </w:rPr>
            </w:r>
          </w:p>
        </w:tc>
      </w:tr>
      <w:tr>
        <w:trPr>
          <w:cantSplit w:val="0"/>
          <w:trHeight w:val="280" w:hRule="atLeast"/>
          <w:tblHeader w:val="0"/>
        </w:trPr>
        <w:tc>
          <w:tcPr>
            <w:vAlign w:val="bottom"/>
          </w:tcPr>
          <w:p w:rsidR="00000000" w:rsidDel="00000000" w:rsidP="00000000" w:rsidRDefault="00000000" w:rsidRPr="00000000" w14:paraId="000000E3">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Almería</w:t>
            </w:r>
            <w:r w:rsidDel="00000000" w:rsidR="00000000" w:rsidRPr="00000000">
              <w:rPr>
                <w:rtl w:val="0"/>
              </w:rPr>
            </w:r>
          </w:p>
        </w:tc>
        <w:tc>
          <w:tcPr>
            <w:vAlign w:val="bottom"/>
          </w:tcPr>
          <w:p w:rsidR="00000000" w:rsidDel="00000000" w:rsidP="00000000" w:rsidRDefault="00000000" w:rsidRPr="00000000" w14:paraId="000000E4">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8,89 € </w:t>
            </w:r>
          </w:p>
        </w:tc>
        <w:tc>
          <w:tcPr>
            <w:vAlign w:val="bottom"/>
          </w:tcPr>
          <w:p w:rsidR="00000000" w:rsidDel="00000000" w:rsidP="00000000" w:rsidRDefault="00000000" w:rsidRPr="00000000" w14:paraId="000000E5">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1,7%</w:t>
            </w:r>
          </w:p>
        </w:tc>
        <w:tc>
          <w:tcPr>
            <w:vAlign w:val="bottom"/>
          </w:tcPr>
          <w:p w:rsidR="00000000" w:rsidDel="00000000" w:rsidP="00000000" w:rsidRDefault="00000000" w:rsidRPr="00000000" w14:paraId="000000E6">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color w:val="000000"/>
                <w:sz w:val="22"/>
                <w:szCs w:val="22"/>
                <w:rtl w:val="0"/>
              </w:rPr>
              <w:t xml:space="preserve">10,3%</w:t>
            </w:r>
            <w:r w:rsidDel="00000000" w:rsidR="00000000" w:rsidRPr="00000000">
              <w:rPr>
                <w:rtl w:val="0"/>
              </w:rPr>
            </w:r>
          </w:p>
        </w:tc>
        <w:tc>
          <w:tcPr>
            <w:vAlign w:val="bottom"/>
          </w:tcPr>
          <w:p w:rsidR="00000000" w:rsidDel="00000000" w:rsidP="00000000" w:rsidRDefault="00000000" w:rsidRPr="00000000" w14:paraId="000000E7">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9c0006"/>
                <w:sz w:val="22"/>
                <w:szCs w:val="22"/>
                <w:rtl w:val="0"/>
              </w:rPr>
              <w:t xml:space="preserve">-32,3%</w:t>
            </w:r>
            <w:r w:rsidDel="00000000" w:rsidR="00000000" w:rsidRPr="00000000">
              <w:rPr>
                <w:rtl w:val="0"/>
              </w:rPr>
            </w:r>
          </w:p>
        </w:tc>
      </w:tr>
      <w:tr>
        <w:trPr>
          <w:cantSplit w:val="0"/>
          <w:trHeight w:val="280" w:hRule="atLeast"/>
          <w:tblHeader w:val="0"/>
        </w:trPr>
        <w:tc>
          <w:tcPr>
            <w:vAlign w:val="bottom"/>
          </w:tcPr>
          <w:p w:rsidR="00000000" w:rsidDel="00000000" w:rsidP="00000000" w:rsidRDefault="00000000" w:rsidRPr="00000000" w14:paraId="000000E8">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Navarra</w:t>
            </w:r>
            <w:r w:rsidDel="00000000" w:rsidR="00000000" w:rsidRPr="00000000">
              <w:rPr>
                <w:rtl w:val="0"/>
              </w:rPr>
            </w:r>
          </w:p>
        </w:tc>
        <w:tc>
          <w:tcPr>
            <w:vAlign w:val="bottom"/>
          </w:tcPr>
          <w:p w:rsidR="00000000" w:rsidDel="00000000" w:rsidP="00000000" w:rsidRDefault="00000000" w:rsidRPr="00000000" w14:paraId="000000E9">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12,13 € </w:t>
            </w:r>
          </w:p>
        </w:tc>
        <w:tc>
          <w:tcPr>
            <w:vAlign w:val="bottom"/>
          </w:tcPr>
          <w:p w:rsidR="00000000" w:rsidDel="00000000" w:rsidP="00000000" w:rsidRDefault="00000000" w:rsidRPr="00000000" w14:paraId="000000EA">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0,7%</w:t>
            </w:r>
          </w:p>
        </w:tc>
        <w:tc>
          <w:tcPr>
            <w:vAlign w:val="bottom"/>
          </w:tcPr>
          <w:p w:rsidR="00000000" w:rsidDel="00000000" w:rsidP="00000000" w:rsidRDefault="00000000" w:rsidRPr="00000000" w14:paraId="000000EB">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color w:val="000000"/>
                <w:sz w:val="22"/>
                <w:szCs w:val="22"/>
                <w:rtl w:val="0"/>
              </w:rPr>
              <w:t xml:space="preserve">10,1%</w:t>
            </w:r>
            <w:r w:rsidDel="00000000" w:rsidR="00000000" w:rsidRPr="00000000">
              <w:rPr>
                <w:rtl w:val="0"/>
              </w:rPr>
            </w:r>
          </w:p>
        </w:tc>
        <w:tc>
          <w:tcPr>
            <w:vAlign w:val="bottom"/>
          </w:tcPr>
          <w:p w:rsidR="00000000" w:rsidDel="00000000" w:rsidP="00000000" w:rsidRDefault="00000000" w:rsidRPr="00000000" w14:paraId="000000EC">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9c0006"/>
                <w:sz w:val="22"/>
                <w:szCs w:val="22"/>
                <w:rtl w:val="0"/>
              </w:rPr>
              <w:t xml:space="preserve">-7,6%</w:t>
            </w:r>
            <w:r w:rsidDel="00000000" w:rsidR="00000000" w:rsidRPr="00000000">
              <w:rPr>
                <w:rtl w:val="0"/>
              </w:rPr>
            </w:r>
          </w:p>
        </w:tc>
      </w:tr>
      <w:tr>
        <w:trPr>
          <w:cantSplit w:val="0"/>
          <w:trHeight w:val="280" w:hRule="atLeast"/>
          <w:tblHeader w:val="0"/>
        </w:trPr>
        <w:tc>
          <w:tcPr>
            <w:vAlign w:val="bottom"/>
          </w:tcPr>
          <w:p w:rsidR="00000000" w:rsidDel="00000000" w:rsidP="00000000" w:rsidRDefault="00000000" w:rsidRPr="00000000" w14:paraId="000000ED">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Valencia</w:t>
            </w:r>
            <w:r w:rsidDel="00000000" w:rsidR="00000000" w:rsidRPr="00000000">
              <w:rPr>
                <w:rtl w:val="0"/>
              </w:rPr>
            </w:r>
          </w:p>
        </w:tc>
        <w:tc>
          <w:tcPr>
            <w:vAlign w:val="bottom"/>
          </w:tcPr>
          <w:p w:rsidR="00000000" w:rsidDel="00000000" w:rsidP="00000000" w:rsidRDefault="00000000" w:rsidRPr="00000000" w14:paraId="000000EE">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14,13 € </w:t>
            </w:r>
          </w:p>
        </w:tc>
        <w:tc>
          <w:tcPr>
            <w:vAlign w:val="bottom"/>
          </w:tcPr>
          <w:p w:rsidR="00000000" w:rsidDel="00000000" w:rsidP="00000000" w:rsidRDefault="00000000" w:rsidRPr="00000000" w14:paraId="000000EF">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4,3%</w:t>
            </w:r>
          </w:p>
        </w:tc>
        <w:tc>
          <w:tcPr>
            <w:vAlign w:val="bottom"/>
          </w:tcPr>
          <w:p w:rsidR="00000000" w:rsidDel="00000000" w:rsidP="00000000" w:rsidRDefault="00000000" w:rsidRPr="00000000" w14:paraId="000000F0">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color w:val="000000"/>
                <w:sz w:val="22"/>
                <w:szCs w:val="22"/>
                <w:rtl w:val="0"/>
              </w:rPr>
              <w:t xml:space="preserve">10,0%</w:t>
            </w:r>
            <w:r w:rsidDel="00000000" w:rsidR="00000000" w:rsidRPr="00000000">
              <w:rPr>
                <w:rtl w:val="0"/>
              </w:rPr>
            </w:r>
          </w:p>
        </w:tc>
        <w:tc>
          <w:tcPr>
            <w:vAlign w:val="bottom"/>
          </w:tcPr>
          <w:p w:rsidR="00000000" w:rsidDel="00000000" w:rsidP="00000000" w:rsidRDefault="00000000" w:rsidRPr="00000000" w14:paraId="000000F1">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7,6%</w:t>
            </w:r>
          </w:p>
        </w:tc>
      </w:tr>
      <w:tr>
        <w:trPr>
          <w:cantSplit w:val="0"/>
          <w:trHeight w:val="280" w:hRule="atLeast"/>
          <w:tblHeader w:val="0"/>
        </w:trPr>
        <w:tc>
          <w:tcPr>
            <w:vAlign w:val="bottom"/>
          </w:tcPr>
          <w:p w:rsidR="00000000" w:rsidDel="00000000" w:rsidP="00000000" w:rsidRDefault="00000000" w:rsidRPr="00000000" w14:paraId="000000F2">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Albacete</w:t>
            </w:r>
            <w:r w:rsidDel="00000000" w:rsidR="00000000" w:rsidRPr="00000000">
              <w:rPr>
                <w:rtl w:val="0"/>
              </w:rPr>
            </w:r>
          </w:p>
        </w:tc>
        <w:tc>
          <w:tcPr>
            <w:vAlign w:val="bottom"/>
          </w:tcPr>
          <w:p w:rsidR="00000000" w:rsidDel="00000000" w:rsidP="00000000" w:rsidRDefault="00000000" w:rsidRPr="00000000" w14:paraId="000000F3">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7,26 € </w:t>
            </w:r>
          </w:p>
        </w:tc>
        <w:tc>
          <w:tcPr>
            <w:vAlign w:val="bottom"/>
          </w:tcPr>
          <w:p w:rsidR="00000000" w:rsidDel="00000000" w:rsidP="00000000" w:rsidRDefault="00000000" w:rsidRPr="00000000" w14:paraId="000000F4">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9c0006"/>
                <w:sz w:val="22"/>
                <w:szCs w:val="22"/>
                <w:rtl w:val="0"/>
              </w:rPr>
              <w:t xml:space="preserve">-1,6%</w:t>
            </w:r>
            <w:r w:rsidDel="00000000" w:rsidR="00000000" w:rsidRPr="00000000">
              <w:rPr>
                <w:rtl w:val="0"/>
              </w:rPr>
            </w:r>
          </w:p>
        </w:tc>
        <w:tc>
          <w:tcPr>
            <w:vAlign w:val="bottom"/>
          </w:tcPr>
          <w:p w:rsidR="00000000" w:rsidDel="00000000" w:rsidP="00000000" w:rsidRDefault="00000000" w:rsidRPr="00000000" w14:paraId="000000F5">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color w:val="000000"/>
                <w:sz w:val="22"/>
                <w:szCs w:val="22"/>
                <w:rtl w:val="0"/>
              </w:rPr>
              <w:t xml:space="preserve">10,0%</w:t>
            </w:r>
            <w:r w:rsidDel="00000000" w:rsidR="00000000" w:rsidRPr="00000000">
              <w:rPr>
                <w:rtl w:val="0"/>
              </w:rPr>
            </w:r>
          </w:p>
        </w:tc>
        <w:tc>
          <w:tcPr>
            <w:vAlign w:val="bottom"/>
          </w:tcPr>
          <w:p w:rsidR="00000000" w:rsidDel="00000000" w:rsidP="00000000" w:rsidRDefault="00000000" w:rsidRPr="00000000" w14:paraId="000000F6">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9c0006"/>
                <w:sz w:val="22"/>
                <w:szCs w:val="22"/>
                <w:rtl w:val="0"/>
              </w:rPr>
              <w:t xml:space="preserve">-44,7%</w:t>
            </w:r>
            <w:r w:rsidDel="00000000" w:rsidR="00000000" w:rsidRPr="00000000">
              <w:rPr>
                <w:rtl w:val="0"/>
              </w:rPr>
            </w:r>
          </w:p>
        </w:tc>
      </w:tr>
      <w:tr>
        <w:trPr>
          <w:cantSplit w:val="0"/>
          <w:trHeight w:val="280" w:hRule="atLeast"/>
          <w:tblHeader w:val="0"/>
        </w:trPr>
        <w:tc>
          <w:tcPr>
            <w:vAlign w:val="bottom"/>
          </w:tcPr>
          <w:p w:rsidR="00000000" w:rsidDel="00000000" w:rsidP="00000000" w:rsidRDefault="00000000" w:rsidRPr="00000000" w14:paraId="000000F7">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Castellón</w:t>
            </w:r>
            <w:r w:rsidDel="00000000" w:rsidR="00000000" w:rsidRPr="00000000">
              <w:rPr>
                <w:rtl w:val="0"/>
              </w:rPr>
            </w:r>
          </w:p>
        </w:tc>
        <w:tc>
          <w:tcPr>
            <w:vAlign w:val="bottom"/>
          </w:tcPr>
          <w:p w:rsidR="00000000" w:rsidDel="00000000" w:rsidP="00000000" w:rsidRDefault="00000000" w:rsidRPr="00000000" w14:paraId="000000F8">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8,66 € </w:t>
            </w:r>
          </w:p>
        </w:tc>
        <w:tc>
          <w:tcPr>
            <w:vAlign w:val="bottom"/>
          </w:tcPr>
          <w:p w:rsidR="00000000" w:rsidDel="00000000" w:rsidP="00000000" w:rsidRDefault="00000000" w:rsidRPr="00000000" w14:paraId="000000F9">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0,8%</w:t>
            </w:r>
          </w:p>
        </w:tc>
        <w:tc>
          <w:tcPr>
            <w:vAlign w:val="bottom"/>
          </w:tcPr>
          <w:p w:rsidR="00000000" w:rsidDel="00000000" w:rsidP="00000000" w:rsidRDefault="00000000" w:rsidRPr="00000000" w14:paraId="000000FA">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color w:val="000000"/>
                <w:sz w:val="22"/>
                <w:szCs w:val="22"/>
                <w:rtl w:val="0"/>
              </w:rPr>
              <w:t xml:space="preserve">9,9%</w:t>
            </w:r>
            <w:r w:rsidDel="00000000" w:rsidR="00000000" w:rsidRPr="00000000">
              <w:rPr>
                <w:rtl w:val="0"/>
              </w:rPr>
            </w:r>
          </w:p>
        </w:tc>
        <w:tc>
          <w:tcPr>
            <w:vAlign w:val="bottom"/>
          </w:tcPr>
          <w:p w:rsidR="00000000" w:rsidDel="00000000" w:rsidP="00000000" w:rsidRDefault="00000000" w:rsidRPr="00000000" w14:paraId="000000FB">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9c0006"/>
                <w:sz w:val="22"/>
                <w:szCs w:val="22"/>
                <w:rtl w:val="0"/>
              </w:rPr>
              <w:t xml:space="preserve">-34,0%</w:t>
            </w:r>
            <w:r w:rsidDel="00000000" w:rsidR="00000000" w:rsidRPr="00000000">
              <w:rPr>
                <w:rtl w:val="0"/>
              </w:rPr>
            </w:r>
          </w:p>
        </w:tc>
      </w:tr>
      <w:tr>
        <w:trPr>
          <w:cantSplit w:val="0"/>
          <w:trHeight w:val="280" w:hRule="atLeast"/>
          <w:tblHeader w:val="0"/>
        </w:trPr>
        <w:tc>
          <w:tcPr>
            <w:vAlign w:val="bottom"/>
          </w:tcPr>
          <w:p w:rsidR="00000000" w:rsidDel="00000000" w:rsidP="00000000" w:rsidRDefault="00000000" w:rsidRPr="00000000" w14:paraId="000000FC">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Ciudad Real</w:t>
            </w:r>
            <w:r w:rsidDel="00000000" w:rsidR="00000000" w:rsidRPr="00000000">
              <w:rPr>
                <w:rtl w:val="0"/>
              </w:rPr>
            </w:r>
          </w:p>
        </w:tc>
        <w:tc>
          <w:tcPr>
            <w:vAlign w:val="bottom"/>
          </w:tcPr>
          <w:p w:rsidR="00000000" w:rsidDel="00000000" w:rsidP="00000000" w:rsidRDefault="00000000" w:rsidRPr="00000000" w14:paraId="000000FD">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6,17 € </w:t>
            </w:r>
          </w:p>
        </w:tc>
        <w:tc>
          <w:tcPr>
            <w:vAlign w:val="bottom"/>
          </w:tcPr>
          <w:p w:rsidR="00000000" w:rsidDel="00000000" w:rsidP="00000000" w:rsidRDefault="00000000" w:rsidRPr="00000000" w14:paraId="000000FE">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9c0006"/>
                <w:sz w:val="22"/>
                <w:szCs w:val="22"/>
                <w:rtl w:val="0"/>
              </w:rPr>
              <w:t xml:space="preserve">-0,8%</w:t>
            </w:r>
            <w:r w:rsidDel="00000000" w:rsidR="00000000" w:rsidRPr="00000000">
              <w:rPr>
                <w:rtl w:val="0"/>
              </w:rPr>
            </w:r>
          </w:p>
        </w:tc>
        <w:tc>
          <w:tcPr>
            <w:vAlign w:val="bottom"/>
          </w:tcPr>
          <w:p w:rsidR="00000000" w:rsidDel="00000000" w:rsidP="00000000" w:rsidRDefault="00000000" w:rsidRPr="00000000" w14:paraId="000000FF">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color w:val="000000"/>
                <w:sz w:val="22"/>
                <w:szCs w:val="22"/>
                <w:rtl w:val="0"/>
              </w:rPr>
              <w:t xml:space="preserve">9,4%</w:t>
            </w:r>
            <w:r w:rsidDel="00000000" w:rsidR="00000000" w:rsidRPr="00000000">
              <w:rPr>
                <w:rtl w:val="0"/>
              </w:rPr>
            </w:r>
          </w:p>
        </w:tc>
        <w:tc>
          <w:tcPr>
            <w:vAlign w:val="bottom"/>
          </w:tcPr>
          <w:p w:rsidR="00000000" w:rsidDel="00000000" w:rsidP="00000000" w:rsidRDefault="00000000" w:rsidRPr="00000000" w14:paraId="00000100">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9c0006"/>
                <w:sz w:val="22"/>
                <w:szCs w:val="22"/>
                <w:rtl w:val="0"/>
              </w:rPr>
              <w:t xml:space="preserve">-53,0%</w:t>
            </w:r>
            <w:r w:rsidDel="00000000" w:rsidR="00000000" w:rsidRPr="00000000">
              <w:rPr>
                <w:rtl w:val="0"/>
              </w:rPr>
            </w:r>
          </w:p>
        </w:tc>
      </w:tr>
      <w:tr>
        <w:trPr>
          <w:cantSplit w:val="0"/>
          <w:trHeight w:val="280" w:hRule="atLeast"/>
          <w:tblHeader w:val="0"/>
        </w:trPr>
        <w:tc>
          <w:tcPr>
            <w:vAlign w:val="bottom"/>
          </w:tcPr>
          <w:p w:rsidR="00000000" w:rsidDel="00000000" w:rsidP="00000000" w:rsidRDefault="00000000" w:rsidRPr="00000000" w14:paraId="00000101">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Lleida</w:t>
            </w:r>
            <w:r w:rsidDel="00000000" w:rsidR="00000000" w:rsidRPr="00000000">
              <w:rPr>
                <w:rtl w:val="0"/>
              </w:rPr>
            </w:r>
          </w:p>
        </w:tc>
        <w:tc>
          <w:tcPr>
            <w:vAlign w:val="bottom"/>
          </w:tcPr>
          <w:p w:rsidR="00000000" w:rsidDel="00000000" w:rsidP="00000000" w:rsidRDefault="00000000" w:rsidRPr="00000000" w14:paraId="00000102">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8,52 € </w:t>
            </w:r>
          </w:p>
        </w:tc>
        <w:tc>
          <w:tcPr>
            <w:vAlign w:val="bottom"/>
          </w:tcPr>
          <w:p w:rsidR="00000000" w:rsidDel="00000000" w:rsidP="00000000" w:rsidRDefault="00000000" w:rsidRPr="00000000" w14:paraId="00000103">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6,1%</w:t>
            </w:r>
          </w:p>
        </w:tc>
        <w:tc>
          <w:tcPr>
            <w:vAlign w:val="bottom"/>
          </w:tcPr>
          <w:p w:rsidR="00000000" w:rsidDel="00000000" w:rsidP="00000000" w:rsidRDefault="00000000" w:rsidRPr="00000000" w14:paraId="00000104">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color w:val="000000"/>
                <w:sz w:val="22"/>
                <w:szCs w:val="22"/>
                <w:rtl w:val="0"/>
              </w:rPr>
              <w:t xml:space="preserve">9,2%</w:t>
            </w:r>
            <w:r w:rsidDel="00000000" w:rsidR="00000000" w:rsidRPr="00000000">
              <w:rPr>
                <w:rtl w:val="0"/>
              </w:rPr>
            </w:r>
          </w:p>
        </w:tc>
        <w:tc>
          <w:tcPr>
            <w:vAlign w:val="bottom"/>
          </w:tcPr>
          <w:p w:rsidR="00000000" w:rsidDel="00000000" w:rsidP="00000000" w:rsidRDefault="00000000" w:rsidRPr="00000000" w14:paraId="00000105">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9c0006"/>
                <w:sz w:val="22"/>
                <w:szCs w:val="22"/>
                <w:rtl w:val="0"/>
              </w:rPr>
              <w:t xml:space="preserve">-35,1%</w:t>
            </w:r>
            <w:r w:rsidDel="00000000" w:rsidR="00000000" w:rsidRPr="00000000">
              <w:rPr>
                <w:rtl w:val="0"/>
              </w:rPr>
            </w:r>
          </w:p>
        </w:tc>
      </w:tr>
      <w:tr>
        <w:trPr>
          <w:cantSplit w:val="0"/>
          <w:trHeight w:val="280" w:hRule="atLeast"/>
          <w:tblHeader w:val="0"/>
        </w:trPr>
        <w:tc>
          <w:tcPr>
            <w:vAlign w:val="bottom"/>
          </w:tcPr>
          <w:p w:rsidR="00000000" w:rsidDel="00000000" w:rsidP="00000000" w:rsidRDefault="00000000" w:rsidRPr="00000000" w14:paraId="00000106">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Zaragoza</w:t>
            </w:r>
            <w:r w:rsidDel="00000000" w:rsidR="00000000" w:rsidRPr="00000000">
              <w:rPr>
                <w:rtl w:val="0"/>
              </w:rPr>
            </w:r>
          </w:p>
        </w:tc>
        <w:tc>
          <w:tcPr>
            <w:vAlign w:val="bottom"/>
          </w:tcPr>
          <w:p w:rsidR="00000000" w:rsidDel="00000000" w:rsidP="00000000" w:rsidRDefault="00000000" w:rsidRPr="00000000" w14:paraId="00000107">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10,48 € </w:t>
            </w:r>
          </w:p>
        </w:tc>
        <w:tc>
          <w:tcPr>
            <w:vAlign w:val="bottom"/>
          </w:tcPr>
          <w:p w:rsidR="00000000" w:rsidDel="00000000" w:rsidP="00000000" w:rsidRDefault="00000000" w:rsidRPr="00000000" w14:paraId="00000108">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9c0006"/>
                <w:sz w:val="22"/>
                <w:szCs w:val="22"/>
                <w:rtl w:val="0"/>
              </w:rPr>
              <w:t xml:space="preserve">-0,3%</w:t>
            </w:r>
            <w:r w:rsidDel="00000000" w:rsidR="00000000" w:rsidRPr="00000000">
              <w:rPr>
                <w:rtl w:val="0"/>
              </w:rPr>
            </w:r>
          </w:p>
        </w:tc>
        <w:tc>
          <w:tcPr>
            <w:vAlign w:val="bottom"/>
          </w:tcPr>
          <w:p w:rsidR="00000000" w:rsidDel="00000000" w:rsidP="00000000" w:rsidRDefault="00000000" w:rsidRPr="00000000" w14:paraId="00000109">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color w:val="000000"/>
                <w:sz w:val="22"/>
                <w:szCs w:val="22"/>
                <w:rtl w:val="0"/>
              </w:rPr>
              <w:t xml:space="preserve">9,1%</w:t>
            </w:r>
            <w:r w:rsidDel="00000000" w:rsidR="00000000" w:rsidRPr="00000000">
              <w:rPr>
                <w:rtl w:val="0"/>
              </w:rPr>
            </w:r>
          </w:p>
        </w:tc>
        <w:tc>
          <w:tcPr>
            <w:vAlign w:val="bottom"/>
          </w:tcPr>
          <w:p w:rsidR="00000000" w:rsidDel="00000000" w:rsidP="00000000" w:rsidRDefault="00000000" w:rsidRPr="00000000" w14:paraId="0000010A">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9c0006"/>
                <w:sz w:val="22"/>
                <w:szCs w:val="22"/>
                <w:rtl w:val="0"/>
              </w:rPr>
              <w:t xml:space="preserve">-20,2%</w:t>
            </w:r>
            <w:r w:rsidDel="00000000" w:rsidR="00000000" w:rsidRPr="00000000">
              <w:rPr>
                <w:rtl w:val="0"/>
              </w:rPr>
            </w:r>
          </w:p>
        </w:tc>
      </w:tr>
      <w:tr>
        <w:trPr>
          <w:cantSplit w:val="0"/>
          <w:trHeight w:val="280" w:hRule="atLeast"/>
          <w:tblHeader w:val="0"/>
        </w:trPr>
        <w:tc>
          <w:tcPr>
            <w:vAlign w:val="bottom"/>
          </w:tcPr>
          <w:p w:rsidR="00000000" w:rsidDel="00000000" w:rsidP="00000000" w:rsidRDefault="00000000" w:rsidRPr="00000000" w14:paraId="0000010B">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León</w:t>
            </w:r>
            <w:r w:rsidDel="00000000" w:rsidR="00000000" w:rsidRPr="00000000">
              <w:rPr>
                <w:rtl w:val="0"/>
              </w:rPr>
            </w:r>
          </w:p>
        </w:tc>
        <w:tc>
          <w:tcPr>
            <w:vAlign w:val="bottom"/>
          </w:tcPr>
          <w:p w:rsidR="00000000" w:rsidDel="00000000" w:rsidP="00000000" w:rsidRDefault="00000000" w:rsidRPr="00000000" w14:paraId="0000010C">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7,78 € </w:t>
            </w:r>
          </w:p>
        </w:tc>
        <w:tc>
          <w:tcPr>
            <w:vAlign w:val="bottom"/>
          </w:tcPr>
          <w:p w:rsidR="00000000" w:rsidDel="00000000" w:rsidP="00000000" w:rsidRDefault="00000000" w:rsidRPr="00000000" w14:paraId="0000010D">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5,3%</w:t>
            </w:r>
          </w:p>
        </w:tc>
        <w:tc>
          <w:tcPr>
            <w:vAlign w:val="bottom"/>
          </w:tcPr>
          <w:p w:rsidR="00000000" w:rsidDel="00000000" w:rsidP="00000000" w:rsidRDefault="00000000" w:rsidRPr="00000000" w14:paraId="0000010E">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color w:val="000000"/>
                <w:sz w:val="22"/>
                <w:szCs w:val="22"/>
                <w:rtl w:val="0"/>
              </w:rPr>
              <w:t xml:space="preserve">9,0%</w:t>
            </w:r>
            <w:r w:rsidDel="00000000" w:rsidR="00000000" w:rsidRPr="00000000">
              <w:rPr>
                <w:rtl w:val="0"/>
              </w:rPr>
            </w:r>
          </w:p>
        </w:tc>
        <w:tc>
          <w:tcPr>
            <w:vAlign w:val="bottom"/>
          </w:tcPr>
          <w:p w:rsidR="00000000" w:rsidDel="00000000" w:rsidP="00000000" w:rsidRDefault="00000000" w:rsidRPr="00000000" w14:paraId="0000010F">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9c0006"/>
                <w:sz w:val="22"/>
                <w:szCs w:val="22"/>
                <w:rtl w:val="0"/>
              </w:rPr>
              <w:t xml:space="preserve">-40,7%</w:t>
            </w:r>
            <w:r w:rsidDel="00000000" w:rsidR="00000000" w:rsidRPr="00000000">
              <w:rPr>
                <w:rtl w:val="0"/>
              </w:rPr>
            </w:r>
          </w:p>
        </w:tc>
      </w:tr>
      <w:tr>
        <w:trPr>
          <w:cantSplit w:val="0"/>
          <w:trHeight w:val="280" w:hRule="atLeast"/>
          <w:tblHeader w:val="0"/>
        </w:trPr>
        <w:tc>
          <w:tcPr>
            <w:vAlign w:val="bottom"/>
          </w:tcPr>
          <w:p w:rsidR="00000000" w:rsidDel="00000000" w:rsidP="00000000" w:rsidRDefault="00000000" w:rsidRPr="00000000" w14:paraId="00000110">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Córdoba</w:t>
            </w:r>
            <w:r w:rsidDel="00000000" w:rsidR="00000000" w:rsidRPr="00000000">
              <w:rPr>
                <w:rtl w:val="0"/>
              </w:rPr>
            </w:r>
          </w:p>
        </w:tc>
        <w:tc>
          <w:tcPr>
            <w:vAlign w:val="bottom"/>
          </w:tcPr>
          <w:p w:rsidR="00000000" w:rsidDel="00000000" w:rsidP="00000000" w:rsidRDefault="00000000" w:rsidRPr="00000000" w14:paraId="00000111">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8,16 € </w:t>
            </w:r>
          </w:p>
        </w:tc>
        <w:tc>
          <w:tcPr>
            <w:vAlign w:val="bottom"/>
          </w:tcPr>
          <w:p w:rsidR="00000000" w:rsidDel="00000000" w:rsidP="00000000" w:rsidRDefault="00000000" w:rsidRPr="00000000" w14:paraId="00000112">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0,6%</w:t>
            </w:r>
          </w:p>
        </w:tc>
        <w:tc>
          <w:tcPr>
            <w:vAlign w:val="bottom"/>
          </w:tcPr>
          <w:p w:rsidR="00000000" w:rsidDel="00000000" w:rsidP="00000000" w:rsidRDefault="00000000" w:rsidRPr="00000000" w14:paraId="00000113">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color w:val="000000"/>
                <w:sz w:val="22"/>
                <w:szCs w:val="22"/>
                <w:rtl w:val="0"/>
              </w:rPr>
              <w:t xml:space="preserve">8,9%</w:t>
            </w:r>
            <w:r w:rsidDel="00000000" w:rsidR="00000000" w:rsidRPr="00000000">
              <w:rPr>
                <w:rtl w:val="0"/>
              </w:rPr>
            </w:r>
          </w:p>
        </w:tc>
        <w:tc>
          <w:tcPr>
            <w:vAlign w:val="bottom"/>
          </w:tcPr>
          <w:p w:rsidR="00000000" w:rsidDel="00000000" w:rsidP="00000000" w:rsidRDefault="00000000" w:rsidRPr="00000000" w14:paraId="00000114">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9c0006"/>
                <w:sz w:val="22"/>
                <w:szCs w:val="22"/>
                <w:rtl w:val="0"/>
              </w:rPr>
              <w:t xml:space="preserve">-37,9%</w:t>
            </w:r>
            <w:r w:rsidDel="00000000" w:rsidR="00000000" w:rsidRPr="00000000">
              <w:rPr>
                <w:rtl w:val="0"/>
              </w:rPr>
            </w:r>
          </w:p>
        </w:tc>
      </w:tr>
      <w:tr>
        <w:trPr>
          <w:cantSplit w:val="0"/>
          <w:trHeight w:val="280" w:hRule="atLeast"/>
          <w:tblHeader w:val="0"/>
        </w:trPr>
        <w:tc>
          <w:tcPr>
            <w:vAlign w:val="bottom"/>
          </w:tcPr>
          <w:p w:rsidR="00000000" w:rsidDel="00000000" w:rsidP="00000000" w:rsidRDefault="00000000" w:rsidRPr="00000000" w14:paraId="00000115">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Badajoz</w:t>
            </w:r>
            <w:r w:rsidDel="00000000" w:rsidR="00000000" w:rsidRPr="00000000">
              <w:rPr>
                <w:rtl w:val="0"/>
              </w:rPr>
            </w:r>
          </w:p>
        </w:tc>
        <w:tc>
          <w:tcPr>
            <w:vAlign w:val="bottom"/>
          </w:tcPr>
          <w:p w:rsidR="00000000" w:rsidDel="00000000" w:rsidP="00000000" w:rsidRDefault="00000000" w:rsidRPr="00000000" w14:paraId="00000116">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6,67 € </w:t>
            </w:r>
          </w:p>
        </w:tc>
        <w:tc>
          <w:tcPr>
            <w:vAlign w:val="bottom"/>
          </w:tcPr>
          <w:p w:rsidR="00000000" w:rsidDel="00000000" w:rsidP="00000000" w:rsidRDefault="00000000" w:rsidRPr="00000000" w14:paraId="00000117">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2,6%</w:t>
            </w:r>
          </w:p>
        </w:tc>
        <w:tc>
          <w:tcPr>
            <w:vAlign w:val="bottom"/>
          </w:tcPr>
          <w:p w:rsidR="00000000" w:rsidDel="00000000" w:rsidP="00000000" w:rsidRDefault="00000000" w:rsidRPr="00000000" w14:paraId="00000118">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color w:val="000000"/>
                <w:sz w:val="22"/>
                <w:szCs w:val="22"/>
                <w:rtl w:val="0"/>
              </w:rPr>
              <w:t xml:space="preserve">8,1%</w:t>
            </w:r>
            <w:r w:rsidDel="00000000" w:rsidR="00000000" w:rsidRPr="00000000">
              <w:rPr>
                <w:rtl w:val="0"/>
              </w:rPr>
            </w:r>
          </w:p>
        </w:tc>
        <w:tc>
          <w:tcPr>
            <w:vAlign w:val="bottom"/>
          </w:tcPr>
          <w:p w:rsidR="00000000" w:rsidDel="00000000" w:rsidP="00000000" w:rsidRDefault="00000000" w:rsidRPr="00000000" w14:paraId="00000119">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9c0006"/>
                <w:sz w:val="22"/>
                <w:szCs w:val="22"/>
                <w:rtl w:val="0"/>
              </w:rPr>
              <w:t xml:space="preserve">-49,2%</w:t>
            </w:r>
            <w:r w:rsidDel="00000000" w:rsidR="00000000" w:rsidRPr="00000000">
              <w:rPr>
                <w:rtl w:val="0"/>
              </w:rPr>
            </w:r>
          </w:p>
        </w:tc>
      </w:tr>
      <w:tr>
        <w:trPr>
          <w:cantSplit w:val="0"/>
          <w:trHeight w:val="280" w:hRule="atLeast"/>
          <w:tblHeader w:val="0"/>
        </w:trPr>
        <w:tc>
          <w:tcPr>
            <w:vAlign w:val="bottom"/>
          </w:tcPr>
          <w:p w:rsidR="00000000" w:rsidDel="00000000" w:rsidP="00000000" w:rsidRDefault="00000000" w:rsidRPr="00000000" w14:paraId="0000011A">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Ourense</w:t>
            </w:r>
            <w:r w:rsidDel="00000000" w:rsidR="00000000" w:rsidRPr="00000000">
              <w:rPr>
                <w:rtl w:val="0"/>
              </w:rPr>
            </w:r>
          </w:p>
        </w:tc>
        <w:tc>
          <w:tcPr>
            <w:vAlign w:val="bottom"/>
          </w:tcPr>
          <w:p w:rsidR="00000000" w:rsidDel="00000000" w:rsidP="00000000" w:rsidRDefault="00000000" w:rsidRPr="00000000" w14:paraId="0000011B">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7,08 € </w:t>
            </w:r>
          </w:p>
        </w:tc>
        <w:tc>
          <w:tcPr>
            <w:vAlign w:val="bottom"/>
          </w:tcPr>
          <w:p w:rsidR="00000000" w:rsidDel="00000000" w:rsidP="00000000" w:rsidRDefault="00000000" w:rsidRPr="00000000" w14:paraId="0000011C">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4,6%</w:t>
            </w:r>
          </w:p>
        </w:tc>
        <w:tc>
          <w:tcPr>
            <w:vAlign w:val="bottom"/>
          </w:tcPr>
          <w:p w:rsidR="00000000" w:rsidDel="00000000" w:rsidP="00000000" w:rsidRDefault="00000000" w:rsidRPr="00000000" w14:paraId="0000011D">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color w:val="000000"/>
                <w:sz w:val="22"/>
                <w:szCs w:val="22"/>
                <w:rtl w:val="0"/>
              </w:rPr>
              <w:t xml:space="preserve">8,1%</w:t>
            </w:r>
            <w:r w:rsidDel="00000000" w:rsidR="00000000" w:rsidRPr="00000000">
              <w:rPr>
                <w:rtl w:val="0"/>
              </w:rPr>
            </w:r>
          </w:p>
        </w:tc>
        <w:tc>
          <w:tcPr>
            <w:vAlign w:val="bottom"/>
          </w:tcPr>
          <w:p w:rsidR="00000000" w:rsidDel="00000000" w:rsidP="00000000" w:rsidRDefault="00000000" w:rsidRPr="00000000" w14:paraId="0000011E">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9c0006"/>
                <w:sz w:val="22"/>
                <w:szCs w:val="22"/>
                <w:rtl w:val="0"/>
              </w:rPr>
              <w:t xml:space="preserve">-46,1%</w:t>
            </w:r>
            <w:r w:rsidDel="00000000" w:rsidR="00000000" w:rsidRPr="00000000">
              <w:rPr>
                <w:rtl w:val="0"/>
              </w:rPr>
            </w:r>
          </w:p>
        </w:tc>
      </w:tr>
      <w:tr>
        <w:trPr>
          <w:cantSplit w:val="0"/>
          <w:trHeight w:val="280" w:hRule="atLeast"/>
          <w:tblHeader w:val="0"/>
        </w:trPr>
        <w:tc>
          <w:tcPr>
            <w:vAlign w:val="bottom"/>
          </w:tcPr>
          <w:p w:rsidR="00000000" w:rsidDel="00000000" w:rsidP="00000000" w:rsidRDefault="00000000" w:rsidRPr="00000000" w14:paraId="0000011F">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Tarragona</w:t>
            </w:r>
            <w:r w:rsidDel="00000000" w:rsidR="00000000" w:rsidRPr="00000000">
              <w:rPr>
                <w:rtl w:val="0"/>
              </w:rPr>
            </w:r>
          </w:p>
        </w:tc>
        <w:tc>
          <w:tcPr>
            <w:vAlign w:val="bottom"/>
          </w:tcPr>
          <w:p w:rsidR="00000000" w:rsidDel="00000000" w:rsidP="00000000" w:rsidRDefault="00000000" w:rsidRPr="00000000" w14:paraId="00000120">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10,26 € </w:t>
            </w:r>
          </w:p>
        </w:tc>
        <w:tc>
          <w:tcPr>
            <w:vAlign w:val="bottom"/>
          </w:tcPr>
          <w:p w:rsidR="00000000" w:rsidDel="00000000" w:rsidP="00000000" w:rsidRDefault="00000000" w:rsidRPr="00000000" w14:paraId="00000121">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3,2%</w:t>
            </w:r>
          </w:p>
        </w:tc>
        <w:tc>
          <w:tcPr>
            <w:vAlign w:val="bottom"/>
          </w:tcPr>
          <w:p w:rsidR="00000000" w:rsidDel="00000000" w:rsidP="00000000" w:rsidRDefault="00000000" w:rsidRPr="00000000" w14:paraId="00000122">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color w:val="000000"/>
                <w:sz w:val="22"/>
                <w:szCs w:val="22"/>
                <w:rtl w:val="0"/>
              </w:rPr>
              <w:t xml:space="preserve">7,9%</w:t>
            </w:r>
            <w:r w:rsidDel="00000000" w:rsidR="00000000" w:rsidRPr="00000000">
              <w:rPr>
                <w:rtl w:val="0"/>
              </w:rPr>
            </w:r>
          </w:p>
        </w:tc>
        <w:tc>
          <w:tcPr>
            <w:vAlign w:val="bottom"/>
          </w:tcPr>
          <w:p w:rsidR="00000000" w:rsidDel="00000000" w:rsidP="00000000" w:rsidRDefault="00000000" w:rsidRPr="00000000" w14:paraId="00000123">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9c0006"/>
                <w:sz w:val="22"/>
                <w:szCs w:val="22"/>
                <w:rtl w:val="0"/>
              </w:rPr>
              <w:t xml:space="preserve">-21,9%</w:t>
            </w:r>
            <w:r w:rsidDel="00000000" w:rsidR="00000000" w:rsidRPr="00000000">
              <w:rPr>
                <w:rtl w:val="0"/>
              </w:rPr>
            </w:r>
          </w:p>
        </w:tc>
      </w:tr>
      <w:tr>
        <w:trPr>
          <w:cantSplit w:val="0"/>
          <w:trHeight w:val="280" w:hRule="atLeast"/>
          <w:tblHeader w:val="0"/>
        </w:trPr>
        <w:tc>
          <w:tcPr>
            <w:vAlign w:val="bottom"/>
          </w:tcPr>
          <w:p w:rsidR="00000000" w:rsidDel="00000000" w:rsidP="00000000" w:rsidRDefault="00000000" w:rsidRPr="00000000" w14:paraId="00000124">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Málaga</w:t>
            </w:r>
            <w:r w:rsidDel="00000000" w:rsidR="00000000" w:rsidRPr="00000000">
              <w:rPr>
                <w:rtl w:val="0"/>
              </w:rPr>
            </w:r>
          </w:p>
        </w:tc>
        <w:tc>
          <w:tcPr>
            <w:vAlign w:val="bottom"/>
          </w:tcPr>
          <w:p w:rsidR="00000000" w:rsidDel="00000000" w:rsidP="00000000" w:rsidRDefault="00000000" w:rsidRPr="00000000" w14:paraId="00000125">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15,01 € </w:t>
            </w:r>
          </w:p>
        </w:tc>
        <w:tc>
          <w:tcPr>
            <w:vAlign w:val="bottom"/>
          </w:tcPr>
          <w:p w:rsidR="00000000" w:rsidDel="00000000" w:rsidP="00000000" w:rsidRDefault="00000000" w:rsidRPr="00000000" w14:paraId="00000126">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1,5%</w:t>
            </w:r>
          </w:p>
        </w:tc>
        <w:tc>
          <w:tcPr>
            <w:vAlign w:val="bottom"/>
          </w:tcPr>
          <w:p w:rsidR="00000000" w:rsidDel="00000000" w:rsidP="00000000" w:rsidRDefault="00000000" w:rsidRPr="00000000" w14:paraId="00000127">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color w:val="000000"/>
                <w:sz w:val="22"/>
                <w:szCs w:val="22"/>
                <w:rtl w:val="0"/>
              </w:rPr>
              <w:t xml:space="preserve">7,8%</w:t>
            </w:r>
            <w:r w:rsidDel="00000000" w:rsidR="00000000" w:rsidRPr="00000000">
              <w:rPr>
                <w:rtl w:val="0"/>
              </w:rPr>
            </w:r>
          </w:p>
        </w:tc>
        <w:tc>
          <w:tcPr>
            <w:vAlign w:val="bottom"/>
          </w:tcPr>
          <w:p w:rsidR="00000000" w:rsidDel="00000000" w:rsidP="00000000" w:rsidRDefault="00000000" w:rsidRPr="00000000" w14:paraId="00000128">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14,3%</w:t>
            </w:r>
          </w:p>
        </w:tc>
      </w:tr>
      <w:tr>
        <w:trPr>
          <w:cantSplit w:val="0"/>
          <w:trHeight w:val="280" w:hRule="atLeast"/>
          <w:tblHeader w:val="0"/>
        </w:trPr>
        <w:tc>
          <w:tcPr>
            <w:vAlign w:val="bottom"/>
          </w:tcPr>
          <w:p w:rsidR="00000000" w:rsidDel="00000000" w:rsidP="00000000" w:rsidRDefault="00000000" w:rsidRPr="00000000" w14:paraId="00000129">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Burgos</w:t>
            </w:r>
            <w:r w:rsidDel="00000000" w:rsidR="00000000" w:rsidRPr="00000000">
              <w:rPr>
                <w:rtl w:val="0"/>
              </w:rPr>
            </w:r>
          </w:p>
        </w:tc>
        <w:tc>
          <w:tcPr>
            <w:vAlign w:val="bottom"/>
          </w:tcPr>
          <w:p w:rsidR="00000000" w:rsidDel="00000000" w:rsidP="00000000" w:rsidRDefault="00000000" w:rsidRPr="00000000" w14:paraId="0000012A">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9,54 € </w:t>
            </w:r>
          </w:p>
        </w:tc>
        <w:tc>
          <w:tcPr>
            <w:vAlign w:val="bottom"/>
          </w:tcPr>
          <w:p w:rsidR="00000000" w:rsidDel="00000000" w:rsidP="00000000" w:rsidRDefault="00000000" w:rsidRPr="00000000" w14:paraId="0000012B">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1,1%</w:t>
            </w:r>
          </w:p>
        </w:tc>
        <w:tc>
          <w:tcPr>
            <w:vAlign w:val="bottom"/>
          </w:tcPr>
          <w:p w:rsidR="00000000" w:rsidDel="00000000" w:rsidP="00000000" w:rsidRDefault="00000000" w:rsidRPr="00000000" w14:paraId="0000012C">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color w:val="000000"/>
                <w:sz w:val="22"/>
                <w:szCs w:val="22"/>
                <w:rtl w:val="0"/>
              </w:rPr>
              <w:t xml:space="preserve">7,4%</w:t>
            </w:r>
            <w:r w:rsidDel="00000000" w:rsidR="00000000" w:rsidRPr="00000000">
              <w:rPr>
                <w:rtl w:val="0"/>
              </w:rPr>
            </w:r>
          </w:p>
        </w:tc>
        <w:tc>
          <w:tcPr>
            <w:vAlign w:val="bottom"/>
          </w:tcPr>
          <w:p w:rsidR="00000000" w:rsidDel="00000000" w:rsidP="00000000" w:rsidRDefault="00000000" w:rsidRPr="00000000" w14:paraId="0000012D">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9c0006"/>
                <w:sz w:val="22"/>
                <w:szCs w:val="22"/>
                <w:rtl w:val="0"/>
              </w:rPr>
              <w:t xml:space="preserve">-27,3%</w:t>
            </w:r>
            <w:r w:rsidDel="00000000" w:rsidR="00000000" w:rsidRPr="00000000">
              <w:rPr>
                <w:rtl w:val="0"/>
              </w:rPr>
            </w:r>
          </w:p>
        </w:tc>
      </w:tr>
      <w:tr>
        <w:trPr>
          <w:cantSplit w:val="0"/>
          <w:trHeight w:val="280" w:hRule="atLeast"/>
          <w:tblHeader w:val="0"/>
        </w:trPr>
        <w:tc>
          <w:tcPr>
            <w:vAlign w:val="bottom"/>
          </w:tcPr>
          <w:p w:rsidR="00000000" w:rsidDel="00000000" w:rsidP="00000000" w:rsidRDefault="00000000" w:rsidRPr="00000000" w14:paraId="0000012E">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Bizkaia</w:t>
            </w:r>
            <w:r w:rsidDel="00000000" w:rsidR="00000000" w:rsidRPr="00000000">
              <w:rPr>
                <w:rtl w:val="0"/>
              </w:rPr>
            </w:r>
          </w:p>
        </w:tc>
        <w:tc>
          <w:tcPr>
            <w:vAlign w:val="bottom"/>
          </w:tcPr>
          <w:p w:rsidR="00000000" w:rsidDel="00000000" w:rsidP="00000000" w:rsidRDefault="00000000" w:rsidRPr="00000000" w14:paraId="0000012F">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16,14 € </w:t>
            </w:r>
          </w:p>
        </w:tc>
        <w:tc>
          <w:tcPr>
            <w:vAlign w:val="bottom"/>
          </w:tcPr>
          <w:p w:rsidR="00000000" w:rsidDel="00000000" w:rsidP="00000000" w:rsidRDefault="00000000" w:rsidRPr="00000000" w14:paraId="00000130">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2,1%</w:t>
            </w:r>
          </w:p>
        </w:tc>
        <w:tc>
          <w:tcPr>
            <w:vAlign w:val="bottom"/>
          </w:tcPr>
          <w:p w:rsidR="00000000" w:rsidDel="00000000" w:rsidP="00000000" w:rsidRDefault="00000000" w:rsidRPr="00000000" w14:paraId="00000131">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color w:val="000000"/>
                <w:sz w:val="22"/>
                <w:szCs w:val="22"/>
                <w:rtl w:val="0"/>
              </w:rPr>
              <w:t xml:space="preserve">7,3%</w:t>
            </w:r>
            <w:r w:rsidDel="00000000" w:rsidR="00000000" w:rsidRPr="00000000">
              <w:rPr>
                <w:rtl w:val="0"/>
              </w:rPr>
            </w:r>
          </w:p>
        </w:tc>
        <w:tc>
          <w:tcPr>
            <w:vAlign w:val="bottom"/>
          </w:tcPr>
          <w:p w:rsidR="00000000" w:rsidDel="00000000" w:rsidP="00000000" w:rsidRDefault="00000000" w:rsidRPr="00000000" w14:paraId="00000132">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22,9%</w:t>
            </w:r>
          </w:p>
        </w:tc>
      </w:tr>
      <w:tr>
        <w:trPr>
          <w:cantSplit w:val="0"/>
          <w:trHeight w:val="280" w:hRule="atLeast"/>
          <w:tblHeader w:val="0"/>
        </w:trPr>
        <w:tc>
          <w:tcPr>
            <w:vAlign w:val="bottom"/>
          </w:tcPr>
          <w:p w:rsidR="00000000" w:rsidDel="00000000" w:rsidP="00000000" w:rsidRDefault="00000000" w:rsidRPr="00000000" w14:paraId="00000133">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Pontevedra</w:t>
            </w:r>
            <w:r w:rsidDel="00000000" w:rsidR="00000000" w:rsidRPr="00000000">
              <w:rPr>
                <w:rtl w:val="0"/>
              </w:rPr>
            </w:r>
          </w:p>
        </w:tc>
        <w:tc>
          <w:tcPr>
            <w:vAlign w:val="bottom"/>
          </w:tcPr>
          <w:p w:rsidR="00000000" w:rsidDel="00000000" w:rsidP="00000000" w:rsidRDefault="00000000" w:rsidRPr="00000000" w14:paraId="00000134">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10,28 € </w:t>
            </w:r>
          </w:p>
        </w:tc>
        <w:tc>
          <w:tcPr>
            <w:vAlign w:val="bottom"/>
          </w:tcPr>
          <w:p w:rsidR="00000000" w:rsidDel="00000000" w:rsidP="00000000" w:rsidRDefault="00000000" w:rsidRPr="00000000" w14:paraId="00000135">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3,8%</w:t>
            </w:r>
          </w:p>
        </w:tc>
        <w:tc>
          <w:tcPr>
            <w:vAlign w:val="bottom"/>
          </w:tcPr>
          <w:p w:rsidR="00000000" w:rsidDel="00000000" w:rsidP="00000000" w:rsidRDefault="00000000" w:rsidRPr="00000000" w14:paraId="00000136">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color w:val="000000"/>
                <w:sz w:val="22"/>
                <w:szCs w:val="22"/>
                <w:rtl w:val="0"/>
              </w:rPr>
              <w:t xml:space="preserve">7,3%</w:t>
            </w:r>
            <w:r w:rsidDel="00000000" w:rsidR="00000000" w:rsidRPr="00000000">
              <w:rPr>
                <w:rtl w:val="0"/>
              </w:rPr>
            </w:r>
          </w:p>
        </w:tc>
        <w:tc>
          <w:tcPr>
            <w:vAlign w:val="bottom"/>
          </w:tcPr>
          <w:p w:rsidR="00000000" w:rsidDel="00000000" w:rsidP="00000000" w:rsidRDefault="00000000" w:rsidRPr="00000000" w14:paraId="00000137">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9c0006"/>
                <w:sz w:val="22"/>
                <w:szCs w:val="22"/>
                <w:rtl w:val="0"/>
              </w:rPr>
              <w:t xml:space="preserve">-21,7%</w:t>
            </w:r>
            <w:r w:rsidDel="00000000" w:rsidR="00000000" w:rsidRPr="00000000">
              <w:rPr>
                <w:rtl w:val="0"/>
              </w:rPr>
            </w:r>
          </w:p>
        </w:tc>
      </w:tr>
      <w:tr>
        <w:trPr>
          <w:cantSplit w:val="0"/>
          <w:trHeight w:val="280" w:hRule="atLeast"/>
          <w:tblHeader w:val="0"/>
        </w:trPr>
        <w:tc>
          <w:tcPr>
            <w:vAlign w:val="bottom"/>
          </w:tcPr>
          <w:p w:rsidR="00000000" w:rsidDel="00000000" w:rsidP="00000000" w:rsidRDefault="00000000" w:rsidRPr="00000000" w14:paraId="00000138">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Cuenca</w:t>
            </w:r>
            <w:r w:rsidDel="00000000" w:rsidR="00000000" w:rsidRPr="00000000">
              <w:rPr>
                <w:rtl w:val="0"/>
              </w:rPr>
            </w:r>
          </w:p>
        </w:tc>
        <w:tc>
          <w:tcPr>
            <w:vAlign w:val="bottom"/>
          </w:tcPr>
          <w:p w:rsidR="00000000" w:rsidDel="00000000" w:rsidP="00000000" w:rsidRDefault="00000000" w:rsidRPr="00000000" w14:paraId="00000139">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7,27 € </w:t>
            </w:r>
          </w:p>
        </w:tc>
        <w:tc>
          <w:tcPr>
            <w:vAlign w:val="bottom"/>
          </w:tcPr>
          <w:p w:rsidR="00000000" w:rsidDel="00000000" w:rsidP="00000000" w:rsidRDefault="00000000" w:rsidRPr="00000000" w14:paraId="0000013A">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9c0006"/>
                <w:sz w:val="22"/>
                <w:szCs w:val="22"/>
                <w:rtl w:val="0"/>
              </w:rPr>
              <w:t xml:space="preserve">-0,4%</w:t>
            </w:r>
            <w:r w:rsidDel="00000000" w:rsidR="00000000" w:rsidRPr="00000000">
              <w:rPr>
                <w:rtl w:val="0"/>
              </w:rPr>
            </w:r>
          </w:p>
        </w:tc>
        <w:tc>
          <w:tcPr>
            <w:vAlign w:val="bottom"/>
          </w:tcPr>
          <w:p w:rsidR="00000000" w:rsidDel="00000000" w:rsidP="00000000" w:rsidRDefault="00000000" w:rsidRPr="00000000" w14:paraId="0000013B">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color w:val="000000"/>
                <w:sz w:val="22"/>
                <w:szCs w:val="22"/>
                <w:rtl w:val="0"/>
              </w:rPr>
              <w:t xml:space="preserve">7,2%</w:t>
            </w:r>
            <w:r w:rsidDel="00000000" w:rsidR="00000000" w:rsidRPr="00000000">
              <w:rPr>
                <w:rtl w:val="0"/>
              </w:rPr>
            </w:r>
          </w:p>
        </w:tc>
        <w:tc>
          <w:tcPr>
            <w:vAlign w:val="bottom"/>
          </w:tcPr>
          <w:p w:rsidR="00000000" w:rsidDel="00000000" w:rsidP="00000000" w:rsidRDefault="00000000" w:rsidRPr="00000000" w14:paraId="0000013C">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9c0006"/>
                <w:sz w:val="22"/>
                <w:szCs w:val="22"/>
                <w:rtl w:val="0"/>
              </w:rPr>
              <w:t xml:space="preserve">-44,6%</w:t>
            </w:r>
            <w:r w:rsidDel="00000000" w:rsidR="00000000" w:rsidRPr="00000000">
              <w:rPr>
                <w:rtl w:val="0"/>
              </w:rPr>
            </w:r>
          </w:p>
        </w:tc>
      </w:tr>
      <w:tr>
        <w:trPr>
          <w:cantSplit w:val="0"/>
          <w:trHeight w:val="280" w:hRule="atLeast"/>
          <w:tblHeader w:val="0"/>
        </w:trPr>
        <w:tc>
          <w:tcPr>
            <w:vAlign w:val="bottom"/>
          </w:tcPr>
          <w:p w:rsidR="00000000" w:rsidDel="00000000" w:rsidP="00000000" w:rsidRDefault="00000000" w:rsidRPr="00000000" w14:paraId="0000013D">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Granada</w:t>
            </w:r>
            <w:r w:rsidDel="00000000" w:rsidR="00000000" w:rsidRPr="00000000">
              <w:rPr>
                <w:rtl w:val="0"/>
              </w:rPr>
            </w:r>
          </w:p>
        </w:tc>
        <w:tc>
          <w:tcPr>
            <w:vAlign w:val="bottom"/>
          </w:tcPr>
          <w:p w:rsidR="00000000" w:rsidDel="00000000" w:rsidP="00000000" w:rsidRDefault="00000000" w:rsidRPr="00000000" w14:paraId="0000013E">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9,66 € </w:t>
            </w:r>
          </w:p>
        </w:tc>
        <w:tc>
          <w:tcPr>
            <w:vAlign w:val="bottom"/>
          </w:tcPr>
          <w:p w:rsidR="00000000" w:rsidDel="00000000" w:rsidP="00000000" w:rsidRDefault="00000000" w:rsidRPr="00000000" w14:paraId="0000013F">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1,9%</w:t>
            </w:r>
          </w:p>
        </w:tc>
        <w:tc>
          <w:tcPr>
            <w:vAlign w:val="bottom"/>
          </w:tcPr>
          <w:p w:rsidR="00000000" w:rsidDel="00000000" w:rsidP="00000000" w:rsidRDefault="00000000" w:rsidRPr="00000000" w14:paraId="00000140">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color w:val="000000"/>
                <w:sz w:val="22"/>
                <w:szCs w:val="22"/>
                <w:rtl w:val="0"/>
              </w:rPr>
              <w:t xml:space="preserve">5,8%</w:t>
            </w:r>
            <w:r w:rsidDel="00000000" w:rsidR="00000000" w:rsidRPr="00000000">
              <w:rPr>
                <w:rtl w:val="0"/>
              </w:rPr>
            </w:r>
          </w:p>
        </w:tc>
        <w:tc>
          <w:tcPr>
            <w:vAlign w:val="bottom"/>
          </w:tcPr>
          <w:p w:rsidR="00000000" w:rsidDel="00000000" w:rsidP="00000000" w:rsidRDefault="00000000" w:rsidRPr="00000000" w14:paraId="00000141">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9c0006"/>
                <w:sz w:val="22"/>
                <w:szCs w:val="22"/>
                <w:rtl w:val="0"/>
              </w:rPr>
              <w:t xml:space="preserve">-26,4%</w:t>
            </w:r>
            <w:r w:rsidDel="00000000" w:rsidR="00000000" w:rsidRPr="00000000">
              <w:rPr>
                <w:rtl w:val="0"/>
              </w:rPr>
            </w:r>
          </w:p>
        </w:tc>
      </w:tr>
      <w:tr>
        <w:trPr>
          <w:cantSplit w:val="0"/>
          <w:trHeight w:val="280" w:hRule="atLeast"/>
          <w:tblHeader w:val="0"/>
        </w:trPr>
        <w:tc>
          <w:tcPr>
            <w:vAlign w:val="bottom"/>
          </w:tcPr>
          <w:p w:rsidR="00000000" w:rsidDel="00000000" w:rsidP="00000000" w:rsidRDefault="00000000" w:rsidRPr="00000000" w14:paraId="00000142">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Huelva</w:t>
            </w:r>
            <w:r w:rsidDel="00000000" w:rsidR="00000000" w:rsidRPr="00000000">
              <w:rPr>
                <w:rtl w:val="0"/>
              </w:rPr>
            </w:r>
          </w:p>
        </w:tc>
        <w:tc>
          <w:tcPr>
            <w:vAlign w:val="bottom"/>
          </w:tcPr>
          <w:p w:rsidR="00000000" w:rsidDel="00000000" w:rsidP="00000000" w:rsidRDefault="00000000" w:rsidRPr="00000000" w14:paraId="00000143">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9,93 € </w:t>
            </w:r>
          </w:p>
        </w:tc>
        <w:tc>
          <w:tcPr>
            <w:vAlign w:val="bottom"/>
          </w:tcPr>
          <w:p w:rsidR="00000000" w:rsidDel="00000000" w:rsidP="00000000" w:rsidRDefault="00000000" w:rsidRPr="00000000" w14:paraId="00000144">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0,9%</w:t>
            </w:r>
          </w:p>
        </w:tc>
        <w:tc>
          <w:tcPr>
            <w:vAlign w:val="bottom"/>
          </w:tcPr>
          <w:p w:rsidR="00000000" w:rsidDel="00000000" w:rsidP="00000000" w:rsidRDefault="00000000" w:rsidRPr="00000000" w14:paraId="00000145">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color w:val="000000"/>
                <w:sz w:val="22"/>
                <w:szCs w:val="22"/>
                <w:rtl w:val="0"/>
              </w:rPr>
              <w:t xml:space="preserve">5,5%</w:t>
            </w:r>
            <w:r w:rsidDel="00000000" w:rsidR="00000000" w:rsidRPr="00000000">
              <w:rPr>
                <w:rtl w:val="0"/>
              </w:rPr>
            </w:r>
          </w:p>
        </w:tc>
        <w:tc>
          <w:tcPr>
            <w:vAlign w:val="bottom"/>
          </w:tcPr>
          <w:p w:rsidR="00000000" w:rsidDel="00000000" w:rsidP="00000000" w:rsidRDefault="00000000" w:rsidRPr="00000000" w14:paraId="00000146">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9c0006"/>
                <w:sz w:val="22"/>
                <w:szCs w:val="22"/>
                <w:rtl w:val="0"/>
              </w:rPr>
              <w:t xml:space="preserve">-24,4%</w:t>
            </w:r>
            <w:r w:rsidDel="00000000" w:rsidR="00000000" w:rsidRPr="00000000">
              <w:rPr>
                <w:rtl w:val="0"/>
              </w:rPr>
            </w:r>
          </w:p>
        </w:tc>
      </w:tr>
      <w:tr>
        <w:trPr>
          <w:cantSplit w:val="0"/>
          <w:trHeight w:val="280" w:hRule="atLeast"/>
          <w:tblHeader w:val="0"/>
        </w:trPr>
        <w:tc>
          <w:tcPr>
            <w:vAlign w:val="bottom"/>
          </w:tcPr>
          <w:p w:rsidR="00000000" w:rsidDel="00000000" w:rsidP="00000000" w:rsidRDefault="00000000" w:rsidRPr="00000000" w14:paraId="00000147">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Salamanca</w:t>
            </w:r>
            <w:r w:rsidDel="00000000" w:rsidR="00000000" w:rsidRPr="00000000">
              <w:rPr>
                <w:rtl w:val="0"/>
              </w:rPr>
            </w:r>
          </w:p>
        </w:tc>
        <w:tc>
          <w:tcPr>
            <w:vAlign w:val="bottom"/>
          </w:tcPr>
          <w:p w:rsidR="00000000" w:rsidDel="00000000" w:rsidP="00000000" w:rsidRDefault="00000000" w:rsidRPr="00000000" w14:paraId="00000148">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9,41 € </w:t>
            </w:r>
          </w:p>
        </w:tc>
        <w:tc>
          <w:tcPr>
            <w:vAlign w:val="bottom"/>
          </w:tcPr>
          <w:p w:rsidR="00000000" w:rsidDel="00000000" w:rsidP="00000000" w:rsidRDefault="00000000" w:rsidRPr="00000000" w14:paraId="00000149">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0,4%</w:t>
            </w:r>
          </w:p>
        </w:tc>
        <w:tc>
          <w:tcPr>
            <w:vAlign w:val="bottom"/>
          </w:tcPr>
          <w:p w:rsidR="00000000" w:rsidDel="00000000" w:rsidP="00000000" w:rsidRDefault="00000000" w:rsidRPr="00000000" w14:paraId="0000014A">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color w:val="000000"/>
                <w:sz w:val="22"/>
                <w:szCs w:val="22"/>
                <w:rtl w:val="0"/>
              </w:rPr>
              <w:t xml:space="preserve">5,1%</w:t>
            </w:r>
            <w:r w:rsidDel="00000000" w:rsidR="00000000" w:rsidRPr="00000000">
              <w:rPr>
                <w:rtl w:val="0"/>
              </w:rPr>
            </w:r>
          </w:p>
        </w:tc>
        <w:tc>
          <w:tcPr>
            <w:vAlign w:val="bottom"/>
          </w:tcPr>
          <w:p w:rsidR="00000000" w:rsidDel="00000000" w:rsidP="00000000" w:rsidRDefault="00000000" w:rsidRPr="00000000" w14:paraId="0000014B">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9c0006"/>
                <w:sz w:val="22"/>
                <w:szCs w:val="22"/>
                <w:rtl w:val="0"/>
              </w:rPr>
              <w:t xml:space="preserve">-28,3%</w:t>
            </w:r>
            <w:r w:rsidDel="00000000" w:rsidR="00000000" w:rsidRPr="00000000">
              <w:rPr>
                <w:rtl w:val="0"/>
              </w:rPr>
            </w:r>
          </w:p>
        </w:tc>
      </w:tr>
      <w:tr>
        <w:trPr>
          <w:cantSplit w:val="0"/>
          <w:trHeight w:val="280" w:hRule="atLeast"/>
          <w:tblHeader w:val="0"/>
        </w:trPr>
        <w:tc>
          <w:tcPr>
            <w:vAlign w:val="bottom"/>
          </w:tcPr>
          <w:p w:rsidR="00000000" w:rsidDel="00000000" w:rsidP="00000000" w:rsidRDefault="00000000" w:rsidRPr="00000000" w14:paraId="0000014C">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Valladolid</w:t>
            </w:r>
            <w:r w:rsidDel="00000000" w:rsidR="00000000" w:rsidRPr="00000000">
              <w:rPr>
                <w:rtl w:val="0"/>
              </w:rPr>
            </w:r>
          </w:p>
        </w:tc>
        <w:tc>
          <w:tcPr>
            <w:vAlign w:val="bottom"/>
          </w:tcPr>
          <w:p w:rsidR="00000000" w:rsidDel="00000000" w:rsidP="00000000" w:rsidRDefault="00000000" w:rsidRPr="00000000" w14:paraId="0000014D">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8,75 € </w:t>
            </w:r>
          </w:p>
        </w:tc>
        <w:tc>
          <w:tcPr>
            <w:vAlign w:val="bottom"/>
          </w:tcPr>
          <w:p w:rsidR="00000000" w:rsidDel="00000000" w:rsidP="00000000" w:rsidRDefault="00000000" w:rsidRPr="00000000" w14:paraId="0000014E">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2,7%</w:t>
            </w:r>
          </w:p>
        </w:tc>
        <w:tc>
          <w:tcPr>
            <w:vAlign w:val="bottom"/>
          </w:tcPr>
          <w:p w:rsidR="00000000" w:rsidDel="00000000" w:rsidP="00000000" w:rsidRDefault="00000000" w:rsidRPr="00000000" w14:paraId="0000014F">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color w:val="000000"/>
                <w:sz w:val="22"/>
                <w:szCs w:val="22"/>
                <w:rtl w:val="0"/>
              </w:rPr>
              <w:t xml:space="preserve">5,0%</w:t>
            </w:r>
            <w:r w:rsidDel="00000000" w:rsidR="00000000" w:rsidRPr="00000000">
              <w:rPr>
                <w:rtl w:val="0"/>
              </w:rPr>
            </w:r>
          </w:p>
        </w:tc>
        <w:tc>
          <w:tcPr>
            <w:vAlign w:val="bottom"/>
          </w:tcPr>
          <w:p w:rsidR="00000000" w:rsidDel="00000000" w:rsidP="00000000" w:rsidRDefault="00000000" w:rsidRPr="00000000" w14:paraId="00000150">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9c0006"/>
                <w:sz w:val="22"/>
                <w:szCs w:val="22"/>
                <w:rtl w:val="0"/>
              </w:rPr>
              <w:t xml:space="preserve">-33,4%</w:t>
            </w:r>
            <w:r w:rsidDel="00000000" w:rsidR="00000000" w:rsidRPr="00000000">
              <w:rPr>
                <w:rtl w:val="0"/>
              </w:rPr>
            </w:r>
          </w:p>
        </w:tc>
      </w:tr>
      <w:tr>
        <w:trPr>
          <w:cantSplit w:val="0"/>
          <w:trHeight w:val="280" w:hRule="atLeast"/>
          <w:tblHeader w:val="0"/>
        </w:trPr>
        <w:tc>
          <w:tcPr>
            <w:vAlign w:val="bottom"/>
          </w:tcPr>
          <w:p w:rsidR="00000000" w:rsidDel="00000000" w:rsidP="00000000" w:rsidRDefault="00000000" w:rsidRPr="00000000" w14:paraId="00000151">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Ávila</w:t>
            </w:r>
            <w:r w:rsidDel="00000000" w:rsidR="00000000" w:rsidRPr="00000000">
              <w:rPr>
                <w:rtl w:val="0"/>
              </w:rPr>
            </w:r>
          </w:p>
        </w:tc>
        <w:tc>
          <w:tcPr>
            <w:vAlign w:val="bottom"/>
          </w:tcPr>
          <w:p w:rsidR="00000000" w:rsidDel="00000000" w:rsidP="00000000" w:rsidRDefault="00000000" w:rsidRPr="00000000" w14:paraId="00000152">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7,25 € </w:t>
            </w:r>
          </w:p>
        </w:tc>
        <w:tc>
          <w:tcPr>
            <w:vAlign w:val="bottom"/>
          </w:tcPr>
          <w:p w:rsidR="00000000" w:rsidDel="00000000" w:rsidP="00000000" w:rsidRDefault="00000000" w:rsidRPr="00000000" w14:paraId="00000153">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9c0006"/>
                <w:sz w:val="22"/>
                <w:szCs w:val="22"/>
                <w:rtl w:val="0"/>
              </w:rPr>
              <w:t xml:space="preserve">-2,6%</w:t>
            </w:r>
            <w:r w:rsidDel="00000000" w:rsidR="00000000" w:rsidRPr="00000000">
              <w:rPr>
                <w:rtl w:val="0"/>
              </w:rPr>
            </w:r>
          </w:p>
        </w:tc>
        <w:tc>
          <w:tcPr>
            <w:vAlign w:val="bottom"/>
          </w:tcPr>
          <w:p w:rsidR="00000000" w:rsidDel="00000000" w:rsidP="00000000" w:rsidRDefault="00000000" w:rsidRPr="00000000" w14:paraId="00000154">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color w:val="000000"/>
                <w:sz w:val="22"/>
                <w:szCs w:val="22"/>
                <w:rtl w:val="0"/>
              </w:rPr>
              <w:t xml:space="preserve">4,9%</w:t>
            </w:r>
            <w:r w:rsidDel="00000000" w:rsidR="00000000" w:rsidRPr="00000000">
              <w:rPr>
                <w:rtl w:val="0"/>
              </w:rPr>
            </w:r>
          </w:p>
        </w:tc>
        <w:tc>
          <w:tcPr>
            <w:vAlign w:val="bottom"/>
          </w:tcPr>
          <w:p w:rsidR="00000000" w:rsidDel="00000000" w:rsidP="00000000" w:rsidRDefault="00000000" w:rsidRPr="00000000" w14:paraId="00000155">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9c0006"/>
                <w:sz w:val="22"/>
                <w:szCs w:val="22"/>
                <w:rtl w:val="0"/>
              </w:rPr>
              <w:t xml:space="preserve">-44,8%</w:t>
            </w:r>
            <w:r w:rsidDel="00000000" w:rsidR="00000000" w:rsidRPr="00000000">
              <w:rPr>
                <w:rtl w:val="0"/>
              </w:rPr>
            </w:r>
          </w:p>
        </w:tc>
      </w:tr>
      <w:tr>
        <w:trPr>
          <w:cantSplit w:val="0"/>
          <w:trHeight w:val="280" w:hRule="atLeast"/>
          <w:tblHeader w:val="0"/>
        </w:trPr>
        <w:tc>
          <w:tcPr>
            <w:vAlign w:val="bottom"/>
          </w:tcPr>
          <w:p w:rsidR="00000000" w:rsidDel="00000000" w:rsidP="00000000" w:rsidRDefault="00000000" w:rsidRPr="00000000" w14:paraId="00000156">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Las Palmas</w:t>
            </w:r>
            <w:r w:rsidDel="00000000" w:rsidR="00000000" w:rsidRPr="00000000">
              <w:rPr>
                <w:rtl w:val="0"/>
              </w:rPr>
            </w:r>
          </w:p>
        </w:tc>
        <w:tc>
          <w:tcPr>
            <w:vAlign w:val="bottom"/>
          </w:tcPr>
          <w:p w:rsidR="00000000" w:rsidDel="00000000" w:rsidP="00000000" w:rsidRDefault="00000000" w:rsidRPr="00000000" w14:paraId="00000157">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14,28 € </w:t>
            </w:r>
          </w:p>
        </w:tc>
        <w:tc>
          <w:tcPr>
            <w:vAlign w:val="bottom"/>
          </w:tcPr>
          <w:p w:rsidR="00000000" w:rsidDel="00000000" w:rsidP="00000000" w:rsidRDefault="00000000" w:rsidRPr="00000000" w14:paraId="00000158">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1,4%</w:t>
            </w:r>
          </w:p>
        </w:tc>
        <w:tc>
          <w:tcPr>
            <w:vAlign w:val="bottom"/>
          </w:tcPr>
          <w:p w:rsidR="00000000" w:rsidDel="00000000" w:rsidP="00000000" w:rsidRDefault="00000000" w:rsidRPr="00000000" w14:paraId="00000159">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color w:val="000000"/>
                <w:sz w:val="22"/>
                <w:szCs w:val="22"/>
                <w:rtl w:val="0"/>
              </w:rPr>
              <w:t xml:space="preserve">4,8%</w:t>
            </w:r>
            <w:r w:rsidDel="00000000" w:rsidR="00000000" w:rsidRPr="00000000">
              <w:rPr>
                <w:rtl w:val="0"/>
              </w:rPr>
            </w:r>
          </w:p>
        </w:tc>
        <w:tc>
          <w:tcPr>
            <w:vAlign w:val="bottom"/>
          </w:tcPr>
          <w:p w:rsidR="00000000" w:rsidDel="00000000" w:rsidP="00000000" w:rsidRDefault="00000000" w:rsidRPr="00000000" w14:paraId="0000015A">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8,8%</w:t>
            </w:r>
          </w:p>
        </w:tc>
      </w:tr>
      <w:tr>
        <w:trPr>
          <w:cantSplit w:val="0"/>
          <w:trHeight w:val="280" w:hRule="atLeast"/>
          <w:tblHeader w:val="0"/>
        </w:trPr>
        <w:tc>
          <w:tcPr>
            <w:vAlign w:val="bottom"/>
          </w:tcPr>
          <w:p w:rsidR="00000000" w:rsidDel="00000000" w:rsidP="00000000" w:rsidRDefault="00000000" w:rsidRPr="00000000" w14:paraId="0000015B">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Jaén</w:t>
            </w:r>
            <w:r w:rsidDel="00000000" w:rsidR="00000000" w:rsidRPr="00000000">
              <w:rPr>
                <w:rtl w:val="0"/>
              </w:rPr>
            </w:r>
          </w:p>
        </w:tc>
        <w:tc>
          <w:tcPr>
            <w:vAlign w:val="bottom"/>
          </w:tcPr>
          <w:p w:rsidR="00000000" w:rsidDel="00000000" w:rsidP="00000000" w:rsidRDefault="00000000" w:rsidRPr="00000000" w14:paraId="0000015C">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5,89 € </w:t>
            </w:r>
          </w:p>
        </w:tc>
        <w:tc>
          <w:tcPr>
            <w:vAlign w:val="bottom"/>
          </w:tcPr>
          <w:p w:rsidR="00000000" w:rsidDel="00000000" w:rsidP="00000000" w:rsidRDefault="00000000" w:rsidRPr="00000000" w14:paraId="0000015D">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4,2%</w:t>
            </w:r>
          </w:p>
        </w:tc>
        <w:tc>
          <w:tcPr>
            <w:vAlign w:val="bottom"/>
          </w:tcPr>
          <w:p w:rsidR="00000000" w:rsidDel="00000000" w:rsidP="00000000" w:rsidRDefault="00000000" w:rsidRPr="00000000" w14:paraId="0000015E">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color w:val="000000"/>
                <w:sz w:val="22"/>
                <w:szCs w:val="22"/>
                <w:rtl w:val="0"/>
              </w:rPr>
              <w:t xml:space="preserve">3,9%</w:t>
            </w:r>
            <w:r w:rsidDel="00000000" w:rsidR="00000000" w:rsidRPr="00000000">
              <w:rPr>
                <w:rtl w:val="0"/>
              </w:rPr>
            </w:r>
          </w:p>
        </w:tc>
        <w:tc>
          <w:tcPr>
            <w:vAlign w:val="bottom"/>
          </w:tcPr>
          <w:p w:rsidR="00000000" w:rsidDel="00000000" w:rsidP="00000000" w:rsidRDefault="00000000" w:rsidRPr="00000000" w14:paraId="0000015F">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9c0006"/>
                <w:sz w:val="22"/>
                <w:szCs w:val="22"/>
                <w:rtl w:val="0"/>
              </w:rPr>
              <w:t xml:space="preserve">-55,1%</w:t>
            </w:r>
            <w:r w:rsidDel="00000000" w:rsidR="00000000" w:rsidRPr="00000000">
              <w:rPr>
                <w:rtl w:val="0"/>
              </w:rPr>
            </w:r>
          </w:p>
        </w:tc>
      </w:tr>
      <w:tr>
        <w:trPr>
          <w:cantSplit w:val="0"/>
          <w:trHeight w:val="280" w:hRule="atLeast"/>
          <w:tblHeader w:val="0"/>
        </w:trPr>
        <w:tc>
          <w:tcPr>
            <w:vAlign w:val="bottom"/>
          </w:tcPr>
          <w:p w:rsidR="00000000" w:rsidDel="00000000" w:rsidP="00000000" w:rsidRDefault="00000000" w:rsidRPr="00000000" w14:paraId="00000160">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Illes Balears</w:t>
            </w:r>
            <w:r w:rsidDel="00000000" w:rsidR="00000000" w:rsidRPr="00000000">
              <w:rPr>
                <w:rtl w:val="0"/>
              </w:rPr>
            </w:r>
          </w:p>
        </w:tc>
        <w:tc>
          <w:tcPr>
            <w:vAlign w:val="bottom"/>
          </w:tcPr>
          <w:p w:rsidR="00000000" w:rsidDel="00000000" w:rsidP="00000000" w:rsidRDefault="00000000" w:rsidRPr="00000000" w14:paraId="00000161">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17,35 € </w:t>
            </w:r>
          </w:p>
        </w:tc>
        <w:tc>
          <w:tcPr>
            <w:vAlign w:val="bottom"/>
          </w:tcPr>
          <w:p w:rsidR="00000000" w:rsidDel="00000000" w:rsidP="00000000" w:rsidRDefault="00000000" w:rsidRPr="00000000" w14:paraId="00000162">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0,0%</w:t>
            </w:r>
          </w:p>
        </w:tc>
        <w:tc>
          <w:tcPr>
            <w:vAlign w:val="bottom"/>
          </w:tcPr>
          <w:p w:rsidR="00000000" w:rsidDel="00000000" w:rsidP="00000000" w:rsidRDefault="00000000" w:rsidRPr="00000000" w14:paraId="00000163">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color w:val="000000"/>
                <w:sz w:val="22"/>
                <w:szCs w:val="22"/>
                <w:rtl w:val="0"/>
              </w:rPr>
              <w:t xml:space="preserve">2,9%</w:t>
            </w:r>
            <w:r w:rsidDel="00000000" w:rsidR="00000000" w:rsidRPr="00000000">
              <w:rPr>
                <w:rtl w:val="0"/>
              </w:rPr>
            </w:r>
          </w:p>
        </w:tc>
        <w:tc>
          <w:tcPr>
            <w:vAlign w:val="bottom"/>
          </w:tcPr>
          <w:p w:rsidR="00000000" w:rsidDel="00000000" w:rsidP="00000000" w:rsidRDefault="00000000" w:rsidRPr="00000000" w14:paraId="00000164">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32,1%</w:t>
            </w:r>
          </w:p>
        </w:tc>
      </w:tr>
      <w:tr>
        <w:trPr>
          <w:cantSplit w:val="0"/>
          <w:trHeight w:val="280" w:hRule="atLeast"/>
          <w:tblHeader w:val="0"/>
        </w:trPr>
        <w:tc>
          <w:tcPr>
            <w:vAlign w:val="bottom"/>
          </w:tcPr>
          <w:p w:rsidR="00000000" w:rsidDel="00000000" w:rsidP="00000000" w:rsidRDefault="00000000" w:rsidRPr="00000000" w14:paraId="00000165">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Cádiz</w:t>
            </w:r>
            <w:r w:rsidDel="00000000" w:rsidR="00000000" w:rsidRPr="00000000">
              <w:rPr>
                <w:rtl w:val="0"/>
              </w:rPr>
            </w:r>
          </w:p>
        </w:tc>
        <w:tc>
          <w:tcPr>
            <w:vAlign w:val="bottom"/>
          </w:tcPr>
          <w:p w:rsidR="00000000" w:rsidDel="00000000" w:rsidP="00000000" w:rsidRDefault="00000000" w:rsidRPr="00000000" w14:paraId="00000166">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9,96 € </w:t>
            </w:r>
          </w:p>
        </w:tc>
        <w:tc>
          <w:tcPr>
            <w:vAlign w:val="bottom"/>
          </w:tcPr>
          <w:p w:rsidR="00000000" w:rsidDel="00000000" w:rsidP="00000000" w:rsidRDefault="00000000" w:rsidRPr="00000000" w14:paraId="00000167">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1,4%</w:t>
            </w:r>
          </w:p>
        </w:tc>
        <w:tc>
          <w:tcPr>
            <w:vAlign w:val="bottom"/>
          </w:tcPr>
          <w:p w:rsidR="00000000" w:rsidDel="00000000" w:rsidP="00000000" w:rsidRDefault="00000000" w:rsidRPr="00000000" w14:paraId="00000168">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color w:val="000000"/>
                <w:sz w:val="22"/>
                <w:szCs w:val="22"/>
                <w:rtl w:val="0"/>
              </w:rPr>
              <w:t xml:space="preserve">2,2%</w:t>
            </w:r>
            <w:r w:rsidDel="00000000" w:rsidR="00000000" w:rsidRPr="00000000">
              <w:rPr>
                <w:rtl w:val="0"/>
              </w:rPr>
            </w:r>
          </w:p>
        </w:tc>
        <w:tc>
          <w:tcPr>
            <w:vAlign w:val="bottom"/>
          </w:tcPr>
          <w:p w:rsidR="00000000" w:rsidDel="00000000" w:rsidP="00000000" w:rsidRDefault="00000000" w:rsidRPr="00000000" w14:paraId="00000169">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9c0006"/>
                <w:sz w:val="22"/>
                <w:szCs w:val="22"/>
                <w:rtl w:val="0"/>
              </w:rPr>
              <w:t xml:space="preserve">-24,1%</w:t>
            </w:r>
            <w:r w:rsidDel="00000000" w:rsidR="00000000" w:rsidRPr="00000000">
              <w:rPr>
                <w:rtl w:val="0"/>
              </w:rPr>
            </w:r>
          </w:p>
        </w:tc>
      </w:tr>
      <w:tr>
        <w:trPr>
          <w:cantSplit w:val="0"/>
          <w:trHeight w:val="280" w:hRule="atLeast"/>
          <w:tblHeader w:val="0"/>
        </w:trPr>
        <w:tc>
          <w:tcPr>
            <w:vAlign w:val="bottom"/>
          </w:tcPr>
          <w:p w:rsidR="00000000" w:rsidDel="00000000" w:rsidP="00000000" w:rsidRDefault="00000000" w:rsidRPr="00000000" w14:paraId="0000016A">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Guadalajara</w:t>
            </w:r>
            <w:r w:rsidDel="00000000" w:rsidR="00000000" w:rsidRPr="00000000">
              <w:rPr>
                <w:rtl w:val="0"/>
              </w:rPr>
            </w:r>
          </w:p>
        </w:tc>
        <w:tc>
          <w:tcPr>
            <w:vAlign w:val="bottom"/>
          </w:tcPr>
          <w:p w:rsidR="00000000" w:rsidDel="00000000" w:rsidP="00000000" w:rsidRDefault="00000000" w:rsidRPr="00000000" w14:paraId="0000016B">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8,61 € </w:t>
            </w:r>
          </w:p>
        </w:tc>
        <w:tc>
          <w:tcPr>
            <w:vAlign w:val="bottom"/>
          </w:tcPr>
          <w:p w:rsidR="00000000" w:rsidDel="00000000" w:rsidP="00000000" w:rsidRDefault="00000000" w:rsidRPr="00000000" w14:paraId="0000016C">
            <w:pPr>
              <w:jc w:val="center"/>
              <w:rPr>
                <w:rFonts w:ascii="Open Sans" w:cs="Open Sans" w:eastAsia="Open Sans" w:hAnsi="Open Sans"/>
                <w:color w:val="9c0006"/>
                <w:sz w:val="22"/>
                <w:szCs w:val="22"/>
              </w:rPr>
            </w:pPr>
            <w:r w:rsidDel="00000000" w:rsidR="00000000" w:rsidRPr="00000000">
              <w:rPr>
                <w:rFonts w:ascii="Open Sans" w:cs="Open Sans" w:eastAsia="Open Sans" w:hAnsi="Open Sans"/>
                <w:color w:val="9c0006"/>
                <w:sz w:val="22"/>
                <w:szCs w:val="22"/>
                <w:rtl w:val="0"/>
              </w:rPr>
              <w:t xml:space="preserve">-2,0%</w:t>
            </w:r>
          </w:p>
        </w:tc>
        <w:tc>
          <w:tcPr>
            <w:vAlign w:val="bottom"/>
          </w:tcPr>
          <w:p w:rsidR="00000000" w:rsidDel="00000000" w:rsidP="00000000" w:rsidRDefault="00000000" w:rsidRPr="00000000" w14:paraId="0000016D">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color w:val="000000"/>
                <w:sz w:val="22"/>
                <w:szCs w:val="22"/>
                <w:rtl w:val="0"/>
              </w:rPr>
              <w:t xml:space="preserve">2,1%</w:t>
            </w:r>
            <w:r w:rsidDel="00000000" w:rsidR="00000000" w:rsidRPr="00000000">
              <w:rPr>
                <w:rtl w:val="0"/>
              </w:rPr>
            </w:r>
          </w:p>
        </w:tc>
        <w:tc>
          <w:tcPr>
            <w:vAlign w:val="bottom"/>
          </w:tcPr>
          <w:p w:rsidR="00000000" w:rsidDel="00000000" w:rsidP="00000000" w:rsidRDefault="00000000" w:rsidRPr="00000000" w14:paraId="0000016E">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9c0006"/>
                <w:sz w:val="22"/>
                <w:szCs w:val="22"/>
                <w:rtl w:val="0"/>
              </w:rPr>
              <w:t xml:space="preserve">-34,4%</w:t>
            </w:r>
            <w:r w:rsidDel="00000000" w:rsidR="00000000" w:rsidRPr="00000000">
              <w:rPr>
                <w:rtl w:val="0"/>
              </w:rPr>
            </w:r>
          </w:p>
        </w:tc>
      </w:tr>
      <w:tr>
        <w:trPr>
          <w:cantSplit w:val="0"/>
          <w:trHeight w:val="280" w:hRule="atLeast"/>
          <w:tblHeader w:val="0"/>
        </w:trPr>
        <w:tc>
          <w:tcPr>
            <w:vAlign w:val="bottom"/>
          </w:tcPr>
          <w:p w:rsidR="00000000" w:rsidDel="00000000" w:rsidP="00000000" w:rsidRDefault="00000000" w:rsidRPr="00000000" w14:paraId="0000016F">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Cantabria</w:t>
            </w:r>
            <w:r w:rsidDel="00000000" w:rsidR="00000000" w:rsidRPr="00000000">
              <w:rPr>
                <w:rtl w:val="0"/>
              </w:rPr>
            </w:r>
          </w:p>
        </w:tc>
        <w:tc>
          <w:tcPr>
            <w:vAlign w:val="bottom"/>
          </w:tcPr>
          <w:p w:rsidR="00000000" w:rsidDel="00000000" w:rsidP="00000000" w:rsidRDefault="00000000" w:rsidRPr="00000000" w14:paraId="00000170">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11,46 € </w:t>
            </w:r>
          </w:p>
        </w:tc>
        <w:tc>
          <w:tcPr>
            <w:vAlign w:val="bottom"/>
          </w:tcPr>
          <w:p w:rsidR="00000000" w:rsidDel="00000000" w:rsidP="00000000" w:rsidRDefault="00000000" w:rsidRPr="00000000" w14:paraId="00000171">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1,8%</w:t>
            </w:r>
          </w:p>
        </w:tc>
        <w:tc>
          <w:tcPr>
            <w:vAlign w:val="bottom"/>
          </w:tcPr>
          <w:p w:rsidR="00000000" w:rsidDel="00000000" w:rsidP="00000000" w:rsidRDefault="00000000" w:rsidRPr="00000000" w14:paraId="00000172">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color w:val="9c0006"/>
                <w:sz w:val="22"/>
                <w:szCs w:val="22"/>
                <w:rtl w:val="0"/>
              </w:rPr>
              <w:t xml:space="preserve">-0,6%</w:t>
            </w:r>
            <w:r w:rsidDel="00000000" w:rsidR="00000000" w:rsidRPr="00000000">
              <w:rPr>
                <w:rtl w:val="0"/>
              </w:rPr>
            </w:r>
          </w:p>
        </w:tc>
        <w:tc>
          <w:tcPr>
            <w:vAlign w:val="bottom"/>
          </w:tcPr>
          <w:p w:rsidR="00000000" w:rsidDel="00000000" w:rsidP="00000000" w:rsidRDefault="00000000" w:rsidRPr="00000000" w14:paraId="00000173">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9c0006"/>
                <w:sz w:val="22"/>
                <w:szCs w:val="22"/>
                <w:rtl w:val="0"/>
              </w:rPr>
              <w:t xml:space="preserve">-12,7%</w:t>
            </w:r>
            <w:r w:rsidDel="00000000" w:rsidR="00000000" w:rsidRPr="00000000">
              <w:rPr>
                <w:rtl w:val="0"/>
              </w:rPr>
            </w:r>
          </w:p>
        </w:tc>
      </w:tr>
      <w:tr>
        <w:trPr>
          <w:cantSplit w:val="0"/>
          <w:trHeight w:val="280" w:hRule="atLeast"/>
          <w:tblHeader w:val="0"/>
        </w:trPr>
        <w:tc>
          <w:tcPr>
            <w:vAlign w:val="bottom"/>
          </w:tcPr>
          <w:p w:rsidR="00000000" w:rsidDel="00000000" w:rsidP="00000000" w:rsidRDefault="00000000" w:rsidRPr="00000000" w14:paraId="00000174">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Teruel</w:t>
            </w:r>
            <w:r w:rsidDel="00000000" w:rsidR="00000000" w:rsidRPr="00000000">
              <w:rPr>
                <w:rtl w:val="0"/>
              </w:rPr>
            </w:r>
          </w:p>
        </w:tc>
        <w:tc>
          <w:tcPr>
            <w:vAlign w:val="bottom"/>
          </w:tcPr>
          <w:p w:rsidR="00000000" w:rsidDel="00000000" w:rsidP="00000000" w:rsidRDefault="00000000" w:rsidRPr="00000000" w14:paraId="00000175">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6,25 € </w:t>
            </w:r>
          </w:p>
        </w:tc>
        <w:tc>
          <w:tcPr>
            <w:vAlign w:val="bottom"/>
          </w:tcPr>
          <w:p w:rsidR="00000000" w:rsidDel="00000000" w:rsidP="00000000" w:rsidRDefault="00000000" w:rsidRPr="00000000" w14:paraId="00000176">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3,3%</w:t>
            </w:r>
          </w:p>
        </w:tc>
        <w:tc>
          <w:tcPr>
            <w:vAlign w:val="bottom"/>
          </w:tcPr>
          <w:p w:rsidR="00000000" w:rsidDel="00000000" w:rsidP="00000000" w:rsidRDefault="00000000" w:rsidRPr="00000000" w14:paraId="00000177">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color w:val="9c0006"/>
                <w:sz w:val="22"/>
                <w:szCs w:val="22"/>
                <w:rtl w:val="0"/>
              </w:rPr>
              <w:t xml:space="preserve">-1,4%</w:t>
            </w:r>
            <w:r w:rsidDel="00000000" w:rsidR="00000000" w:rsidRPr="00000000">
              <w:rPr>
                <w:rtl w:val="0"/>
              </w:rPr>
            </w:r>
          </w:p>
        </w:tc>
        <w:tc>
          <w:tcPr>
            <w:vAlign w:val="bottom"/>
          </w:tcPr>
          <w:p w:rsidR="00000000" w:rsidDel="00000000" w:rsidP="00000000" w:rsidRDefault="00000000" w:rsidRPr="00000000" w14:paraId="00000178">
            <w:pPr>
              <w:jc w:val="center"/>
              <w:rPr>
                <w:rFonts w:ascii="Open Sans" w:cs="Open Sans" w:eastAsia="Open Sans" w:hAnsi="Open Sans"/>
                <w:color w:val="9c0006"/>
                <w:sz w:val="22"/>
                <w:szCs w:val="22"/>
              </w:rPr>
            </w:pPr>
            <w:r w:rsidDel="00000000" w:rsidR="00000000" w:rsidRPr="00000000">
              <w:rPr>
                <w:rFonts w:ascii="Open Sans" w:cs="Open Sans" w:eastAsia="Open Sans" w:hAnsi="Open Sans"/>
                <w:color w:val="9c0006"/>
                <w:sz w:val="22"/>
                <w:szCs w:val="22"/>
                <w:rtl w:val="0"/>
              </w:rPr>
              <w:t xml:space="preserve">-52,4%</w:t>
            </w:r>
          </w:p>
        </w:tc>
      </w:tr>
      <w:tr>
        <w:trPr>
          <w:cantSplit w:val="0"/>
          <w:trHeight w:val="280" w:hRule="atLeast"/>
          <w:tblHeader w:val="0"/>
        </w:trPr>
        <w:tc>
          <w:tcPr>
            <w:vAlign w:val="bottom"/>
          </w:tcPr>
          <w:p w:rsidR="00000000" w:rsidDel="00000000" w:rsidP="00000000" w:rsidRDefault="00000000" w:rsidRPr="00000000" w14:paraId="00000179">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Araba - Álava</w:t>
            </w:r>
            <w:r w:rsidDel="00000000" w:rsidR="00000000" w:rsidRPr="00000000">
              <w:rPr>
                <w:rtl w:val="0"/>
              </w:rPr>
            </w:r>
          </w:p>
        </w:tc>
        <w:tc>
          <w:tcPr>
            <w:vAlign w:val="bottom"/>
          </w:tcPr>
          <w:p w:rsidR="00000000" w:rsidDel="00000000" w:rsidP="00000000" w:rsidRDefault="00000000" w:rsidRPr="00000000" w14:paraId="0000017A">
            <w:pPr>
              <w:jc w:val="center"/>
              <w:rPr>
                <w:rFonts w:ascii="Open Sans" w:cs="Open Sans" w:eastAsia="Open Sans" w:hAnsi="Open Sans"/>
                <w:color w:val="9c0006"/>
                <w:sz w:val="22"/>
                <w:szCs w:val="22"/>
              </w:rPr>
            </w:pPr>
            <w:r w:rsidDel="00000000" w:rsidR="00000000" w:rsidRPr="00000000">
              <w:rPr>
                <w:rFonts w:ascii="Open Sans" w:cs="Open Sans" w:eastAsia="Open Sans" w:hAnsi="Open Sans"/>
                <w:color w:val="000000"/>
                <w:sz w:val="22"/>
                <w:szCs w:val="22"/>
                <w:rtl w:val="0"/>
              </w:rPr>
              <w:t xml:space="preserve">         10,57 € </w:t>
            </w:r>
            <w:r w:rsidDel="00000000" w:rsidR="00000000" w:rsidRPr="00000000">
              <w:rPr>
                <w:rtl w:val="0"/>
              </w:rPr>
            </w:r>
          </w:p>
        </w:tc>
        <w:tc>
          <w:tcPr>
            <w:vAlign w:val="bottom"/>
          </w:tcPr>
          <w:p w:rsidR="00000000" w:rsidDel="00000000" w:rsidP="00000000" w:rsidRDefault="00000000" w:rsidRPr="00000000" w14:paraId="0000017B">
            <w:pPr>
              <w:jc w:val="center"/>
              <w:rPr>
                <w:rFonts w:ascii="Open Sans" w:cs="Open Sans" w:eastAsia="Open Sans" w:hAnsi="Open Sans"/>
                <w:color w:val="9c0006"/>
                <w:sz w:val="22"/>
                <w:szCs w:val="22"/>
              </w:rPr>
            </w:pPr>
            <w:r w:rsidDel="00000000" w:rsidR="00000000" w:rsidRPr="00000000">
              <w:rPr>
                <w:rFonts w:ascii="Open Sans" w:cs="Open Sans" w:eastAsia="Open Sans" w:hAnsi="Open Sans"/>
                <w:color w:val="9c0006"/>
                <w:sz w:val="22"/>
                <w:szCs w:val="22"/>
                <w:rtl w:val="0"/>
              </w:rPr>
              <w:t xml:space="preserve">-0,6%</w:t>
            </w:r>
          </w:p>
        </w:tc>
        <w:tc>
          <w:tcPr>
            <w:vAlign w:val="bottom"/>
          </w:tcPr>
          <w:p w:rsidR="00000000" w:rsidDel="00000000" w:rsidP="00000000" w:rsidRDefault="00000000" w:rsidRPr="00000000" w14:paraId="0000017C">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color w:val="9c0006"/>
                <w:sz w:val="22"/>
                <w:szCs w:val="22"/>
                <w:rtl w:val="0"/>
              </w:rPr>
              <w:t xml:space="preserve">-12,1%</w:t>
            </w:r>
            <w:r w:rsidDel="00000000" w:rsidR="00000000" w:rsidRPr="00000000">
              <w:rPr>
                <w:rtl w:val="0"/>
              </w:rPr>
            </w:r>
          </w:p>
        </w:tc>
        <w:tc>
          <w:tcPr>
            <w:vAlign w:val="bottom"/>
          </w:tcPr>
          <w:p w:rsidR="00000000" w:rsidDel="00000000" w:rsidP="00000000" w:rsidRDefault="00000000" w:rsidRPr="00000000" w14:paraId="0000017D">
            <w:pPr>
              <w:jc w:val="center"/>
              <w:rPr>
                <w:rFonts w:ascii="Open Sans" w:cs="Open Sans" w:eastAsia="Open Sans" w:hAnsi="Open Sans"/>
                <w:color w:val="9c0006"/>
                <w:sz w:val="22"/>
                <w:szCs w:val="22"/>
              </w:rPr>
            </w:pPr>
            <w:r w:rsidDel="00000000" w:rsidR="00000000" w:rsidRPr="00000000">
              <w:rPr>
                <w:rFonts w:ascii="Open Sans" w:cs="Open Sans" w:eastAsia="Open Sans" w:hAnsi="Open Sans"/>
                <w:color w:val="9c0006"/>
                <w:sz w:val="22"/>
                <w:szCs w:val="22"/>
                <w:rtl w:val="0"/>
              </w:rPr>
              <w:t xml:space="preserve">-19,5%</w:t>
            </w:r>
          </w:p>
        </w:tc>
      </w:tr>
      <w:tr>
        <w:trPr>
          <w:cantSplit w:val="0"/>
          <w:trHeight w:val="280" w:hRule="atLeast"/>
          <w:tblHeader w:val="0"/>
        </w:trPr>
        <w:tc>
          <w:tcPr>
            <w:vAlign w:val="bottom"/>
          </w:tcPr>
          <w:p w:rsidR="00000000" w:rsidDel="00000000" w:rsidP="00000000" w:rsidRDefault="00000000" w:rsidRPr="00000000" w14:paraId="0000017E">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Soria</w:t>
            </w:r>
            <w:r w:rsidDel="00000000" w:rsidR="00000000" w:rsidRPr="00000000">
              <w:rPr>
                <w:rtl w:val="0"/>
              </w:rPr>
            </w:r>
          </w:p>
        </w:tc>
        <w:tc>
          <w:tcPr>
            <w:vAlign w:val="bottom"/>
          </w:tcPr>
          <w:p w:rsidR="00000000" w:rsidDel="00000000" w:rsidP="00000000" w:rsidRDefault="00000000" w:rsidRPr="00000000" w14:paraId="0000017F">
            <w:pPr>
              <w:jc w:val="center"/>
              <w:rPr>
                <w:rFonts w:ascii="Open Sans" w:cs="Open Sans" w:eastAsia="Open Sans" w:hAnsi="Open Sans"/>
                <w:color w:val="9c0006"/>
                <w:sz w:val="22"/>
                <w:szCs w:val="22"/>
              </w:rPr>
            </w:pPr>
            <w:r w:rsidDel="00000000" w:rsidR="00000000" w:rsidRPr="00000000">
              <w:rPr>
                <w:rFonts w:ascii="Open Sans" w:cs="Open Sans" w:eastAsia="Open Sans" w:hAnsi="Open Sans"/>
                <w:color w:val="000000"/>
                <w:sz w:val="22"/>
                <w:szCs w:val="22"/>
                <w:rtl w:val="0"/>
              </w:rPr>
              <w:t xml:space="preserve">           8,62 € </w:t>
            </w:r>
            <w:r w:rsidDel="00000000" w:rsidR="00000000" w:rsidRPr="00000000">
              <w:rPr>
                <w:rtl w:val="0"/>
              </w:rPr>
            </w:r>
          </w:p>
        </w:tc>
        <w:tc>
          <w:tcPr>
            <w:vAlign w:val="bottom"/>
          </w:tcPr>
          <w:p w:rsidR="00000000" w:rsidDel="00000000" w:rsidP="00000000" w:rsidRDefault="00000000" w:rsidRPr="00000000" w14:paraId="00000180">
            <w:pPr>
              <w:jc w:val="center"/>
              <w:rPr>
                <w:rFonts w:ascii="Open Sans" w:cs="Open Sans" w:eastAsia="Open Sans" w:hAnsi="Open Sans"/>
                <w:color w:val="9c0006"/>
                <w:sz w:val="22"/>
                <w:szCs w:val="22"/>
              </w:rPr>
            </w:pPr>
            <w:r w:rsidDel="00000000" w:rsidR="00000000" w:rsidRPr="00000000">
              <w:rPr>
                <w:rFonts w:ascii="Open Sans" w:cs="Open Sans" w:eastAsia="Open Sans" w:hAnsi="Open Sans"/>
                <w:color w:val="9c0006"/>
                <w:sz w:val="22"/>
                <w:szCs w:val="22"/>
                <w:rtl w:val="0"/>
              </w:rPr>
              <w:t xml:space="preserve">-0,8%</w:t>
            </w:r>
          </w:p>
        </w:tc>
        <w:tc>
          <w:tcPr>
            <w:vAlign w:val="bottom"/>
          </w:tcPr>
          <w:p w:rsidR="00000000" w:rsidDel="00000000" w:rsidP="00000000" w:rsidRDefault="00000000" w:rsidRPr="00000000" w14:paraId="00000181">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color w:val="000000"/>
                <w:sz w:val="22"/>
                <w:szCs w:val="22"/>
                <w:rtl w:val="0"/>
              </w:rPr>
              <w:t xml:space="preserve">- </w:t>
            </w:r>
            <w:r w:rsidDel="00000000" w:rsidR="00000000" w:rsidRPr="00000000">
              <w:rPr>
                <w:rtl w:val="0"/>
              </w:rPr>
            </w:r>
          </w:p>
        </w:tc>
        <w:tc>
          <w:tcPr>
            <w:vAlign w:val="bottom"/>
          </w:tcPr>
          <w:p w:rsidR="00000000" w:rsidDel="00000000" w:rsidP="00000000" w:rsidRDefault="00000000" w:rsidRPr="00000000" w14:paraId="00000182">
            <w:pPr>
              <w:jc w:val="center"/>
              <w:rPr>
                <w:rFonts w:ascii="Open Sans" w:cs="Open Sans" w:eastAsia="Open Sans" w:hAnsi="Open Sans"/>
                <w:color w:val="9c0006"/>
                <w:sz w:val="22"/>
                <w:szCs w:val="22"/>
              </w:rPr>
            </w:pPr>
            <w:r w:rsidDel="00000000" w:rsidR="00000000" w:rsidRPr="00000000">
              <w:rPr>
                <w:rFonts w:ascii="Open Sans" w:cs="Open Sans" w:eastAsia="Open Sans" w:hAnsi="Open Sans"/>
                <w:color w:val="9c0006"/>
                <w:sz w:val="22"/>
                <w:szCs w:val="22"/>
                <w:rtl w:val="0"/>
              </w:rPr>
              <w:t xml:space="preserve">-34,3%</w:t>
            </w:r>
          </w:p>
        </w:tc>
      </w:tr>
    </w:tbl>
    <w:p w:rsidR="00000000" w:rsidDel="00000000" w:rsidP="00000000" w:rsidRDefault="00000000" w:rsidRPr="00000000" w14:paraId="00000183">
      <w:pPr>
        <w:spacing w:line="276" w:lineRule="auto"/>
        <w:ind w:right="-567"/>
        <w:rPr>
          <w:rFonts w:ascii="Open Sans Light" w:cs="Open Sans Light" w:eastAsia="Open Sans Light" w:hAnsi="Open Sans Light"/>
          <w:b w:val="1"/>
          <w:color w:val="303ab2"/>
          <w:sz w:val="28"/>
          <w:szCs w:val="28"/>
        </w:rPr>
      </w:pPr>
      <w:r w:rsidDel="00000000" w:rsidR="00000000" w:rsidRPr="00000000">
        <w:rPr>
          <w:rtl w:val="0"/>
        </w:rPr>
      </w:r>
    </w:p>
    <w:p w:rsidR="00000000" w:rsidDel="00000000" w:rsidP="00000000" w:rsidRDefault="00000000" w:rsidRPr="00000000" w14:paraId="00000184">
      <w:pPr>
        <w:spacing w:line="276" w:lineRule="auto"/>
        <w:ind w:right="-567"/>
        <w:rPr>
          <w:rFonts w:ascii="Open Sans Light" w:cs="Open Sans Light" w:eastAsia="Open Sans Light" w:hAnsi="Open Sans Light"/>
          <w:b w:val="1"/>
          <w:color w:val="303ab2"/>
          <w:sz w:val="28"/>
          <w:szCs w:val="28"/>
        </w:rPr>
      </w:pPr>
      <w:r w:rsidDel="00000000" w:rsidR="00000000" w:rsidRPr="00000000">
        <w:rPr>
          <w:rFonts w:ascii="Open Sans Light" w:cs="Open Sans Light" w:eastAsia="Open Sans Light" w:hAnsi="Open Sans Light"/>
          <w:b w:val="1"/>
          <w:color w:val="303ab2"/>
          <w:sz w:val="28"/>
          <w:szCs w:val="28"/>
          <w:rtl w:val="0"/>
        </w:rPr>
        <w:t xml:space="preserve">Capitales de provincia</w:t>
      </w:r>
    </w:p>
    <w:p w:rsidR="00000000" w:rsidDel="00000000" w:rsidP="00000000" w:rsidRDefault="00000000" w:rsidRPr="00000000" w14:paraId="00000185">
      <w:pPr>
        <w:spacing w:line="276" w:lineRule="auto"/>
        <w:ind w:right="-567"/>
        <w:jc w:val="both"/>
        <w:rPr>
          <w:rFonts w:ascii="Open Sans" w:cs="Open Sans" w:eastAsia="Open Sans" w:hAnsi="Open Sans"/>
          <w:color w:val="000000"/>
        </w:rPr>
      </w:pPr>
      <w:r w:rsidDel="00000000" w:rsidR="00000000" w:rsidRPr="00000000">
        <w:rPr>
          <w:rtl w:val="0"/>
        </w:rPr>
      </w:r>
    </w:p>
    <w:p w:rsidR="00000000" w:rsidDel="00000000" w:rsidP="00000000" w:rsidRDefault="00000000" w:rsidRPr="00000000" w14:paraId="00000186">
      <w:pPr>
        <w:spacing w:line="276" w:lineRule="auto"/>
        <w:ind w:right="-567"/>
        <w:jc w:val="both"/>
        <w:rPr>
          <w:rFonts w:ascii="Open Sans" w:cs="Open Sans" w:eastAsia="Open Sans" w:hAnsi="Open Sans"/>
          <w:color w:val="000000"/>
        </w:rPr>
      </w:pPr>
      <w:r w:rsidDel="00000000" w:rsidR="00000000" w:rsidRPr="00000000">
        <w:rPr>
          <w:rFonts w:ascii="Open Sans" w:cs="Open Sans" w:eastAsia="Open Sans" w:hAnsi="Open Sans"/>
          <w:b w:val="1"/>
          <w:color w:val="000000"/>
          <w:rtl w:val="0"/>
        </w:rPr>
        <w:t xml:space="preserve">El precio del alquiler interanual sube en 43 de las 45 capitales con variación interanual analizadas por </w:t>
      </w:r>
      <w:hyperlink r:id="rId12">
        <w:r w:rsidDel="00000000" w:rsidR="00000000" w:rsidRPr="00000000">
          <w:rPr>
            <w:rFonts w:ascii="Open Sans" w:cs="Open Sans" w:eastAsia="Open Sans" w:hAnsi="Open Sans"/>
            <w:b w:val="1"/>
            <w:color w:val="0000ff"/>
            <w:u w:val="single"/>
            <w:rtl w:val="0"/>
          </w:rPr>
          <w:t xml:space="preserve">Fotocasa</w:t>
        </w:r>
      </w:hyperlink>
      <w:r w:rsidDel="00000000" w:rsidR="00000000" w:rsidRPr="00000000">
        <w:rPr>
          <w:rFonts w:ascii="Open Sans" w:cs="Open Sans" w:eastAsia="Open Sans" w:hAnsi="Open Sans"/>
          <w:color w:val="000000"/>
          <w:rtl w:val="0"/>
        </w:rPr>
        <w:t xml:space="preserve">. Si vemos con detalle las capitales con variación interanual analizadas, se contabilizan 19 capitales con subidas interanuales de dos dígitos y son: Ciudad Real capital (31,5%), Zamora capital (23,2%), Palencia capital (21,2%), Castellón de la Plana / Castelló de la Plana (17,5%), Segovia capital (17,0%), Sevilla capital (16,6%), Madrid capital (16,2%), Oviedo (15,5%), Girona capital (13,7%), Cáceres capital (13,7%), A Coruña capital (13,7%), Lugo capital (12,4%), Córdoba capital (11,0%), Santander (10,6%), Pamplona / Iruña (10,6%), León capital (10,5%), Almería capital (10,2%), Huelva capital (10,1%) y Zaragoza capital (10,0%).</w:t>
      </w:r>
    </w:p>
    <w:p w:rsidR="00000000" w:rsidDel="00000000" w:rsidP="00000000" w:rsidRDefault="00000000" w:rsidRPr="00000000" w14:paraId="00000187">
      <w:pPr>
        <w:pBdr>
          <w:top w:space="0" w:sz="0" w:val="nil"/>
          <w:left w:space="0" w:sz="0" w:val="nil"/>
          <w:bottom w:space="0" w:sz="0" w:val="nil"/>
          <w:right w:space="0" w:sz="0" w:val="nil"/>
          <w:between w:space="0" w:sz="0" w:val="nil"/>
        </w:pBdr>
        <w:spacing w:after="280" w:before="280" w:line="276" w:lineRule="auto"/>
        <w:ind w:right="-567"/>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Por otro lado, </w:t>
      </w:r>
      <w:r w:rsidDel="00000000" w:rsidR="00000000" w:rsidRPr="00000000">
        <w:rPr>
          <w:rFonts w:ascii="Open Sans" w:cs="Open Sans" w:eastAsia="Open Sans" w:hAnsi="Open Sans"/>
          <w:b w:val="1"/>
          <w:color w:val="000000"/>
          <w:rtl w:val="0"/>
        </w:rPr>
        <w:t xml:space="preserve">Ciudad Real, </w:t>
      </w:r>
      <w:r w:rsidDel="00000000" w:rsidR="00000000" w:rsidRPr="00000000">
        <w:rPr>
          <w:rFonts w:ascii="Open Sans" w:cs="Open Sans" w:eastAsia="Open Sans" w:hAnsi="Open Sans"/>
          <w:color w:val="000000"/>
          <w:rtl w:val="0"/>
        </w:rPr>
        <w:t xml:space="preserve">la ciudad con las mayores subidas interanuales,</w:t>
      </w:r>
      <w:r w:rsidDel="00000000" w:rsidR="00000000" w:rsidRPr="00000000">
        <w:rPr>
          <w:rFonts w:ascii="Open Sans" w:cs="Open Sans" w:eastAsia="Open Sans" w:hAnsi="Open Sans"/>
          <w:b w:val="1"/>
          <w:color w:val="000000"/>
          <w:rtl w:val="0"/>
        </w:rPr>
        <w:t xml:space="preserve"> lleva cinco meses con incrementos en cadena superiores al 30%, y en concreto en abril de este año, la subida del metro cuadrado supera el 40%</w:t>
      </w:r>
      <w:r w:rsidDel="00000000" w:rsidR="00000000" w:rsidRPr="00000000">
        <w:rPr>
          <w:rFonts w:ascii="Open Sans" w:cs="Open Sans" w:eastAsia="Open Sans" w:hAnsi="Open Sans"/>
          <w:color w:val="000000"/>
          <w:rtl w:val="0"/>
        </w:rPr>
        <w:t xml:space="preserve">. </w:t>
      </w:r>
    </w:p>
    <w:p w:rsidR="00000000" w:rsidDel="00000000" w:rsidP="00000000" w:rsidRDefault="00000000" w:rsidRPr="00000000" w14:paraId="00000188">
      <w:pPr>
        <w:spacing w:line="276" w:lineRule="auto"/>
        <w:ind w:right="-567"/>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En cuanto al precio por metro cuadrado en noviembre, vemos que 23 ciudades sobrepasan los 10,00 €/m</w:t>
      </w:r>
      <w:r w:rsidDel="00000000" w:rsidR="00000000" w:rsidRPr="00000000">
        <w:rPr>
          <w:rFonts w:ascii="Open Sans" w:cs="Open Sans" w:eastAsia="Open Sans" w:hAnsi="Open Sans"/>
          <w:color w:val="000000"/>
          <w:vertAlign w:val="superscript"/>
          <w:rtl w:val="0"/>
        </w:rPr>
        <w:t xml:space="preserve">2</w:t>
      </w:r>
      <w:r w:rsidDel="00000000" w:rsidR="00000000" w:rsidRPr="00000000">
        <w:rPr>
          <w:rFonts w:ascii="Open Sans" w:cs="Open Sans" w:eastAsia="Open Sans" w:hAnsi="Open Sans"/>
          <w:color w:val="000000"/>
          <w:rtl w:val="0"/>
        </w:rPr>
        <w:t xml:space="preserve"> al mes y son: Barcelona capital con 22,82 €/m</w:t>
      </w:r>
      <w:r w:rsidDel="00000000" w:rsidR="00000000" w:rsidRPr="00000000">
        <w:rPr>
          <w:rFonts w:ascii="Open Sans" w:cs="Open Sans" w:eastAsia="Open Sans" w:hAnsi="Open Sans"/>
          <w:color w:val="000000"/>
          <w:vertAlign w:val="superscript"/>
          <w:rtl w:val="0"/>
        </w:rPr>
        <w:t xml:space="preserve">2 </w:t>
      </w:r>
      <w:r w:rsidDel="00000000" w:rsidR="00000000" w:rsidRPr="00000000">
        <w:rPr>
          <w:rFonts w:ascii="Open Sans" w:cs="Open Sans" w:eastAsia="Open Sans" w:hAnsi="Open Sans"/>
          <w:color w:val="000000"/>
          <w:rtl w:val="0"/>
        </w:rPr>
        <w:t xml:space="preserve">al mes,  </w:t>
      </w:r>
    </w:p>
    <w:p w:rsidR="00000000" w:rsidDel="00000000" w:rsidP="00000000" w:rsidRDefault="00000000" w:rsidRPr="00000000" w14:paraId="00000189">
      <w:pPr>
        <w:spacing w:line="276" w:lineRule="auto"/>
        <w:ind w:right="-567"/>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Madrid capital con 21,83 €/m</w:t>
      </w:r>
      <w:r w:rsidDel="00000000" w:rsidR="00000000" w:rsidRPr="00000000">
        <w:rPr>
          <w:rFonts w:ascii="Open Sans" w:cs="Open Sans" w:eastAsia="Open Sans" w:hAnsi="Open Sans"/>
          <w:color w:val="000000"/>
          <w:vertAlign w:val="superscript"/>
          <w:rtl w:val="0"/>
        </w:rPr>
        <w:t xml:space="preserve">2 </w:t>
      </w:r>
      <w:r w:rsidDel="00000000" w:rsidR="00000000" w:rsidRPr="00000000">
        <w:rPr>
          <w:rFonts w:ascii="Open Sans" w:cs="Open Sans" w:eastAsia="Open Sans" w:hAnsi="Open Sans"/>
          <w:color w:val="000000"/>
          <w:rtl w:val="0"/>
        </w:rPr>
        <w:t xml:space="preserve">al mes, Donostia - San Sebastián con 20,44 €/m</w:t>
      </w:r>
      <w:r w:rsidDel="00000000" w:rsidR="00000000" w:rsidRPr="00000000">
        <w:rPr>
          <w:rFonts w:ascii="Open Sans" w:cs="Open Sans" w:eastAsia="Open Sans" w:hAnsi="Open Sans"/>
          <w:color w:val="000000"/>
          <w:vertAlign w:val="superscript"/>
          <w:rtl w:val="0"/>
        </w:rPr>
        <w:t xml:space="preserve">2 </w:t>
      </w:r>
      <w:r w:rsidDel="00000000" w:rsidR="00000000" w:rsidRPr="00000000">
        <w:rPr>
          <w:rFonts w:ascii="Open Sans" w:cs="Open Sans" w:eastAsia="Open Sans" w:hAnsi="Open Sans"/>
          <w:color w:val="000000"/>
          <w:rtl w:val="0"/>
        </w:rPr>
        <w:t xml:space="preserve">al mes, Palma de Mallorca con 17,59 €/m</w:t>
      </w:r>
      <w:r w:rsidDel="00000000" w:rsidR="00000000" w:rsidRPr="00000000">
        <w:rPr>
          <w:rFonts w:ascii="Open Sans" w:cs="Open Sans" w:eastAsia="Open Sans" w:hAnsi="Open Sans"/>
          <w:color w:val="000000"/>
          <w:vertAlign w:val="superscript"/>
          <w:rtl w:val="0"/>
        </w:rPr>
        <w:t xml:space="preserve">2 </w:t>
      </w:r>
      <w:r w:rsidDel="00000000" w:rsidR="00000000" w:rsidRPr="00000000">
        <w:rPr>
          <w:rFonts w:ascii="Open Sans" w:cs="Open Sans" w:eastAsia="Open Sans" w:hAnsi="Open Sans"/>
          <w:color w:val="000000"/>
          <w:rtl w:val="0"/>
        </w:rPr>
        <w:t xml:space="preserve">al mes, Bilbao con 16,79 €/m</w:t>
      </w:r>
      <w:r w:rsidDel="00000000" w:rsidR="00000000" w:rsidRPr="00000000">
        <w:rPr>
          <w:rFonts w:ascii="Open Sans" w:cs="Open Sans" w:eastAsia="Open Sans" w:hAnsi="Open Sans"/>
          <w:color w:val="000000"/>
          <w:vertAlign w:val="superscript"/>
          <w:rtl w:val="0"/>
        </w:rPr>
        <w:t xml:space="preserve">2 </w:t>
      </w:r>
      <w:r w:rsidDel="00000000" w:rsidR="00000000" w:rsidRPr="00000000">
        <w:rPr>
          <w:rFonts w:ascii="Open Sans" w:cs="Open Sans" w:eastAsia="Open Sans" w:hAnsi="Open Sans"/>
          <w:color w:val="000000"/>
          <w:rtl w:val="0"/>
        </w:rPr>
        <w:t xml:space="preserve">al mes, Girona capital con 16,22 €/m</w:t>
      </w:r>
      <w:r w:rsidDel="00000000" w:rsidR="00000000" w:rsidRPr="00000000">
        <w:rPr>
          <w:rFonts w:ascii="Open Sans" w:cs="Open Sans" w:eastAsia="Open Sans" w:hAnsi="Open Sans"/>
          <w:color w:val="000000"/>
          <w:vertAlign w:val="superscript"/>
          <w:rtl w:val="0"/>
        </w:rPr>
        <w:t xml:space="preserve">2 </w:t>
      </w:r>
      <w:r w:rsidDel="00000000" w:rsidR="00000000" w:rsidRPr="00000000">
        <w:rPr>
          <w:rFonts w:ascii="Open Sans" w:cs="Open Sans" w:eastAsia="Open Sans" w:hAnsi="Open Sans"/>
          <w:color w:val="000000"/>
          <w:rtl w:val="0"/>
        </w:rPr>
        <w:t xml:space="preserve">al mes, Málaga capital con 15,62 €/m</w:t>
      </w:r>
      <w:r w:rsidDel="00000000" w:rsidR="00000000" w:rsidRPr="00000000">
        <w:rPr>
          <w:rFonts w:ascii="Open Sans" w:cs="Open Sans" w:eastAsia="Open Sans" w:hAnsi="Open Sans"/>
          <w:color w:val="000000"/>
          <w:vertAlign w:val="superscript"/>
          <w:rtl w:val="0"/>
        </w:rPr>
        <w:t xml:space="preserve">2 </w:t>
      </w:r>
      <w:r w:rsidDel="00000000" w:rsidR="00000000" w:rsidRPr="00000000">
        <w:rPr>
          <w:rFonts w:ascii="Open Sans" w:cs="Open Sans" w:eastAsia="Open Sans" w:hAnsi="Open Sans"/>
          <w:color w:val="000000"/>
          <w:rtl w:val="0"/>
        </w:rPr>
        <w:t xml:space="preserve">al mes, Valencia capital con 15,49 €/m</w:t>
      </w:r>
      <w:r w:rsidDel="00000000" w:rsidR="00000000" w:rsidRPr="00000000">
        <w:rPr>
          <w:rFonts w:ascii="Open Sans" w:cs="Open Sans" w:eastAsia="Open Sans" w:hAnsi="Open Sans"/>
          <w:color w:val="000000"/>
          <w:vertAlign w:val="superscript"/>
          <w:rtl w:val="0"/>
        </w:rPr>
        <w:t xml:space="preserve">2 </w:t>
      </w:r>
      <w:r w:rsidDel="00000000" w:rsidR="00000000" w:rsidRPr="00000000">
        <w:rPr>
          <w:rFonts w:ascii="Open Sans" w:cs="Open Sans" w:eastAsia="Open Sans" w:hAnsi="Open Sans"/>
          <w:color w:val="000000"/>
          <w:rtl w:val="0"/>
        </w:rPr>
        <w:t xml:space="preserve">al mes, Las Palmas de Gran Canaria con 14,50 €/m</w:t>
      </w:r>
      <w:r w:rsidDel="00000000" w:rsidR="00000000" w:rsidRPr="00000000">
        <w:rPr>
          <w:rFonts w:ascii="Open Sans" w:cs="Open Sans" w:eastAsia="Open Sans" w:hAnsi="Open Sans"/>
          <w:color w:val="000000"/>
          <w:vertAlign w:val="superscript"/>
          <w:rtl w:val="0"/>
        </w:rPr>
        <w:t xml:space="preserve">2 </w:t>
      </w:r>
      <w:r w:rsidDel="00000000" w:rsidR="00000000" w:rsidRPr="00000000">
        <w:rPr>
          <w:rFonts w:ascii="Open Sans" w:cs="Open Sans" w:eastAsia="Open Sans" w:hAnsi="Open Sans"/>
          <w:color w:val="000000"/>
          <w:rtl w:val="0"/>
        </w:rPr>
        <w:t xml:space="preserve">al mes, Sevilla capital con 13,95 €/m</w:t>
      </w:r>
      <w:r w:rsidDel="00000000" w:rsidR="00000000" w:rsidRPr="00000000">
        <w:rPr>
          <w:rFonts w:ascii="Open Sans" w:cs="Open Sans" w:eastAsia="Open Sans" w:hAnsi="Open Sans"/>
          <w:color w:val="000000"/>
          <w:vertAlign w:val="superscript"/>
          <w:rtl w:val="0"/>
        </w:rPr>
        <w:t xml:space="preserve">2 </w:t>
      </w:r>
      <w:r w:rsidDel="00000000" w:rsidR="00000000" w:rsidRPr="00000000">
        <w:rPr>
          <w:rFonts w:ascii="Open Sans" w:cs="Open Sans" w:eastAsia="Open Sans" w:hAnsi="Open Sans"/>
          <w:color w:val="000000"/>
          <w:rtl w:val="0"/>
        </w:rPr>
        <w:t xml:space="preserve">al mes, Alicante / Alacant con 13,41 €/m</w:t>
      </w:r>
      <w:r w:rsidDel="00000000" w:rsidR="00000000" w:rsidRPr="00000000">
        <w:rPr>
          <w:rFonts w:ascii="Open Sans" w:cs="Open Sans" w:eastAsia="Open Sans" w:hAnsi="Open Sans"/>
          <w:color w:val="000000"/>
          <w:vertAlign w:val="superscript"/>
          <w:rtl w:val="0"/>
        </w:rPr>
        <w:t xml:space="preserve">2 </w:t>
      </w:r>
      <w:r w:rsidDel="00000000" w:rsidR="00000000" w:rsidRPr="00000000">
        <w:rPr>
          <w:rFonts w:ascii="Open Sans" w:cs="Open Sans" w:eastAsia="Open Sans" w:hAnsi="Open Sans"/>
          <w:color w:val="000000"/>
          <w:rtl w:val="0"/>
        </w:rPr>
        <w:t xml:space="preserve">al mes, Pamplona / Iruña con 12,64 €/m</w:t>
      </w:r>
      <w:r w:rsidDel="00000000" w:rsidR="00000000" w:rsidRPr="00000000">
        <w:rPr>
          <w:rFonts w:ascii="Open Sans" w:cs="Open Sans" w:eastAsia="Open Sans" w:hAnsi="Open Sans"/>
          <w:color w:val="000000"/>
          <w:vertAlign w:val="superscript"/>
          <w:rtl w:val="0"/>
        </w:rPr>
        <w:t xml:space="preserve">2 </w:t>
      </w:r>
      <w:r w:rsidDel="00000000" w:rsidR="00000000" w:rsidRPr="00000000">
        <w:rPr>
          <w:rFonts w:ascii="Open Sans" w:cs="Open Sans" w:eastAsia="Open Sans" w:hAnsi="Open Sans"/>
          <w:color w:val="000000"/>
          <w:rtl w:val="0"/>
        </w:rPr>
        <w:t xml:space="preserve">al mes, Santa Cruz de Tenerife capital con 12,17 €/m</w:t>
      </w:r>
      <w:r w:rsidDel="00000000" w:rsidR="00000000" w:rsidRPr="00000000">
        <w:rPr>
          <w:rFonts w:ascii="Open Sans" w:cs="Open Sans" w:eastAsia="Open Sans" w:hAnsi="Open Sans"/>
          <w:color w:val="000000"/>
          <w:vertAlign w:val="superscript"/>
          <w:rtl w:val="0"/>
        </w:rPr>
        <w:t xml:space="preserve">2 </w:t>
      </w:r>
      <w:r w:rsidDel="00000000" w:rsidR="00000000" w:rsidRPr="00000000">
        <w:rPr>
          <w:rFonts w:ascii="Open Sans" w:cs="Open Sans" w:eastAsia="Open Sans" w:hAnsi="Open Sans"/>
          <w:color w:val="000000"/>
          <w:rtl w:val="0"/>
        </w:rPr>
        <w:t xml:space="preserve">al mes, Cádiz capital con 11,98 €/m</w:t>
      </w:r>
      <w:r w:rsidDel="00000000" w:rsidR="00000000" w:rsidRPr="00000000">
        <w:rPr>
          <w:rFonts w:ascii="Open Sans" w:cs="Open Sans" w:eastAsia="Open Sans" w:hAnsi="Open Sans"/>
          <w:color w:val="000000"/>
          <w:vertAlign w:val="superscript"/>
          <w:rtl w:val="0"/>
        </w:rPr>
        <w:t xml:space="preserve">2 </w:t>
      </w:r>
      <w:r w:rsidDel="00000000" w:rsidR="00000000" w:rsidRPr="00000000">
        <w:rPr>
          <w:rFonts w:ascii="Open Sans" w:cs="Open Sans" w:eastAsia="Open Sans" w:hAnsi="Open Sans"/>
          <w:color w:val="000000"/>
          <w:rtl w:val="0"/>
        </w:rPr>
        <w:t xml:space="preserve">al mes, Santander con 11,96 €/m</w:t>
      </w:r>
      <w:r w:rsidDel="00000000" w:rsidR="00000000" w:rsidRPr="00000000">
        <w:rPr>
          <w:rFonts w:ascii="Open Sans" w:cs="Open Sans" w:eastAsia="Open Sans" w:hAnsi="Open Sans"/>
          <w:color w:val="000000"/>
          <w:vertAlign w:val="superscript"/>
          <w:rtl w:val="0"/>
        </w:rPr>
        <w:t xml:space="preserve">2 </w:t>
      </w:r>
      <w:r w:rsidDel="00000000" w:rsidR="00000000" w:rsidRPr="00000000">
        <w:rPr>
          <w:rFonts w:ascii="Open Sans" w:cs="Open Sans" w:eastAsia="Open Sans" w:hAnsi="Open Sans"/>
          <w:color w:val="000000"/>
          <w:rtl w:val="0"/>
        </w:rPr>
        <w:t xml:space="preserve">al mes, A Coruña capital con 11,70 €/m</w:t>
      </w:r>
      <w:r w:rsidDel="00000000" w:rsidR="00000000" w:rsidRPr="00000000">
        <w:rPr>
          <w:rFonts w:ascii="Open Sans" w:cs="Open Sans" w:eastAsia="Open Sans" w:hAnsi="Open Sans"/>
          <w:color w:val="000000"/>
          <w:vertAlign w:val="superscript"/>
          <w:rtl w:val="0"/>
        </w:rPr>
        <w:t xml:space="preserve">2 </w:t>
      </w:r>
      <w:r w:rsidDel="00000000" w:rsidR="00000000" w:rsidRPr="00000000">
        <w:rPr>
          <w:rFonts w:ascii="Open Sans" w:cs="Open Sans" w:eastAsia="Open Sans" w:hAnsi="Open Sans"/>
          <w:color w:val="000000"/>
          <w:rtl w:val="0"/>
        </w:rPr>
        <w:t xml:space="preserve">al mes, Tarragona capital con 11,46 €/m</w:t>
      </w:r>
      <w:r w:rsidDel="00000000" w:rsidR="00000000" w:rsidRPr="00000000">
        <w:rPr>
          <w:rFonts w:ascii="Open Sans" w:cs="Open Sans" w:eastAsia="Open Sans" w:hAnsi="Open Sans"/>
          <w:color w:val="000000"/>
          <w:vertAlign w:val="superscript"/>
          <w:rtl w:val="0"/>
        </w:rPr>
        <w:t xml:space="preserve">2 </w:t>
      </w:r>
      <w:r w:rsidDel="00000000" w:rsidR="00000000" w:rsidRPr="00000000">
        <w:rPr>
          <w:rFonts w:ascii="Open Sans" w:cs="Open Sans" w:eastAsia="Open Sans" w:hAnsi="Open Sans"/>
          <w:color w:val="000000"/>
          <w:rtl w:val="0"/>
        </w:rPr>
        <w:t xml:space="preserve">al mes, Segovia capital con 11,23 €/m</w:t>
      </w:r>
      <w:r w:rsidDel="00000000" w:rsidR="00000000" w:rsidRPr="00000000">
        <w:rPr>
          <w:rFonts w:ascii="Open Sans" w:cs="Open Sans" w:eastAsia="Open Sans" w:hAnsi="Open Sans"/>
          <w:color w:val="000000"/>
          <w:vertAlign w:val="superscript"/>
          <w:rtl w:val="0"/>
        </w:rPr>
        <w:t xml:space="preserve">2 </w:t>
      </w:r>
      <w:r w:rsidDel="00000000" w:rsidR="00000000" w:rsidRPr="00000000">
        <w:rPr>
          <w:rFonts w:ascii="Open Sans" w:cs="Open Sans" w:eastAsia="Open Sans" w:hAnsi="Open Sans"/>
          <w:color w:val="000000"/>
          <w:rtl w:val="0"/>
        </w:rPr>
        <w:t xml:space="preserve">al mes, Zaragoza capital con 11,16 €/m</w:t>
      </w:r>
      <w:r w:rsidDel="00000000" w:rsidR="00000000" w:rsidRPr="00000000">
        <w:rPr>
          <w:rFonts w:ascii="Open Sans" w:cs="Open Sans" w:eastAsia="Open Sans" w:hAnsi="Open Sans"/>
          <w:color w:val="000000"/>
          <w:vertAlign w:val="superscript"/>
          <w:rtl w:val="0"/>
        </w:rPr>
        <w:t xml:space="preserve">2 </w:t>
      </w:r>
      <w:r w:rsidDel="00000000" w:rsidR="00000000" w:rsidRPr="00000000">
        <w:rPr>
          <w:rFonts w:ascii="Open Sans" w:cs="Open Sans" w:eastAsia="Open Sans" w:hAnsi="Open Sans"/>
          <w:color w:val="000000"/>
          <w:rtl w:val="0"/>
        </w:rPr>
        <w:t xml:space="preserve">al mes, Vitoria - Gasteiz con 11,14 €/m</w:t>
      </w:r>
      <w:r w:rsidDel="00000000" w:rsidR="00000000" w:rsidRPr="00000000">
        <w:rPr>
          <w:rFonts w:ascii="Open Sans" w:cs="Open Sans" w:eastAsia="Open Sans" w:hAnsi="Open Sans"/>
          <w:color w:val="000000"/>
          <w:vertAlign w:val="superscript"/>
          <w:rtl w:val="0"/>
        </w:rPr>
        <w:t xml:space="preserve">2 </w:t>
      </w:r>
      <w:r w:rsidDel="00000000" w:rsidR="00000000" w:rsidRPr="00000000">
        <w:rPr>
          <w:rFonts w:ascii="Open Sans" w:cs="Open Sans" w:eastAsia="Open Sans" w:hAnsi="Open Sans"/>
          <w:color w:val="000000"/>
          <w:rtl w:val="0"/>
        </w:rPr>
        <w:t xml:space="preserve">al mes, Oviedo con 10,86 €/m</w:t>
      </w:r>
      <w:r w:rsidDel="00000000" w:rsidR="00000000" w:rsidRPr="00000000">
        <w:rPr>
          <w:rFonts w:ascii="Open Sans" w:cs="Open Sans" w:eastAsia="Open Sans" w:hAnsi="Open Sans"/>
          <w:color w:val="000000"/>
          <w:vertAlign w:val="superscript"/>
          <w:rtl w:val="0"/>
        </w:rPr>
        <w:t xml:space="preserve">2 </w:t>
      </w:r>
      <w:r w:rsidDel="00000000" w:rsidR="00000000" w:rsidRPr="00000000">
        <w:rPr>
          <w:rFonts w:ascii="Open Sans" w:cs="Open Sans" w:eastAsia="Open Sans" w:hAnsi="Open Sans"/>
          <w:color w:val="000000"/>
          <w:rtl w:val="0"/>
        </w:rPr>
        <w:t xml:space="preserve">al mes, Burgos capital con 10,82 €/m</w:t>
      </w:r>
      <w:r w:rsidDel="00000000" w:rsidR="00000000" w:rsidRPr="00000000">
        <w:rPr>
          <w:rFonts w:ascii="Open Sans" w:cs="Open Sans" w:eastAsia="Open Sans" w:hAnsi="Open Sans"/>
          <w:color w:val="000000"/>
          <w:vertAlign w:val="superscript"/>
          <w:rtl w:val="0"/>
        </w:rPr>
        <w:t xml:space="preserve">2 </w:t>
      </w:r>
      <w:r w:rsidDel="00000000" w:rsidR="00000000" w:rsidRPr="00000000">
        <w:rPr>
          <w:rFonts w:ascii="Open Sans" w:cs="Open Sans" w:eastAsia="Open Sans" w:hAnsi="Open Sans"/>
          <w:color w:val="000000"/>
          <w:rtl w:val="0"/>
        </w:rPr>
        <w:t xml:space="preserve">al mes y Toledo capital con 10,18 €/m</w:t>
      </w:r>
      <w:r w:rsidDel="00000000" w:rsidR="00000000" w:rsidRPr="00000000">
        <w:rPr>
          <w:rFonts w:ascii="Open Sans" w:cs="Open Sans" w:eastAsia="Open Sans" w:hAnsi="Open Sans"/>
          <w:color w:val="000000"/>
          <w:vertAlign w:val="superscript"/>
          <w:rtl w:val="0"/>
        </w:rPr>
        <w:t xml:space="preserve">2 </w:t>
      </w:r>
      <w:r w:rsidDel="00000000" w:rsidR="00000000" w:rsidRPr="00000000">
        <w:rPr>
          <w:rFonts w:ascii="Open Sans" w:cs="Open Sans" w:eastAsia="Open Sans" w:hAnsi="Open Sans"/>
          <w:color w:val="000000"/>
          <w:rtl w:val="0"/>
        </w:rPr>
        <w:t xml:space="preserve">al mes. Por otro lado, tan solo la ciudad de Jaén tiene el precio de 6,00 €/m</w:t>
      </w:r>
      <w:r w:rsidDel="00000000" w:rsidR="00000000" w:rsidRPr="00000000">
        <w:rPr>
          <w:rFonts w:ascii="Open Sans" w:cs="Open Sans" w:eastAsia="Open Sans" w:hAnsi="Open Sans"/>
          <w:color w:val="000000"/>
          <w:vertAlign w:val="superscript"/>
          <w:rtl w:val="0"/>
        </w:rPr>
        <w:t xml:space="preserve">2 </w:t>
      </w:r>
      <w:r w:rsidDel="00000000" w:rsidR="00000000" w:rsidRPr="00000000">
        <w:rPr>
          <w:rFonts w:ascii="Open Sans" w:cs="Open Sans" w:eastAsia="Open Sans" w:hAnsi="Open Sans"/>
          <w:color w:val="000000"/>
          <w:rtl w:val="0"/>
        </w:rPr>
        <w:t xml:space="preserve">al mes, en concreto 699 €/m</w:t>
      </w:r>
      <w:r w:rsidDel="00000000" w:rsidR="00000000" w:rsidRPr="00000000">
        <w:rPr>
          <w:rFonts w:ascii="Open Sans" w:cs="Open Sans" w:eastAsia="Open Sans" w:hAnsi="Open Sans"/>
          <w:color w:val="000000"/>
          <w:vertAlign w:val="superscript"/>
          <w:rtl w:val="0"/>
        </w:rPr>
        <w:t xml:space="preserve">2 </w:t>
      </w:r>
      <w:r w:rsidDel="00000000" w:rsidR="00000000" w:rsidRPr="00000000">
        <w:rPr>
          <w:rFonts w:ascii="Open Sans" w:cs="Open Sans" w:eastAsia="Open Sans" w:hAnsi="Open Sans"/>
          <w:color w:val="000000"/>
          <w:rtl w:val="0"/>
        </w:rPr>
        <w:t xml:space="preserve">al mes.</w:t>
      </w:r>
    </w:p>
    <w:p w:rsidR="00000000" w:rsidDel="00000000" w:rsidP="00000000" w:rsidRDefault="00000000" w:rsidRPr="00000000" w14:paraId="0000018A">
      <w:pPr>
        <w:spacing w:line="276" w:lineRule="auto"/>
        <w:ind w:right="-567"/>
        <w:jc w:val="both"/>
        <w:rPr>
          <w:rFonts w:ascii="Open Sans" w:cs="Open Sans" w:eastAsia="Open Sans" w:hAnsi="Open Sans"/>
          <w:color w:val="000000"/>
        </w:rPr>
      </w:pPr>
      <w:r w:rsidDel="00000000" w:rsidR="00000000" w:rsidRPr="00000000">
        <w:rPr>
          <w:rtl w:val="0"/>
        </w:rPr>
      </w:r>
    </w:p>
    <w:p w:rsidR="00000000" w:rsidDel="00000000" w:rsidP="00000000" w:rsidRDefault="00000000" w:rsidRPr="00000000" w14:paraId="0000018B">
      <w:pPr>
        <w:spacing w:line="276" w:lineRule="auto"/>
        <w:ind w:right="-567"/>
        <w:jc w:val="center"/>
        <w:rPr>
          <w:rFonts w:ascii="Open Sans Light" w:cs="Open Sans Light" w:eastAsia="Open Sans Light" w:hAnsi="Open Sans Light"/>
          <w:b w:val="1"/>
          <w:color w:val="303ab2"/>
          <w:sz w:val="28"/>
          <w:szCs w:val="28"/>
        </w:rPr>
      </w:pPr>
      <w:r w:rsidDel="00000000" w:rsidR="00000000" w:rsidRPr="00000000">
        <w:rPr>
          <w:rFonts w:ascii="Open Sans Light" w:cs="Open Sans Light" w:eastAsia="Open Sans Light" w:hAnsi="Open Sans Light"/>
          <w:b w:val="1"/>
          <w:color w:val="303ab2"/>
          <w:sz w:val="28"/>
          <w:szCs w:val="28"/>
          <w:rtl w:val="0"/>
        </w:rPr>
        <w:t xml:space="preserve">Capitales de provincia con precio, variación mensual e interanual</w:t>
      </w:r>
    </w:p>
    <w:p w:rsidR="00000000" w:rsidDel="00000000" w:rsidP="00000000" w:rsidRDefault="00000000" w:rsidRPr="00000000" w14:paraId="0000018C">
      <w:pPr>
        <w:spacing w:line="276" w:lineRule="auto"/>
        <w:ind w:right="-567"/>
        <w:jc w:val="both"/>
        <w:rPr>
          <w:rFonts w:ascii="Open Sans" w:cs="Open Sans" w:eastAsia="Open Sans" w:hAnsi="Open Sans"/>
          <w:color w:val="000000"/>
        </w:rPr>
      </w:pPr>
      <w:r w:rsidDel="00000000" w:rsidR="00000000" w:rsidRPr="00000000">
        <w:rPr>
          <w:rtl w:val="0"/>
        </w:rPr>
      </w:r>
    </w:p>
    <w:tbl>
      <w:tblPr>
        <w:tblStyle w:val="Table3"/>
        <w:tblW w:w="9063.0" w:type="dxa"/>
        <w:jc w:val="left"/>
        <w:tblInd w:w="-5.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A0"/>
      </w:tblPr>
      <w:tblGrid>
        <w:gridCol w:w="1560"/>
        <w:gridCol w:w="2268"/>
        <w:gridCol w:w="1984"/>
        <w:gridCol w:w="1559"/>
        <w:gridCol w:w="1692"/>
        <w:tblGridChange w:id="0">
          <w:tblGrid>
            <w:gridCol w:w="1560"/>
            <w:gridCol w:w="2268"/>
            <w:gridCol w:w="1984"/>
            <w:gridCol w:w="1559"/>
            <w:gridCol w:w="1692"/>
          </w:tblGrid>
        </w:tblGridChange>
      </w:tblGrid>
      <w:tr>
        <w:trPr>
          <w:cantSplit w:val="0"/>
          <w:trHeight w:val="618" w:hRule="atLeast"/>
          <w:tblHeader w:val="0"/>
        </w:trPr>
        <w:tc>
          <w:tcPr>
            <w:vAlign w:val="center"/>
          </w:tcPr>
          <w:p w:rsidR="00000000" w:rsidDel="00000000" w:rsidP="00000000" w:rsidRDefault="00000000" w:rsidRPr="00000000" w14:paraId="0000018D">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Provincia</w:t>
            </w:r>
            <w:r w:rsidDel="00000000" w:rsidR="00000000" w:rsidRPr="00000000">
              <w:rPr>
                <w:rtl w:val="0"/>
              </w:rPr>
            </w:r>
          </w:p>
        </w:tc>
        <w:tc>
          <w:tcPr>
            <w:vAlign w:val="center"/>
          </w:tcPr>
          <w:p w:rsidR="00000000" w:rsidDel="00000000" w:rsidP="00000000" w:rsidRDefault="00000000" w:rsidRPr="00000000" w14:paraId="0000018E">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Municipio</w:t>
            </w:r>
            <w:r w:rsidDel="00000000" w:rsidR="00000000" w:rsidRPr="00000000">
              <w:rPr>
                <w:rtl w:val="0"/>
              </w:rPr>
            </w:r>
          </w:p>
        </w:tc>
        <w:tc>
          <w:tcPr>
            <w:vAlign w:val="center"/>
          </w:tcPr>
          <w:p w:rsidR="00000000" w:rsidDel="00000000" w:rsidP="00000000" w:rsidRDefault="00000000" w:rsidRPr="00000000" w14:paraId="0000018F">
            <w:pPr>
              <w:jc w:val="cente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Noviembre 2024</w:t>
            </w:r>
            <w:r w:rsidDel="00000000" w:rsidR="00000000" w:rsidRPr="00000000">
              <w:rPr>
                <w:rtl w:val="0"/>
              </w:rPr>
            </w:r>
          </w:p>
          <w:p w:rsidR="00000000" w:rsidDel="00000000" w:rsidP="00000000" w:rsidRDefault="00000000" w:rsidRPr="00000000" w14:paraId="00000190">
            <w:pPr>
              <w:jc w:val="cente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(€/m² al mes)</w:t>
            </w:r>
            <w:r w:rsidDel="00000000" w:rsidR="00000000" w:rsidRPr="00000000">
              <w:rPr>
                <w:rtl w:val="0"/>
              </w:rPr>
            </w:r>
          </w:p>
        </w:tc>
        <w:tc>
          <w:tcPr>
            <w:vAlign w:val="center"/>
          </w:tcPr>
          <w:p w:rsidR="00000000" w:rsidDel="00000000" w:rsidP="00000000" w:rsidRDefault="00000000" w:rsidRPr="00000000" w14:paraId="00000191">
            <w:pPr>
              <w:jc w:val="cente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Variación mensual (%)</w:t>
            </w:r>
            <w:r w:rsidDel="00000000" w:rsidR="00000000" w:rsidRPr="00000000">
              <w:rPr>
                <w:rtl w:val="0"/>
              </w:rPr>
            </w:r>
          </w:p>
        </w:tc>
        <w:tc>
          <w:tcPr>
            <w:vAlign w:val="center"/>
          </w:tcPr>
          <w:p w:rsidR="00000000" w:rsidDel="00000000" w:rsidP="00000000" w:rsidRDefault="00000000" w:rsidRPr="00000000" w14:paraId="00000192">
            <w:pPr>
              <w:jc w:val="cente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Variación interanual (%)</w:t>
            </w:r>
            <w:r w:rsidDel="00000000" w:rsidR="00000000" w:rsidRPr="00000000">
              <w:rPr>
                <w:rtl w:val="0"/>
              </w:rPr>
            </w:r>
          </w:p>
        </w:tc>
      </w:tr>
      <w:tr>
        <w:trPr>
          <w:cantSplit w:val="0"/>
          <w:trHeight w:val="212" w:hRule="atLeast"/>
          <w:tblHeader w:val="0"/>
        </w:trPr>
        <w:tc>
          <w:tcPr>
            <w:vAlign w:val="bottom"/>
          </w:tcPr>
          <w:p w:rsidR="00000000" w:rsidDel="00000000" w:rsidP="00000000" w:rsidRDefault="00000000" w:rsidRPr="00000000" w14:paraId="00000193">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Ciudad Real</w:t>
            </w:r>
            <w:r w:rsidDel="00000000" w:rsidR="00000000" w:rsidRPr="00000000">
              <w:rPr>
                <w:rtl w:val="0"/>
              </w:rPr>
            </w:r>
          </w:p>
        </w:tc>
        <w:tc>
          <w:tcPr>
            <w:vAlign w:val="bottom"/>
          </w:tcPr>
          <w:p w:rsidR="00000000" w:rsidDel="00000000" w:rsidP="00000000" w:rsidRDefault="00000000" w:rsidRPr="00000000" w14:paraId="00000194">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Ciudad Real capital</w:t>
            </w:r>
            <w:r w:rsidDel="00000000" w:rsidR="00000000" w:rsidRPr="00000000">
              <w:rPr>
                <w:rtl w:val="0"/>
              </w:rPr>
            </w:r>
          </w:p>
        </w:tc>
        <w:tc>
          <w:tcPr>
            <w:vAlign w:val="bottom"/>
          </w:tcPr>
          <w:p w:rsidR="00000000" w:rsidDel="00000000" w:rsidP="00000000" w:rsidRDefault="00000000" w:rsidRPr="00000000" w14:paraId="00000195">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7,67 €</w:t>
            </w:r>
            <w:r w:rsidDel="00000000" w:rsidR="00000000" w:rsidRPr="00000000">
              <w:rPr>
                <w:rtl w:val="0"/>
              </w:rPr>
            </w:r>
          </w:p>
        </w:tc>
        <w:tc>
          <w:tcPr>
            <w:vAlign w:val="bottom"/>
          </w:tcPr>
          <w:p w:rsidR="00000000" w:rsidDel="00000000" w:rsidP="00000000" w:rsidRDefault="00000000" w:rsidRPr="00000000" w14:paraId="00000196">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0,3%</w:t>
            </w:r>
            <w:r w:rsidDel="00000000" w:rsidR="00000000" w:rsidRPr="00000000">
              <w:rPr>
                <w:rtl w:val="0"/>
              </w:rPr>
            </w:r>
          </w:p>
        </w:tc>
        <w:tc>
          <w:tcPr>
            <w:vAlign w:val="bottom"/>
          </w:tcPr>
          <w:p w:rsidR="00000000" w:rsidDel="00000000" w:rsidP="00000000" w:rsidRDefault="00000000" w:rsidRPr="00000000" w14:paraId="00000197">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sz w:val="22"/>
                <w:szCs w:val="22"/>
                <w:rtl w:val="0"/>
              </w:rPr>
              <w:t xml:space="preserve">34,1%</w:t>
            </w:r>
            <w:r w:rsidDel="00000000" w:rsidR="00000000" w:rsidRPr="00000000">
              <w:rPr>
                <w:rtl w:val="0"/>
              </w:rPr>
            </w:r>
          </w:p>
        </w:tc>
      </w:tr>
      <w:tr>
        <w:trPr>
          <w:cantSplit w:val="0"/>
          <w:trHeight w:val="212" w:hRule="atLeast"/>
          <w:tblHeader w:val="0"/>
        </w:trPr>
        <w:tc>
          <w:tcPr>
            <w:vAlign w:val="bottom"/>
          </w:tcPr>
          <w:p w:rsidR="00000000" w:rsidDel="00000000" w:rsidP="00000000" w:rsidRDefault="00000000" w:rsidRPr="00000000" w14:paraId="00000198">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Palencia</w:t>
            </w:r>
            <w:r w:rsidDel="00000000" w:rsidR="00000000" w:rsidRPr="00000000">
              <w:rPr>
                <w:rtl w:val="0"/>
              </w:rPr>
            </w:r>
          </w:p>
        </w:tc>
        <w:tc>
          <w:tcPr>
            <w:vAlign w:val="bottom"/>
          </w:tcPr>
          <w:p w:rsidR="00000000" w:rsidDel="00000000" w:rsidP="00000000" w:rsidRDefault="00000000" w:rsidRPr="00000000" w14:paraId="00000199">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Palencia capital</w:t>
            </w:r>
            <w:r w:rsidDel="00000000" w:rsidR="00000000" w:rsidRPr="00000000">
              <w:rPr>
                <w:rtl w:val="0"/>
              </w:rPr>
            </w:r>
          </w:p>
        </w:tc>
        <w:tc>
          <w:tcPr>
            <w:vAlign w:val="bottom"/>
          </w:tcPr>
          <w:p w:rsidR="00000000" w:rsidDel="00000000" w:rsidP="00000000" w:rsidRDefault="00000000" w:rsidRPr="00000000" w14:paraId="0000019A">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8,30 €</w:t>
            </w:r>
            <w:r w:rsidDel="00000000" w:rsidR="00000000" w:rsidRPr="00000000">
              <w:rPr>
                <w:rtl w:val="0"/>
              </w:rPr>
            </w:r>
          </w:p>
        </w:tc>
        <w:tc>
          <w:tcPr>
            <w:vAlign w:val="bottom"/>
          </w:tcPr>
          <w:p w:rsidR="00000000" w:rsidDel="00000000" w:rsidP="00000000" w:rsidRDefault="00000000" w:rsidRPr="00000000" w14:paraId="0000019B">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6,0%</w:t>
            </w:r>
            <w:r w:rsidDel="00000000" w:rsidR="00000000" w:rsidRPr="00000000">
              <w:rPr>
                <w:rtl w:val="0"/>
              </w:rPr>
            </w:r>
          </w:p>
        </w:tc>
        <w:tc>
          <w:tcPr>
            <w:vAlign w:val="bottom"/>
          </w:tcPr>
          <w:p w:rsidR="00000000" w:rsidDel="00000000" w:rsidP="00000000" w:rsidRDefault="00000000" w:rsidRPr="00000000" w14:paraId="0000019C">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sz w:val="22"/>
                <w:szCs w:val="22"/>
                <w:rtl w:val="0"/>
              </w:rPr>
              <w:t xml:space="preserve">19,3%</w:t>
            </w:r>
            <w:r w:rsidDel="00000000" w:rsidR="00000000" w:rsidRPr="00000000">
              <w:rPr>
                <w:rtl w:val="0"/>
              </w:rPr>
            </w:r>
          </w:p>
        </w:tc>
      </w:tr>
      <w:tr>
        <w:trPr>
          <w:cantSplit w:val="0"/>
          <w:trHeight w:val="212" w:hRule="atLeast"/>
          <w:tblHeader w:val="0"/>
        </w:trPr>
        <w:tc>
          <w:tcPr>
            <w:vAlign w:val="bottom"/>
          </w:tcPr>
          <w:p w:rsidR="00000000" w:rsidDel="00000000" w:rsidP="00000000" w:rsidRDefault="00000000" w:rsidRPr="00000000" w14:paraId="0000019D">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Girona</w:t>
            </w:r>
            <w:r w:rsidDel="00000000" w:rsidR="00000000" w:rsidRPr="00000000">
              <w:rPr>
                <w:rtl w:val="0"/>
              </w:rPr>
            </w:r>
          </w:p>
        </w:tc>
        <w:tc>
          <w:tcPr>
            <w:vAlign w:val="bottom"/>
          </w:tcPr>
          <w:p w:rsidR="00000000" w:rsidDel="00000000" w:rsidP="00000000" w:rsidRDefault="00000000" w:rsidRPr="00000000" w14:paraId="0000019E">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Girona capital</w:t>
            </w:r>
            <w:r w:rsidDel="00000000" w:rsidR="00000000" w:rsidRPr="00000000">
              <w:rPr>
                <w:rtl w:val="0"/>
              </w:rPr>
            </w:r>
          </w:p>
        </w:tc>
        <w:tc>
          <w:tcPr>
            <w:vAlign w:val="bottom"/>
          </w:tcPr>
          <w:p w:rsidR="00000000" w:rsidDel="00000000" w:rsidP="00000000" w:rsidRDefault="00000000" w:rsidRPr="00000000" w14:paraId="0000019F">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15,71 €</w:t>
            </w:r>
            <w:r w:rsidDel="00000000" w:rsidR="00000000" w:rsidRPr="00000000">
              <w:rPr>
                <w:rtl w:val="0"/>
              </w:rPr>
            </w:r>
          </w:p>
        </w:tc>
        <w:tc>
          <w:tcPr>
            <w:vAlign w:val="bottom"/>
          </w:tcPr>
          <w:p w:rsidR="00000000" w:rsidDel="00000000" w:rsidP="00000000" w:rsidRDefault="00000000" w:rsidRPr="00000000" w14:paraId="000001A0">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7,6%</w:t>
            </w:r>
            <w:r w:rsidDel="00000000" w:rsidR="00000000" w:rsidRPr="00000000">
              <w:rPr>
                <w:rtl w:val="0"/>
              </w:rPr>
            </w:r>
          </w:p>
        </w:tc>
        <w:tc>
          <w:tcPr>
            <w:vAlign w:val="bottom"/>
          </w:tcPr>
          <w:p w:rsidR="00000000" w:rsidDel="00000000" w:rsidP="00000000" w:rsidRDefault="00000000" w:rsidRPr="00000000" w14:paraId="000001A1">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sz w:val="22"/>
                <w:szCs w:val="22"/>
                <w:rtl w:val="0"/>
              </w:rPr>
              <w:t xml:space="preserve">16,7%</w:t>
            </w:r>
            <w:r w:rsidDel="00000000" w:rsidR="00000000" w:rsidRPr="00000000">
              <w:rPr>
                <w:rtl w:val="0"/>
              </w:rPr>
            </w:r>
          </w:p>
        </w:tc>
      </w:tr>
      <w:tr>
        <w:trPr>
          <w:cantSplit w:val="0"/>
          <w:trHeight w:val="212" w:hRule="atLeast"/>
          <w:tblHeader w:val="0"/>
        </w:trPr>
        <w:tc>
          <w:tcPr>
            <w:vAlign w:val="bottom"/>
          </w:tcPr>
          <w:p w:rsidR="00000000" w:rsidDel="00000000" w:rsidP="00000000" w:rsidRDefault="00000000" w:rsidRPr="00000000" w14:paraId="000001A2">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Madrid</w:t>
            </w:r>
            <w:r w:rsidDel="00000000" w:rsidR="00000000" w:rsidRPr="00000000">
              <w:rPr>
                <w:rtl w:val="0"/>
              </w:rPr>
            </w:r>
          </w:p>
        </w:tc>
        <w:tc>
          <w:tcPr>
            <w:vAlign w:val="bottom"/>
          </w:tcPr>
          <w:p w:rsidR="00000000" w:rsidDel="00000000" w:rsidP="00000000" w:rsidRDefault="00000000" w:rsidRPr="00000000" w14:paraId="000001A3">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Madrid capital</w:t>
            </w:r>
            <w:r w:rsidDel="00000000" w:rsidR="00000000" w:rsidRPr="00000000">
              <w:rPr>
                <w:rtl w:val="0"/>
              </w:rPr>
            </w:r>
          </w:p>
        </w:tc>
        <w:tc>
          <w:tcPr>
            <w:vAlign w:val="bottom"/>
          </w:tcPr>
          <w:p w:rsidR="00000000" w:rsidDel="00000000" w:rsidP="00000000" w:rsidRDefault="00000000" w:rsidRPr="00000000" w14:paraId="000001A4">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21,19 €</w:t>
            </w:r>
            <w:r w:rsidDel="00000000" w:rsidR="00000000" w:rsidRPr="00000000">
              <w:rPr>
                <w:rtl w:val="0"/>
              </w:rPr>
            </w:r>
          </w:p>
        </w:tc>
        <w:tc>
          <w:tcPr>
            <w:vAlign w:val="bottom"/>
          </w:tcPr>
          <w:p w:rsidR="00000000" w:rsidDel="00000000" w:rsidP="00000000" w:rsidRDefault="00000000" w:rsidRPr="00000000" w14:paraId="000001A5">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1,0%</w:t>
            </w:r>
            <w:r w:rsidDel="00000000" w:rsidR="00000000" w:rsidRPr="00000000">
              <w:rPr>
                <w:rtl w:val="0"/>
              </w:rPr>
            </w:r>
          </w:p>
        </w:tc>
        <w:tc>
          <w:tcPr>
            <w:vAlign w:val="bottom"/>
          </w:tcPr>
          <w:p w:rsidR="00000000" w:rsidDel="00000000" w:rsidP="00000000" w:rsidRDefault="00000000" w:rsidRPr="00000000" w14:paraId="000001A6">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sz w:val="22"/>
                <w:szCs w:val="22"/>
                <w:rtl w:val="0"/>
              </w:rPr>
              <w:t xml:space="preserve">14,5%</w:t>
            </w:r>
            <w:r w:rsidDel="00000000" w:rsidR="00000000" w:rsidRPr="00000000">
              <w:rPr>
                <w:rtl w:val="0"/>
              </w:rPr>
            </w:r>
          </w:p>
        </w:tc>
      </w:tr>
      <w:tr>
        <w:trPr>
          <w:cantSplit w:val="0"/>
          <w:trHeight w:val="212" w:hRule="atLeast"/>
          <w:tblHeader w:val="0"/>
        </w:trPr>
        <w:tc>
          <w:tcPr>
            <w:vAlign w:val="bottom"/>
          </w:tcPr>
          <w:p w:rsidR="00000000" w:rsidDel="00000000" w:rsidP="00000000" w:rsidRDefault="00000000" w:rsidRPr="00000000" w14:paraId="000001A7">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Castellón</w:t>
            </w:r>
            <w:r w:rsidDel="00000000" w:rsidR="00000000" w:rsidRPr="00000000">
              <w:rPr>
                <w:rtl w:val="0"/>
              </w:rPr>
            </w:r>
          </w:p>
        </w:tc>
        <w:tc>
          <w:tcPr>
            <w:vAlign w:val="bottom"/>
          </w:tcPr>
          <w:p w:rsidR="00000000" w:rsidDel="00000000" w:rsidP="00000000" w:rsidRDefault="00000000" w:rsidRPr="00000000" w14:paraId="000001A8">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Castellón de la Plana / Castelló de la Plana</w:t>
            </w:r>
            <w:r w:rsidDel="00000000" w:rsidR="00000000" w:rsidRPr="00000000">
              <w:rPr>
                <w:rtl w:val="0"/>
              </w:rPr>
            </w:r>
          </w:p>
        </w:tc>
        <w:tc>
          <w:tcPr>
            <w:vAlign w:val="bottom"/>
          </w:tcPr>
          <w:p w:rsidR="00000000" w:rsidDel="00000000" w:rsidP="00000000" w:rsidRDefault="00000000" w:rsidRPr="00000000" w14:paraId="000001A9">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8,84 €</w:t>
            </w:r>
            <w:r w:rsidDel="00000000" w:rsidR="00000000" w:rsidRPr="00000000">
              <w:rPr>
                <w:rtl w:val="0"/>
              </w:rPr>
            </w:r>
          </w:p>
        </w:tc>
        <w:tc>
          <w:tcPr>
            <w:vAlign w:val="bottom"/>
          </w:tcPr>
          <w:p w:rsidR="00000000" w:rsidDel="00000000" w:rsidP="00000000" w:rsidRDefault="00000000" w:rsidRPr="00000000" w14:paraId="000001AA">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1,3%</w:t>
            </w:r>
            <w:r w:rsidDel="00000000" w:rsidR="00000000" w:rsidRPr="00000000">
              <w:rPr>
                <w:rtl w:val="0"/>
              </w:rPr>
            </w:r>
          </w:p>
        </w:tc>
        <w:tc>
          <w:tcPr>
            <w:vAlign w:val="bottom"/>
          </w:tcPr>
          <w:p w:rsidR="00000000" w:rsidDel="00000000" w:rsidP="00000000" w:rsidRDefault="00000000" w:rsidRPr="00000000" w14:paraId="000001AB">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sz w:val="22"/>
                <w:szCs w:val="22"/>
                <w:rtl w:val="0"/>
              </w:rPr>
              <w:t xml:space="preserve">13,9%</w:t>
            </w:r>
            <w:r w:rsidDel="00000000" w:rsidR="00000000" w:rsidRPr="00000000">
              <w:rPr>
                <w:rtl w:val="0"/>
              </w:rPr>
            </w:r>
          </w:p>
        </w:tc>
      </w:tr>
      <w:tr>
        <w:trPr>
          <w:cantSplit w:val="0"/>
          <w:trHeight w:val="212" w:hRule="atLeast"/>
          <w:tblHeader w:val="0"/>
        </w:trPr>
        <w:tc>
          <w:tcPr>
            <w:vAlign w:val="bottom"/>
          </w:tcPr>
          <w:p w:rsidR="00000000" w:rsidDel="00000000" w:rsidP="00000000" w:rsidRDefault="00000000" w:rsidRPr="00000000" w14:paraId="000001AC">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Asturias</w:t>
            </w:r>
            <w:r w:rsidDel="00000000" w:rsidR="00000000" w:rsidRPr="00000000">
              <w:rPr>
                <w:rtl w:val="0"/>
              </w:rPr>
            </w:r>
          </w:p>
        </w:tc>
        <w:tc>
          <w:tcPr>
            <w:vAlign w:val="bottom"/>
          </w:tcPr>
          <w:p w:rsidR="00000000" w:rsidDel="00000000" w:rsidP="00000000" w:rsidRDefault="00000000" w:rsidRPr="00000000" w14:paraId="000001AD">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Oviedo</w:t>
            </w:r>
            <w:r w:rsidDel="00000000" w:rsidR="00000000" w:rsidRPr="00000000">
              <w:rPr>
                <w:rtl w:val="0"/>
              </w:rPr>
            </w:r>
          </w:p>
        </w:tc>
        <w:tc>
          <w:tcPr>
            <w:vAlign w:val="bottom"/>
          </w:tcPr>
          <w:p w:rsidR="00000000" w:rsidDel="00000000" w:rsidP="00000000" w:rsidRDefault="00000000" w:rsidRPr="00000000" w14:paraId="000001AE">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10,66 €</w:t>
            </w:r>
            <w:r w:rsidDel="00000000" w:rsidR="00000000" w:rsidRPr="00000000">
              <w:rPr>
                <w:rtl w:val="0"/>
              </w:rPr>
            </w:r>
          </w:p>
        </w:tc>
        <w:tc>
          <w:tcPr>
            <w:vAlign w:val="bottom"/>
          </w:tcPr>
          <w:p w:rsidR="00000000" w:rsidDel="00000000" w:rsidP="00000000" w:rsidRDefault="00000000" w:rsidRPr="00000000" w14:paraId="000001AF">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3,2%</w:t>
            </w:r>
            <w:r w:rsidDel="00000000" w:rsidR="00000000" w:rsidRPr="00000000">
              <w:rPr>
                <w:rtl w:val="0"/>
              </w:rPr>
            </w:r>
          </w:p>
        </w:tc>
        <w:tc>
          <w:tcPr>
            <w:vAlign w:val="bottom"/>
          </w:tcPr>
          <w:p w:rsidR="00000000" w:rsidDel="00000000" w:rsidP="00000000" w:rsidRDefault="00000000" w:rsidRPr="00000000" w14:paraId="000001B0">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sz w:val="22"/>
                <w:szCs w:val="22"/>
                <w:rtl w:val="0"/>
              </w:rPr>
              <w:t xml:space="preserve">13,5%</w:t>
            </w:r>
            <w:r w:rsidDel="00000000" w:rsidR="00000000" w:rsidRPr="00000000">
              <w:rPr>
                <w:rtl w:val="0"/>
              </w:rPr>
            </w:r>
          </w:p>
        </w:tc>
      </w:tr>
      <w:tr>
        <w:trPr>
          <w:cantSplit w:val="0"/>
          <w:trHeight w:val="212" w:hRule="atLeast"/>
          <w:tblHeader w:val="0"/>
        </w:trPr>
        <w:tc>
          <w:tcPr>
            <w:vAlign w:val="bottom"/>
          </w:tcPr>
          <w:p w:rsidR="00000000" w:rsidDel="00000000" w:rsidP="00000000" w:rsidRDefault="00000000" w:rsidRPr="00000000" w14:paraId="000001B1">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Burgos</w:t>
            </w:r>
            <w:r w:rsidDel="00000000" w:rsidR="00000000" w:rsidRPr="00000000">
              <w:rPr>
                <w:rtl w:val="0"/>
              </w:rPr>
            </w:r>
          </w:p>
        </w:tc>
        <w:tc>
          <w:tcPr>
            <w:vAlign w:val="bottom"/>
          </w:tcPr>
          <w:p w:rsidR="00000000" w:rsidDel="00000000" w:rsidP="00000000" w:rsidRDefault="00000000" w:rsidRPr="00000000" w14:paraId="000001B2">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Burgos capital</w:t>
            </w:r>
            <w:r w:rsidDel="00000000" w:rsidR="00000000" w:rsidRPr="00000000">
              <w:rPr>
                <w:rtl w:val="0"/>
              </w:rPr>
            </w:r>
          </w:p>
        </w:tc>
        <w:tc>
          <w:tcPr>
            <w:vAlign w:val="bottom"/>
          </w:tcPr>
          <w:p w:rsidR="00000000" w:rsidDel="00000000" w:rsidP="00000000" w:rsidRDefault="00000000" w:rsidRPr="00000000" w14:paraId="000001B3">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10,45 €</w:t>
            </w:r>
            <w:r w:rsidDel="00000000" w:rsidR="00000000" w:rsidRPr="00000000">
              <w:rPr>
                <w:rtl w:val="0"/>
              </w:rPr>
            </w:r>
          </w:p>
        </w:tc>
        <w:tc>
          <w:tcPr>
            <w:vAlign w:val="bottom"/>
          </w:tcPr>
          <w:p w:rsidR="00000000" w:rsidDel="00000000" w:rsidP="00000000" w:rsidRDefault="00000000" w:rsidRPr="00000000" w14:paraId="000001B4">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7,8%</w:t>
            </w:r>
            <w:r w:rsidDel="00000000" w:rsidR="00000000" w:rsidRPr="00000000">
              <w:rPr>
                <w:rtl w:val="0"/>
              </w:rPr>
            </w:r>
          </w:p>
        </w:tc>
        <w:tc>
          <w:tcPr>
            <w:vAlign w:val="bottom"/>
          </w:tcPr>
          <w:p w:rsidR="00000000" w:rsidDel="00000000" w:rsidP="00000000" w:rsidRDefault="00000000" w:rsidRPr="00000000" w14:paraId="000001B5">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sz w:val="22"/>
                <w:szCs w:val="22"/>
                <w:rtl w:val="0"/>
              </w:rPr>
              <w:t xml:space="preserve">12,9%</w:t>
            </w:r>
            <w:r w:rsidDel="00000000" w:rsidR="00000000" w:rsidRPr="00000000">
              <w:rPr>
                <w:rtl w:val="0"/>
              </w:rPr>
            </w:r>
          </w:p>
        </w:tc>
      </w:tr>
      <w:tr>
        <w:trPr>
          <w:cantSplit w:val="0"/>
          <w:trHeight w:val="212" w:hRule="atLeast"/>
          <w:tblHeader w:val="0"/>
        </w:trPr>
        <w:tc>
          <w:tcPr>
            <w:vAlign w:val="bottom"/>
          </w:tcPr>
          <w:p w:rsidR="00000000" w:rsidDel="00000000" w:rsidP="00000000" w:rsidRDefault="00000000" w:rsidRPr="00000000" w14:paraId="000001B6">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Navarra</w:t>
            </w:r>
            <w:r w:rsidDel="00000000" w:rsidR="00000000" w:rsidRPr="00000000">
              <w:rPr>
                <w:rtl w:val="0"/>
              </w:rPr>
            </w:r>
          </w:p>
        </w:tc>
        <w:tc>
          <w:tcPr>
            <w:vAlign w:val="bottom"/>
          </w:tcPr>
          <w:p w:rsidR="00000000" w:rsidDel="00000000" w:rsidP="00000000" w:rsidRDefault="00000000" w:rsidRPr="00000000" w14:paraId="000001B7">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Pamplona / Iruña</w:t>
            </w:r>
            <w:r w:rsidDel="00000000" w:rsidR="00000000" w:rsidRPr="00000000">
              <w:rPr>
                <w:rtl w:val="0"/>
              </w:rPr>
            </w:r>
          </w:p>
        </w:tc>
        <w:tc>
          <w:tcPr>
            <w:vAlign w:val="bottom"/>
          </w:tcPr>
          <w:p w:rsidR="00000000" w:rsidDel="00000000" w:rsidP="00000000" w:rsidRDefault="00000000" w:rsidRPr="00000000" w14:paraId="000001B8">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12,64 €</w:t>
            </w:r>
            <w:r w:rsidDel="00000000" w:rsidR="00000000" w:rsidRPr="00000000">
              <w:rPr>
                <w:rtl w:val="0"/>
              </w:rPr>
            </w:r>
          </w:p>
        </w:tc>
        <w:tc>
          <w:tcPr>
            <w:vAlign w:val="bottom"/>
          </w:tcPr>
          <w:p w:rsidR="00000000" w:rsidDel="00000000" w:rsidP="00000000" w:rsidRDefault="00000000" w:rsidRPr="00000000" w14:paraId="000001B9">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4,7%</w:t>
            </w:r>
            <w:r w:rsidDel="00000000" w:rsidR="00000000" w:rsidRPr="00000000">
              <w:rPr>
                <w:rtl w:val="0"/>
              </w:rPr>
            </w:r>
          </w:p>
        </w:tc>
        <w:tc>
          <w:tcPr>
            <w:vAlign w:val="bottom"/>
          </w:tcPr>
          <w:p w:rsidR="00000000" w:rsidDel="00000000" w:rsidP="00000000" w:rsidRDefault="00000000" w:rsidRPr="00000000" w14:paraId="000001BA">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sz w:val="22"/>
                <w:szCs w:val="22"/>
                <w:rtl w:val="0"/>
              </w:rPr>
              <w:t xml:space="preserve">12,8%</w:t>
            </w:r>
            <w:r w:rsidDel="00000000" w:rsidR="00000000" w:rsidRPr="00000000">
              <w:rPr>
                <w:rtl w:val="0"/>
              </w:rPr>
            </w:r>
          </w:p>
        </w:tc>
      </w:tr>
      <w:tr>
        <w:trPr>
          <w:cantSplit w:val="0"/>
          <w:trHeight w:val="212" w:hRule="atLeast"/>
          <w:tblHeader w:val="0"/>
        </w:trPr>
        <w:tc>
          <w:tcPr>
            <w:vAlign w:val="bottom"/>
          </w:tcPr>
          <w:p w:rsidR="00000000" w:rsidDel="00000000" w:rsidP="00000000" w:rsidRDefault="00000000" w:rsidRPr="00000000" w14:paraId="000001BB">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Guadalajara</w:t>
            </w:r>
            <w:r w:rsidDel="00000000" w:rsidR="00000000" w:rsidRPr="00000000">
              <w:rPr>
                <w:rtl w:val="0"/>
              </w:rPr>
            </w:r>
          </w:p>
        </w:tc>
        <w:tc>
          <w:tcPr>
            <w:vAlign w:val="bottom"/>
          </w:tcPr>
          <w:p w:rsidR="00000000" w:rsidDel="00000000" w:rsidP="00000000" w:rsidRDefault="00000000" w:rsidRPr="00000000" w14:paraId="000001BC">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Guadalajara capital</w:t>
            </w:r>
            <w:r w:rsidDel="00000000" w:rsidR="00000000" w:rsidRPr="00000000">
              <w:rPr>
                <w:rtl w:val="0"/>
              </w:rPr>
            </w:r>
          </w:p>
        </w:tc>
        <w:tc>
          <w:tcPr>
            <w:vAlign w:val="bottom"/>
          </w:tcPr>
          <w:p w:rsidR="00000000" w:rsidDel="00000000" w:rsidP="00000000" w:rsidRDefault="00000000" w:rsidRPr="00000000" w14:paraId="000001BD">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9,57 €</w:t>
            </w:r>
            <w:r w:rsidDel="00000000" w:rsidR="00000000" w:rsidRPr="00000000">
              <w:rPr>
                <w:rtl w:val="0"/>
              </w:rPr>
            </w:r>
          </w:p>
        </w:tc>
        <w:tc>
          <w:tcPr>
            <w:vAlign w:val="bottom"/>
          </w:tcPr>
          <w:p w:rsidR="00000000" w:rsidDel="00000000" w:rsidP="00000000" w:rsidRDefault="00000000" w:rsidRPr="00000000" w14:paraId="000001BE">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13,0%</w:t>
            </w:r>
            <w:r w:rsidDel="00000000" w:rsidR="00000000" w:rsidRPr="00000000">
              <w:rPr>
                <w:rtl w:val="0"/>
              </w:rPr>
            </w:r>
          </w:p>
        </w:tc>
        <w:tc>
          <w:tcPr>
            <w:vAlign w:val="bottom"/>
          </w:tcPr>
          <w:p w:rsidR="00000000" w:rsidDel="00000000" w:rsidP="00000000" w:rsidRDefault="00000000" w:rsidRPr="00000000" w14:paraId="000001BF">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sz w:val="22"/>
                <w:szCs w:val="22"/>
                <w:rtl w:val="0"/>
              </w:rPr>
              <w:t xml:space="preserve">12,6%</w:t>
            </w:r>
            <w:r w:rsidDel="00000000" w:rsidR="00000000" w:rsidRPr="00000000">
              <w:rPr>
                <w:rtl w:val="0"/>
              </w:rPr>
            </w:r>
          </w:p>
        </w:tc>
      </w:tr>
      <w:tr>
        <w:trPr>
          <w:cantSplit w:val="0"/>
          <w:trHeight w:val="212" w:hRule="atLeast"/>
          <w:tblHeader w:val="0"/>
        </w:trPr>
        <w:tc>
          <w:tcPr>
            <w:vAlign w:val="bottom"/>
          </w:tcPr>
          <w:p w:rsidR="00000000" w:rsidDel="00000000" w:rsidP="00000000" w:rsidRDefault="00000000" w:rsidRPr="00000000" w14:paraId="000001C0">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Málaga</w:t>
            </w:r>
            <w:r w:rsidDel="00000000" w:rsidR="00000000" w:rsidRPr="00000000">
              <w:rPr>
                <w:rtl w:val="0"/>
              </w:rPr>
            </w:r>
          </w:p>
        </w:tc>
        <w:tc>
          <w:tcPr>
            <w:vAlign w:val="bottom"/>
          </w:tcPr>
          <w:p w:rsidR="00000000" w:rsidDel="00000000" w:rsidP="00000000" w:rsidRDefault="00000000" w:rsidRPr="00000000" w14:paraId="000001C1">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Málaga capital</w:t>
            </w:r>
            <w:r w:rsidDel="00000000" w:rsidR="00000000" w:rsidRPr="00000000">
              <w:rPr>
                <w:rtl w:val="0"/>
              </w:rPr>
            </w:r>
          </w:p>
        </w:tc>
        <w:tc>
          <w:tcPr>
            <w:vAlign w:val="bottom"/>
          </w:tcPr>
          <w:p w:rsidR="00000000" w:rsidDel="00000000" w:rsidP="00000000" w:rsidRDefault="00000000" w:rsidRPr="00000000" w14:paraId="000001C2">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15,56 €</w:t>
            </w:r>
            <w:r w:rsidDel="00000000" w:rsidR="00000000" w:rsidRPr="00000000">
              <w:rPr>
                <w:rtl w:val="0"/>
              </w:rPr>
            </w:r>
          </w:p>
        </w:tc>
        <w:tc>
          <w:tcPr>
            <w:vAlign w:val="bottom"/>
          </w:tcPr>
          <w:p w:rsidR="00000000" w:rsidDel="00000000" w:rsidP="00000000" w:rsidRDefault="00000000" w:rsidRPr="00000000" w14:paraId="000001C3">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3,5%</w:t>
            </w:r>
            <w:r w:rsidDel="00000000" w:rsidR="00000000" w:rsidRPr="00000000">
              <w:rPr>
                <w:rtl w:val="0"/>
              </w:rPr>
            </w:r>
          </w:p>
        </w:tc>
        <w:tc>
          <w:tcPr>
            <w:vAlign w:val="bottom"/>
          </w:tcPr>
          <w:p w:rsidR="00000000" w:rsidDel="00000000" w:rsidP="00000000" w:rsidRDefault="00000000" w:rsidRPr="00000000" w14:paraId="000001C4">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sz w:val="22"/>
                <w:szCs w:val="22"/>
                <w:rtl w:val="0"/>
              </w:rPr>
              <w:t xml:space="preserve">12,0%</w:t>
            </w:r>
            <w:r w:rsidDel="00000000" w:rsidR="00000000" w:rsidRPr="00000000">
              <w:rPr>
                <w:rtl w:val="0"/>
              </w:rPr>
            </w:r>
          </w:p>
        </w:tc>
      </w:tr>
      <w:tr>
        <w:trPr>
          <w:cantSplit w:val="0"/>
          <w:trHeight w:val="212" w:hRule="atLeast"/>
          <w:tblHeader w:val="0"/>
        </w:trPr>
        <w:tc>
          <w:tcPr>
            <w:vAlign w:val="bottom"/>
          </w:tcPr>
          <w:p w:rsidR="00000000" w:rsidDel="00000000" w:rsidP="00000000" w:rsidRDefault="00000000" w:rsidRPr="00000000" w14:paraId="000001C5">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A Coruña</w:t>
            </w:r>
            <w:r w:rsidDel="00000000" w:rsidR="00000000" w:rsidRPr="00000000">
              <w:rPr>
                <w:rtl w:val="0"/>
              </w:rPr>
            </w:r>
          </w:p>
        </w:tc>
        <w:tc>
          <w:tcPr>
            <w:vAlign w:val="bottom"/>
          </w:tcPr>
          <w:p w:rsidR="00000000" w:rsidDel="00000000" w:rsidP="00000000" w:rsidRDefault="00000000" w:rsidRPr="00000000" w14:paraId="000001C6">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A Coruña capital</w:t>
            </w:r>
            <w:r w:rsidDel="00000000" w:rsidR="00000000" w:rsidRPr="00000000">
              <w:rPr>
                <w:rtl w:val="0"/>
              </w:rPr>
            </w:r>
          </w:p>
        </w:tc>
        <w:tc>
          <w:tcPr>
            <w:vAlign w:val="bottom"/>
          </w:tcPr>
          <w:p w:rsidR="00000000" w:rsidDel="00000000" w:rsidP="00000000" w:rsidRDefault="00000000" w:rsidRPr="00000000" w14:paraId="000001C7">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11,66 €</w:t>
            </w:r>
            <w:r w:rsidDel="00000000" w:rsidR="00000000" w:rsidRPr="00000000">
              <w:rPr>
                <w:rtl w:val="0"/>
              </w:rPr>
            </w:r>
          </w:p>
        </w:tc>
        <w:tc>
          <w:tcPr>
            <w:vAlign w:val="bottom"/>
          </w:tcPr>
          <w:p w:rsidR="00000000" w:rsidDel="00000000" w:rsidP="00000000" w:rsidRDefault="00000000" w:rsidRPr="00000000" w14:paraId="000001C8">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1,8%</w:t>
            </w:r>
            <w:r w:rsidDel="00000000" w:rsidR="00000000" w:rsidRPr="00000000">
              <w:rPr>
                <w:rtl w:val="0"/>
              </w:rPr>
            </w:r>
          </w:p>
        </w:tc>
        <w:tc>
          <w:tcPr>
            <w:vAlign w:val="bottom"/>
          </w:tcPr>
          <w:p w:rsidR="00000000" w:rsidDel="00000000" w:rsidP="00000000" w:rsidRDefault="00000000" w:rsidRPr="00000000" w14:paraId="000001C9">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sz w:val="22"/>
                <w:szCs w:val="22"/>
                <w:rtl w:val="0"/>
              </w:rPr>
              <w:t xml:space="preserve">11,8%</w:t>
            </w:r>
            <w:r w:rsidDel="00000000" w:rsidR="00000000" w:rsidRPr="00000000">
              <w:rPr>
                <w:rtl w:val="0"/>
              </w:rPr>
            </w:r>
          </w:p>
        </w:tc>
      </w:tr>
      <w:tr>
        <w:trPr>
          <w:cantSplit w:val="0"/>
          <w:trHeight w:val="212" w:hRule="atLeast"/>
          <w:tblHeader w:val="0"/>
        </w:trPr>
        <w:tc>
          <w:tcPr>
            <w:vAlign w:val="bottom"/>
          </w:tcPr>
          <w:p w:rsidR="00000000" w:rsidDel="00000000" w:rsidP="00000000" w:rsidRDefault="00000000" w:rsidRPr="00000000" w14:paraId="000001CA">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Huelva</w:t>
            </w:r>
            <w:r w:rsidDel="00000000" w:rsidR="00000000" w:rsidRPr="00000000">
              <w:rPr>
                <w:rtl w:val="0"/>
              </w:rPr>
            </w:r>
          </w:p>
        </w:tc>
        <w:tc>
          <w:tcPr>
            <w:vAlign w:val="bottom"/>
          </w:tcPr>
          <w:p w:rsidR="00000000" w:rsidDel="00000000" w:rsidP="00000000" w:rsidRDefault="00000000" w:rsidRPr="00000000" w14:paraId="000001CB">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Huelva capital</w:t>
            </w:r>
            <w:r w:rsidDel="00000000" w:rsidR="00000000" w:rsidRPr="00000000">
              <w:rPr>
                <w:rtl w:val="0"/>
              </w:rPr>
            </w:r>
          </w:p>
        </w:tc>
        <w:tc>
          <w:tcPr>
            <w:vAlign w:val="bottom"/>
          </w:tcPr>
          <w:p w:rsidR="00000000" w:rsidDel="00000000" w:rsidP="00000000" w:rsidRDefault="00000000" w:rsidRPr="00000000" w14:paraId="000001CC">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9,02 €</w:t>
            </w:r>
            <w:r w:rsidDel="00000000" w:rsidR="00000000" w:rsidRPr="00000000">
              <w:rPr>
                <w:rtl w:val="0"/>
              </w:rPr>
            </w:r>
          </w:p>
        </w:tc>
        <w:tc>
          <w:tcPr>
            <w:vAlign w:val="bottom"/>
          </w:tcPr>
          <w:p w:rsidR="00000000" w:rsidDel="00000000" w:rsidP="00000000" w:rsidRDefault="00000000" w:rsidRPr="00000000" w14:paraId="000001CD">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5,6%</w:t>
            </w:r>
            <w:r w:rsidDel="00000000" w:rsidR="00000000" w:rsidRPr="00000000">
              <w:rPr>
                <w:rtl w:val="0"/>
              </w:rPr>
            </w:r>
          </w:p>
        </w:tc>
        <w:tc>
          <w:tcPr>
            <w:vAlign w:val="bottom"/>
          </w:tcPr>
          <w:p w:rsidR="00000000" w:rsidDel="00000000" w:rsidP="00000000" w:rsidRDefault="00000000" w:rsidRPr="00000000" w14:paraId="000001CE">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sz w:val="22"/>
                <w:szCs w:val="22"/>
                <w:rtl w:val="0"/>
              </w:rPr>
              <w:t xml:space="preserve">11,2%</w:t>
            </w:r>
            <w:r w:rsidDel="00000000" w:rsidR="00000000" w:rsidRPr="00000000">
              <w:rPr>
                <w:rtl w:val="0"/>
              </w:rPr>
            </w:r>
          </w:p>
        </w:tc>
      </w:tr>
      <w:tr>
        <w:trPr>
          <w:cantSplit w:val="0"/>
          <w:trHeight w:val="212" w:hRule="atLeast"/>
          <w:tblHeader w:val="0"/>
        </w:trPr>
        <w:tc>
          <w:tcPr>
            <w:vAlign w:val="bottom"/>
          </w:tcPr>
          <w:p w:rsidR="00000000" w:rsidDel="00000000" w:rsidP="00000000" w:rsidRDefault="00000000" w:rsidRPr="00000000" w14:paraId="000001CF">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Lugo</w:t>
            </w:r>
            <w:r w:rsidDel="00000000" w:rsidR="00000000" w:rsidRPr="00000000">
              <w:rPr>
                <w:rtl w:val="0"/>
              </w:rPr>
            </w:r>
          </w:p>
        </w:tc>
        <w:tc>
          <w:tcPr>
            <w:vAlign w:val="bottom"/>
          </w:tcPr>
          <w:p w:rsidR="00000000" w:rsidDel="00000000" w:rsidP="00000000" w:rsidRDefault="00000000" w:rsidRPr="00000000" w14:paraId="000001D0">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Lugo capital</w:t>
            </w:r>
            <w:r w:rsidDel="00000000" w:rsidR="00000000" w:rsidRPr="00000000">
              <w:rPr>
                <w:rtl w:val="0"/>
              </w:rPr>
            </w:r>
          </w:p>
        </w:tc>
        <w:tc>
          <w:tcPr>
            <w:vAlign w:val="bottom"/>
          </w:tcPr>
          <w:p w:rsidR="00000000" w:rsidDel="00000000" w:rsidP="00000000" w:rsidRDefault="00000000" w:rsidRPr="00000000" w14:paraId="000001D1">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7,50 €</w:t>
            </w:r>
            <w:r w:rsidDel="00000000" w:rsidR="00000000" w:rsidRPr="00000000">
              <w:rPr>
                <w:rtl w:val="0"/>
              </w:rPr>
            </w:r>
          </w:p>
        </w:tc>
        <w:tc>
          <w:tcPr>
            <w:vAlign w:val="bottom"/>
          </w:tcPr>
          <w:p w:rsidR="00000000" w:rsidDel="00000000" w:rsidP="00000000" w:rsidRDefault="00000000" w:rsidRPr="00000000" w14:paraId="000001D2">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1,5%</w:t>
            </w:r>
            <w:r w:rsidDel="00000000" w:rsidR="00000000" w:rsidRPr="00000000">
              <w:rPr>
                <w:rtl w:val="0"/>
              </w:rPr>
            </w:r>
          </w:p>
        </w:tc>
        <w:tc>
          <w:tcPr>
            <w:vAlign w:val="bottom"/>
          </w:tcPr>
          <w:p w:rsidR="00000000" w:rsidDel="00000000" w:rsidP="00000000" w:rsidRDefault="00000000" w:rsidRPr="00000000" w14:paraId="000001D3">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sz w:val="22"/>
                <w:szCs w:val="22"/>
                <w:rtl w:val="0"/>
              </w:rPr>
              <w:t xml:space="preserve">10,9%</w:t>
            </w:r>
            <w:r w:rsidDel="00000000" w:rsidR="00000000" w:rsidRPr="00000000">
              <w:rPr>
                <w:rtl w:val="0"/>
              </w:rPr>
            </w:r>
          </w:p>
        </w:tc>
      </w:tr>
      <w:tr>
        <w:trPr>
          <w:cantSplit w:val="0"/>
          <w:trHeight w:val="212" w:hRule="atLeast"/>
          <w:tblHeader w:val="0"/>
        </w:trPr>
        <w:tc>
          <w:tcPr>
            <w:vAlign w:val="bottom"/>
          </w:tcPr>
          <w:p w:rsidR="00000000" w:rsidDel="00000000" w:rsidP="00000000" w:rsidRDefault="00000000" w:rsidRPr="00000000" w14:paraId="000001D4">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León</w:t>
            </w:r>
            <w:r w:rsidDel="00000000" w:rsidR="00000000" w:rsidRPr="00000000">
              <w:rPr>
                <w:rtl w:val="0"/>
              </w:rPr>
            </w:r>
          </w:p>
        </w:tc>
        <w:tc>
          <w:tcPr>
            <w:vAlign w:val="bottom"/>
          </w:tcPr>
          <w:p w:rsidR="00000000" w:rsidDel="00000000" w:rsidP="00000000" w:rsidRDefault="00000000" w:rsidRPr="00000000" w14:paraId="000001D5">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León capital</w:t>
            </w:r>
            <w:r w:rsidDel="00000000" w:rsidR="00000000" w:rsidRPr="00000000">
              <w:rPr>
                <w:rtl w:val="0"/>
              </w:rPr>
            </w:r>
          </w:p>
        </w:tc>
        <w:tc>
          <w:tcPr>
            <w:vAlign w:val="bottom"/>
          </w:tcPr>
          <w:p w:rsidR="00000000" w:rsidDel="00000000" w:rsidP="00000000" w:rsidRDefault="00000000" w:rsidRPr="00000000" w14:paraId="000001D6">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8,36 €</w:t>
            </w:r>
            <w:r w:rsidDel="00000000" w:rsidR="00000000" w:rsidRPr="00000000">
              <w:rPr>
                <w:rtl w:val="0"/>
              </w:rPr>
            </w:r>
          </w:p>
        </w:tc>
        <w:tc>
          <w:tcPr>
            <w:vAlign w:val="bottom"/>
          </w:tcPr>
          <w:p w:rsidR="00000000" w:rsidDel="00000000" w:rsidP="00000000" w:rsidRDefault="00000000" w:rsidRPr="00000000" w14:paraId="000001D7">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1,7%</w:t>
            </w:r>
            <w:r w:rsidDel="00000000" w:rsidR="00000000" w:rsidRPr="00000000">
              <w:rPr>
                <w:rtl w:val="0"/>
              </w:rPr>
            </w:r>
          </w:p>
        </w:tc>
        <w:tc>
          <w:tcPr>
            <w:vAlign w:val="bottom"/>
          </w:tcPr>
          <w:p w:rsidR="00000000" w:rsidDel="00000000" w:rsidP="00000000" w:rsidRDefault="00000000" w:rsidRPr="00000000" w14:paraId="000001D8">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sz w:val="22"/>
                <w:szCs w:val="22"/>
                <w:rtl w:val="0"/>
              </w:rPr>
              <w:t xml:space="preserve">10,6%</w:t>
            </w:r>
            <w:r w:rsidDel="00000000" w:rsidR="00000000" w:rsidRPr="00000000">
              <w:rPr>
                <w:rtl w:val="0"/>
              </w:rPr>
            </w:r>
          </w:p>
        </w:tc>
      </w:tr>
      <w:tr>
        <w:trPr>
          <w:cantSplit w:val="0"/>
          <w:trHeight w:val="212" w:hRule="atLeast"/>
          <w:tblHeader w:val="0"/>
        </w:trPr>
        <w:tc>
          <w:tcPr>
            <w:vAlign w:val="bottom"/>
          </w:tcPr>
          <w:p w:rsidR="00000000" w:rsidDel="00000000" w:rsidP="00000000" w:rsidRDefault="00000000" w:rsidRPr="00000000" w14:paraId="000001D9">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Segovia</w:t>
            </w:r>
            <w:r w:rsidDel="00000000" w:rsidR="00000000" w:rsidRPr="00000000">
              <w:rPr>
                <w:rtl w:val="0"/>
              </w:rPr>
            </w:r>
          </w:p>
        </w:tc>
        <w:tc>
          <w:tcPr>
            <w:vAlign w:val="bottom"/>
          </w:tcPr>
          <w:p w:rsidR="00000000" w:rsidDel="00000000" w:rsidP="00000000" w:rsidRDefault="00000000" w:rsidRPr="00000000" w14:paraId="000001DA">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Segovia capital</w:t>
            </w:r>
            <w:r w:rsidDel="00000000" w:rsidR="00000000" w:rsidRPr="00000000">
              <w:rPr>
                <w:rtl w:val="0"/>
              </w:rPr>
            </w:r>
          </w:p>
        </w:tc>
        <w:tc>
          <w:tcPr>
            <w:vAlign w:val="bottom"/>
          </w:tcPr>
          <w:p w:rsidR="00000000" w:rsidDel="00000000" w:rsidP="00000000" w:rsidRDefault="00000000" w:rsidRPr="00000000" w14:paraId="000001DB">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10,66 €</w:t>
            </w:r>
            <w:r w:rsidDel="00000000" w:rsidR="00000000" w:rsidRPr="00000000">
              <w:rPr>
                <w:rtl w:val="0"/>
              </w:rPr>
            </w:r>
          </w:p>
        </w:tc>
        <w:tc>
          <w:tcPr>
            <w:vAlign w:val="bottom"/>
          </w:tcPr>
          <w:p w:rsidR="00000000" w:rsidDel="00000000" w:rsidP="00000000" w:rsidRDefault="00000000" w:rsidRPr="00000000" w14:paraId="000001DC">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9c0006"/>
                <w:sz w:val="22"/>
                <w:szCs w:val="22"/>
                <w:rtl w:val="0"/>
              </w:rPr>
              <w:t xml:space="preserve">-5,4%</w:t>
            </w:r>
            <w:r w:rsidDel="00000000" w:rsidR="00000000" w:rsidRPr="00000000">
              <w:rPr>
                <w:rtl w:val="0"/>
              </w:rPr>
            </w:r>
          </w:p>
        </w:tc>
        <w:tc>
          <w:tcPr>
            <w:vAlign w:val="bottom"/>
          </w:tcPr>
          <w:p w:rsidR="00000000" w:rsidDel="00000000" w:rsidP="00000000" w:rsidRDefault="00000000" w:rsidRPr="00000000" w14:paraId="000001DD">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sz w:val="22"/>
                <w:szCs w:val="22"/>
                <w:rtl w:val="0"/>
              </w:rPr>
              <w:t xml:space="preserve">10,1%</w:t>
            </w:r>
            <w:r w:rsidDel="00000000" w:rsidR="00000000" w:rsidRPr="00000000">
              <w:rPr>
                <w:rtl w:val="0"/>
              </w:rPr>
            </w:r>
          </w:p>
        </w:tc>
      </w:tr>
      <w:tr>
        <w:trPr>
          <w:cantSplit w:val="0"/>
          <w:trHeight w:val="212" w:hRule="atLeast"/>
          <w:tblHeader w:val="0"/>
        </w:trPr>
        <w:tc>
          <w:tcPr>
            <w:vAlign w:val="bottom"/>
          </w:tcPr>
          <w:p w:rsidR="00000000" w:rsidDel="00000000" w:rsidP="00000000" w:rsidRDefault="00000000" w:rsidRPr="00000000" w14:paraId="000001DE">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Sevilla</w:t>
            </w:r>
            <w:r w:rsidDel="00000000" w:rsidR="00000000" w:rsidRPr="00000000">
              <w:rPr>
                <w:rtl w:val="0"/>
              </w:rPr>
            </w:r>
          </w:p>
        </w:tc>
        <w:tc>
          <w:tcPr>
            <w:vAlign w:val="bottom"/>
          </w:tcPr>
          <w:p w:rsidR="00000000" w:rsidDel="00000000" w:rsidP="00000000" w:rsidRDefault="00000000" w:rsidRPr="00000000" w14:paraId="000001DF">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Sevilla capital</w:t>
            </w:r>
            <w:r w:rsidDel="00000000" w:rsidR="00000000" w:rsidRPr="00000000">
              <w:rPr>
                <w:rtl w:val="0"/>
              </w:rPr>
            </w:r>
          </w:p>
        </w:tc>
        <w:tc>
          <w:tcPr>
            <w:vAlign w:val="bottom"/>
          </w:tcPr>
          <w:p w:rsidR="00000000" w:rsidDel="00000000" w:rsidP="00000000" w:rsidRDefault="00000000" w:rsidRPr="00000000" w14:paraId="000001E0">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12,82 €</w:t>
            </w:r>
            <w:r w:rsidDel="00000000" w:rsidR="00000000" w:rsidRPr="00000000">
              <w:rPr>
                <w:rtl w:val="0"/>
              </w:rPr>
            </w:r>
          </w:p>
        </w:tc>
        <w:tc>
          <w:tcPr>
            <w:vAlign w:val="bottom"/>
          </w:tcPr>
          <w:p w:rsidR="00000000" w:rsidDel="00000000" w:rsidP="00000000" w:rsidRDefault="00000000" w:rsidRPr="00000000" w14:paraId="000001E1">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2,6%</w:t>
            </w:r>
            <w:r w:rsidDel="00000000" w:rsidR="00000000" w:rsidRPr="00000000">
              <w:rPr>
                <w:rtl w:val="0"/>
              </w:rPr>
            </w:r>
          </w:p>
        </w:tc>
        <w:tc>
          <w:tcPr>
            <w:vAlign w:val="bottom"/>
          </w:tcPr>
          <w:p w:rsidR="00000000" w:rsidDel="00000000" w:rsidP="00000000" w:rsidRDefault="00000000" w:rsidRPr="00000000" w14:paraId="000001E2">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sz w:val="22"/>
                <w:szCs w:val="22"/>
                <w:rtl w:val="0"/>
              </w:rPr>
              <w:t xml:space="preserve">10,0%</w:t>
            </w:r>
            <w:r w:rsidDel="00000000" w:rsidR="00000000" w:rsidRPr="00000000">
              <w:rPr>
                <w:rtl w:val="0"/>
              </w:rPr>
            </w:r>
          </w:p>
        </w:tc>
      </w:tr>
      <w:tr>
        <w:trPr>
          <w:cantSplit w:val="0"/>
          <w:trHeight w:val="212" w:hRule="atLeast"/>
          <w:tblHeader w:val="0"/>
        </w:trPr>
        <w:tc>
          <w:tcPr>
            <w:vAlign w:val="bottom"/>
          </w:tcPr>
          <w:p w:rsidR="00000000" w:rsidDel="00000000" w:rsidP="00000000" w:rsidRDefault="00000000" w:rsidRPr="00000000" w14:paraId="000001E3">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Alicante</w:t>
            </w:r>
            <w:r w:rsidDel="00000000" w:rsidR="00000000" w:rsidRPr="00000000">
              <w:rPr>
                <w:rtl w:val="0"/>
              </w:rPr>
            </w:r>
          </w:p>
        </w:tc>
        <w:tc>
          <w:tcPr>
            <w:vAlign w:val="bottom"/>
          </w:tcPr>
          <w:p w:rsidR="00000000" w:rsidDel="00000000" w:rsidP="00000000" w:rsidRDefault="00000000" w:rsidRPr="00000000" w14:paraId="000001E4">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Alicante / Alacant</w:t>
            </w:r>
            <w:r w:rsidDel="00000000" w:rsidR="00000000" w:rsidRPr="00000000">
              <w:rPr>
                <w:rtl w:val="0"/>
              </w:rPr>
            </w:r>
          </w:p>
        </w:tc>
        <w:tc>
          <w:tcPr>
            <w:vAlign w:val="bottom"/>
          </w:tcPr>
          <w:p w:rsidR="00000000" w:rsidDel="00000000" w:rsidP="00000000" w:rsidRDefault="00000000" w:rsidRPr="00000000" w14:paraId="000001E5">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13,36 €</w:t>
            </w:r>
            <w:r w:rsidDel="00000000" w:rsidR="00000000" w:rsidRPr="00000000">
              <w:rPr>
                <w:rtl w:val="0"/>
              </w:rPr>
            </w:r>
          </w:p>
        </w:tc>
        <w:tc>
          <w:tcPr>
            <w:vAlign w:val="bottom"/>
          </w:tcPr>
          <w:p w:rsidR="00000000" w:rsidDel="00000000" w:rsidP="00000000" w:rsidRDefault="00000000" w:rsidRPr="00000000" w14:paraId="000001E6">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2,1%</w:t>
            </w:r>
            <w:r w:rsidDel="00000000" w:rsidR="00000000" w:rsidRPr="00000000">
              <w:rPr>
                <w:rtl w:val="0"/>
              </w:rPr>
            </w:r>
          </w:p>
        </w:tc>
        <w:tc>
          <w:tcPr>
            <w:vAlign w:val="bottom"/>
          </w:tcPr>
          <w:p w:rsidR="00000000" w:rsidDel="00000000" w:rsidP="00000000" w:rsidRDefault="00000000" w:rsidRPr="00000000" w14:paraId="000001E7">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sz w:val="22"/>
                <w:szCs w:val="22"/>
                <w:rtl w:val="0"/>
              </w:rPr>
              <w:t xml:space="preserve">9,9%</w:t>
            </w:r>
            <w:r w:rsidDel="00000000" w:rsidR="00000000" w:rsidRPr="00000000">
              <w:rPr>
                <w:rtl w:val="0"/>
              </w:rPr>
            </w:r>
          </w:p>
        </w:tc>
      </w:tr>
      <w:tr>
        <w:trPr>
          <w:cantSplit w:val="0"/>
          <w:trHeight w:val="212" w:hRule="atLeast"/>
          <w:tblHeader w:val="0"/>
        </w:trPr>
        <w:tc>
          <w:tcPr>
            <w:vAlign w:val="bottom"/>
          </w:tcPr>
          <w:p w:rsidR="00000000" w:rsidDel="00000000" w:rsidP="00000000" w:rsidRDefault="00000000" w:rsidRPr="00000000" w14:paraId="000001E8">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Córdoba</w:t>
            </w:r>
            <w:r w:rsidDel="00000000" w:rsidR="00000000" w:rsidRPr="00000000">
              <w:rPr>
                <w:rtl w:val="0"/>
              </w:rPr>
            </w:r>
          </w:p>
        </w:tc>
        <w:tc>
          <w:tcPr>
            <w:vAlign w:val="bottom"/>
          </w:tcPr>
          <w:p w:rsidR="00000000" w:rsidDel="00000000" w:rsidP="00000000" w:rsidRDefault="00000000" w:rsidRPr="00000000" w14:paraId="000001E9">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Córdoba capital</w:t>
            </w:r>
            <w:r w:rsidDel="00000000" w:rsidR="00000000" w:rsidRPr="00000000">
              <w:rPr>
                <w:rtl w:val="0"/>
              </w:rPr>
            </w:r>
          </w:p>
        </w:tc>
        <w:tc>
          <w:tcPr>
            <w:vAlign w:val="bottom"/>
          </w:tcPr>
          <w:p w:rsidR="00000000" w:rsidDel="00000000" w:rsidP="00000000" w:rsidRDefault="00000000" w:rsidRPr="00000000" w14:paraId="000001EA">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8,70 €</w:t>
            </w:r>
            <w:r w:rsidDel="00000000" w:rsidR="00000000" w:rsidRPr="00000000">
              <w:rPr>
                <w:rtl w:val="0"/>
              </w:rPr>
            </w:r>
          </w:p>
        </w:tc>
        <w:tc>
          <w:tcPr>
            <w:vAlign w:val="bottom"/>
          </w:tcPr>
          <w:p w:rsidR="00000000" w:rsidDel="00000000" w:rsidP="00000000" w:rsidRDefault="00000000" w:rsidRPr="00000000" w14:paraId="000001EB">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3,9%</w:t>
            </w:r>
            <w:r w:rsidDel="00000000" w:rsidR="00000000" w:rsidRPr="00000000">
              <w:rPr>
                <w:rtl w:val="0"/>
              </w:rPr>
            </w:r>
          </w:p>
        </w:tc>
        <w:tc>
          <w:tcPr>
            <w:vAlign w:val="bottom"/>
          </w:tcPr>
          <w:p w:rsidR="00000000" w:rsidDel="00000000" w:rsidP="00000000" w:rsidRDefault="00000000" w:rsidRPr="00000000" w14:paraId="000001EC">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sz w:val="22"/>
                <w:szCs w:val="22"/>
                <w:rtl w:val="0"/>
              </w:rPr>
              <w:t xml:space="preserve">9,7%</w:t>
            </w:r>
            <w:r w:rsidDel="00000000" w:rsidR="00000000" w:rsidRPr="00000000">
              <w:rPr>
                <w:rtl w:val="0"/>
              </w:rPr>
            </w:r>
          </w:p>
        </w:tc>
      </w:tr>
      <w:tr>
        <w:trPr>
          <w:cantSplit w:val="0"/>
          <w:trHeight w:val="212" w:hRule="atLeast"/>
          <w:tblHeader w:val="0"/>
        </w:trPr>
        <w:tc>
          <w:tcPr>
            <w:vAlign w:val="bottom"/>
          </w:tcPr>
          <w:p w:rsidR="00000000" w:rsidDel="00000000" w:rsidP="00000000" w:rsidRDefault="00000000" w:rsidRPr="00000000" w14:paraId="000001ED">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Santa Cruz de Tenerife</w:t>
            </w:r>
            <w:r w:rsidDel="00000000" w:rsidR="00000000" w:rsidRPr="00000000">
              <w:rPr>
                <w:rtl w:val="0"/>
              </w:rPr>
            </w:r>
          </w:p>
        </w:tc>
        <w:tc>
          <w:tcPr>
            <w:vAlign w:val="bottom"/>
          </w:tcPr>
          <w:p w:rsidR="00000000" w:rsidDel="00000000" w:rsidP="00000000" w:rsidRDefault="00000000" w:rsidRPr="00000000" w14:paraId="000001EE">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Santa Cruz de Tenerife capital</w:t>
            </w:r>
            <w:r w:rsidDel="00000000" w:rsidR="00000000" w:rsidRPr="00000000">
              <w:rPr>
                <w:rtl w:val="0"/>
              </w:rPr>
            </w:r>
          </w:p>
        </w:tc>
        <w:tc>
          <w:tcPr>
            <w:vAlign w:val="bottom"/>
          </w:tcPr>
          <w:p w:rsidR="00000000" w:rsidDel="00000000" w:rsidP="00000000" w:rsidRDefault="00000000" w:rsidRPr="00000000" w14:paraId="000001EF">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13,22 €</w:t>
            </w:r>
            <w:r w:rsidDel="00000000" w:rsidR="00000000" w:rsidRPr="00000000">
              <w:rPr>
                <w:rtl w:val="0"/>
              </w:rPr>
            </w:r>
          </w:p>
        </w:tc>
        <w:tc>
          <w:tcPr>
            <w:vAlign w:val="bottom"/>
          </w:tcPr>
          <w:p w:rsidR="00000000" w:rsidDel="00000000" w:rsidP="00000000" w:rsidRDefault="00000000" w:rsidRPr="00000000" w14:paraId="000001F0">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9c0006"/>
                <w:sz w:val="22"/>
                <w:szCs w:val="22"/>
                <w:rtl w:val="0"/>
              </w:rPr>
              <w:t xml:space="preserve">-3,4%</w:t>
            </w:r>
            <w:r w:rsidDel="00000000" w:rsidR="00000000" w:rsidRPr="00000000">
              <w:rPr>
                <w:rtl w:val="0"/>
              </w:rPr>
            </w:r>
          </w:p>
        </w:tc>
        <w:tc>
          <w:tcPr>
            <w:vAlign w:val="bottom"/>
          </w:tcPr>
          <w:p w:rsidR="00000000" w:rsidDel="00000000" w:rsidP="00000000" w:rsidRDefault="00000000" w:rsidRPr="00000000" w14:paraId="000001F1">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sz w:val="22"/>
                <w:szCs w:val="22"/>
                <w:rtl w:val="0"/>
              </w:rPr>
              <w:t xml:space="preserve">9,7%</w:t>
            </w:r>
            <w:r w:rsidDel="00000000" w:rsidR="00000000" w:rsidRPr="00000000">
              <w:rPr>
                <w:rtl w:val="0"/>
              </w:rPr>
            </w:r>
          </w:p>
        </w:tc>
      </w:tr>
      <w:tr>
        <w:trPr>
          <w:cantSplit w:val="0"/>
          <w:trHeight w:val="212" w:hRule="atLeast"/>
          <w:tblHeader w:val="0"/>
        </w:trPr>
        <w:tc>
          <w:tcPr>
            <w:vAlign w:val="bottom"/>
          </w:tcPr>
          <w:p w:rsidR="00000000" w:rsidDel="00000000" w:rsidP="00000000" w:rsidRDefault="00000000" w:rsidRPr="00000000" w14:paraId="000001F2">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Cantabria</w:t>
            </w:r>
            <w:r w:rsidDel="00000000" w:rsidR="00000000" w:rsidRPr="00000000">
              <w:rPr>
                <w:rtl w:val="0"/>
              </w:rPr>
            </w:r>
          </w:p>
        </w:tc>
        <w:tc>
          <w:tcPr>
            <w:vAlign w:val="bottom"/>
          </w:tcPr>
          <w:p w:rsidR="00000000" w:rsidDel="00000000" w:rsidP="00000000" w:rsidRDefault="00000000" w:rsidRPr="00000000" w14:paraId="000001F3">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Santander</w:t>
            </w:r>
            <w:r w:rsidDel="00000000" w:rsidR="00000000" w:rsidRPr="00000000">
              <w:rPr>
                <w:rtl w:val="0"/>
              </w:rPr>
            </w:r>
          </w:p>
        </w:tc>
        <w:tc>
          <w:tcPr>
            <w:vAlign w:val="bottom"/>
          </w:tcPr>
          <w:p w:rsidR="00000000" w:rsidDel="00000000" w:rsidP="00000000" w:rsidRDefault="00000000" w:rsidRPr="00000000" w14:paraId="000001F4">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11,70 €</w:t>
            </w:r>
            <w:r w:rsidDel="00000000" w:rsidR="00000000" w:rsidRPr="00000000">
              <w:rPr>
                <w:rtl w:val="0"/>
              </w:rPr>
            </w:r>
          </w:p>
        </w:tc>
        <w:tc>
          <w:tcPr>
            <w:vAlign w:val="bottom"/>
          </w:tcPr>
          <w:p w:rsidR="00000000" w:rsidDel="00000000" w:rsidP="00000000" w:rsidRDefault="00000000" w:rsidRPr="00000000" w14:paraId="000001F5">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1,1%</w:t>
            </w:r>
            <w:r w:rsidDel="00000000" w:rsidR="00000000" w:rsidRPr="00000000">
              <w:rPr>
                <w:rtl w:val="0"/>
              </w:rPr>
            </w:r>
          </w:p>
        </w:tc>
        <w:tc>
          <w:tcPr>
            <w:vAlign w:val="bottom"/>
          </w:tcPr>
          <w:p w:rsidR="00000000" w:rsidDel="00000000" w:rsidP="00000000" w:rsidRDefault="00000000" w:rsidRPr="00000000" w14:paraId="000001F6">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sz w:val="22"/>
                <w:szCs w:val="22"/>
                <w:rtl w:val="0"/>
              </w:rPr>
              <w:t xml:space="preserve">8,9%</w:t>
            </w:r>
            <w:r w:rsidDel="00000000" w:rsidR="00000000" w:rsidRPr="00000000">
              <w:rPr>
                <w:rtl w:val="0"/>
              </w:rPr>
            </w:r>
          </w:p>
        </w:tc>
      </w:tr>
      <w:tr>
        <w:trPr>
          <w:cantSplit w:val="0"/>
          <w:trHeight w:val="212" w:hRule="atLeast"/>
          <w:tblHeader w:val="0"/>
        </w:trPr>
        <w:tc>
          <w:tcPr>
            <w:vAlign w:val="bottom"/>
          </w:tcPr>
          <w:p w:rsidR="00000000" w:rsidDel="00000000" w:rsidP="00000000" w:rsidRDefault="00000000" w:rsidRPr="00000000" w14:paraId="000001F7">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Cáceres</w:t>
            </w:r>
            <w:r w:rsidDel="00000000" w:rsidR="00000000" w:rsidRPr="00000000">
              <w:rPr>
                <w:rtl w:val="0"/>
              </w:rPr>
            </w:r>
          </w:p>
        </w:tc>
        <w:tc>
          <w:tcPr>
            <w:vAlign w:val="bottom"/>
          </w:tcPr>
          <w:p w:rsidR="00000000" w:rsidDel="00000000" w:rsidP="00000000" w:rsidRDefault="00000000" w:rsidRPr="00000000" w14:paraId="000001F8">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Cáceres capital</w:t>
            </w:r>
            <w:r w:rsidDel="00000000" w:rsidR="00000000" w:rsidRPr="00000000">
              <w:rPr>
                <w:rtl w:val="0"/>
              </w:rPr>
            </w:r>
          </w:p>
        </w:tc>
        <w:tc>
          <w:tcPr>
            <w:vAlign w:val="bottom"/>
          </w:tcPr>
          <w:p w:rsidR="00000000" w:rsidDel="00000000" w:rsidP="00000000" w:rsidRDefault="00000000" w:rsidRPr="00000000" w14:paraId="000001F9">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7,37 €</w:t>
            </w:r>
            <w:r w:rsidDel="00000000" w:rsidR="00000000" w:rsidRPr="00000000">
              <w:rPr>
                <w:rtl w:val="0"/>
              </w:rPr>
            </w:r>
          </w:p>
        </w:tc>
        <w:tc>
          <w:tcPr>
            <w:vAlign w:val="bottom"/>
          </w:tcPr>
          <w:p w:rsidR="00000000" w:rsidDel="00000000" w:rsidP="00000000" w:rsidRDefault="00000000" w:rsidRPr="00000000" w14:paraId="000001FA">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0,7%</w:t>
            </w:r>
            <w:r w:rsidDel="00000000" w:rsidR="00000000" w:rsidRPr="00000000">
              <w:rPr>
                <w:rtl w:val="0"/>
              </w:rPr>
            </w:r>
          </w:p>
        </w:tc>
        <w:tc>
          <w:tcPr>
            <w:vAlign w:val="bottom"/>
          </w:tcPr>
          <w:p w:rsidR="00000000" w:rsidDel="00000000" w:rsidP="00000000" w:rsidRDefault="00000000" w:rsidRPr="00000000" w14:paraId="000001FB">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sz w:val="22"/>
                <w:szCs w:val="22"/>
                <w:rtl w:val="0"/>
              </w:rPr>
              <w:t xml:space="preserve">8,5%</w:t>
            </w:r>
            <w:r w:rsidDel="00000000" w:rsidR="00000000" w:rsidRPr="00000000">
              <w:rPr>
                <w:rtl w:val="0"/>
              </w:rPr>
            </w:r>
          </w:p>
        </w:tc>
      </w:tr>
      <w:tr>
        <w:trPr>
          <w:cantSplit w:val="0"/>
          <w:trHeight w:val="212" w:hRule="atLeast"/>
          <w:tblHeader w:val="0"/>
        </w:trPr>
        <w:tc>
          <w:tcPr>
            <w:vAlign w:val="bottom"/>
          </w:tcPr>
          <w:p w:rsidR="00000000" w:rsidDel="00000000" w:rsidP="00000000" w:rsidRDefault="00000000" w:rsidRPr="00000000" w14:paraId="000001FC">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Zaragoza</w:t>
            </w:r>
            <w:r w:rsidDel="00000000" w:rsidR="00000000" w:rsidRPr="00000000">
              <w:rPr>
                <w:rtl w:val="0"/>
              </w:rPr>
            </w:r>
          </w:p>
        </w:tc>
        <w:tc>
          <w:tcPr>
            <w:vAlign w:val="bottom"/>
          </w:tcPr>
          <w:p w:rsidR="00000000" w:rsidDel="00000000" w:rsidP="00000000" w:rsidRDefault="00000000" w:rsidRPr="00000000" w14:paraId="000001FD">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Zaragoza capital</w:t>
            </w:r>
            <w:r w:rsidDel="00000000" w:rsidR="00000000" w:rsidRPr="00000000">
              <w:rPr>
                <w:rtl w:val="0"/>
              </w:rPr>
            </w:r>
          </w:p>
        </w:tc>
        <w:tc>
          <w:tcPr>
            <w:vAlign w:val="bottom"/>
          </w:tcPr>
          <w:p w:rsidR="00000000" w:rsidDel="00000000" w:rsidP="00000000" w:rsidRDefault="00000000" w:rsidRPr="00000000" w14:paraId="000001FE">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10,91 €</w:t>
            </w:r>
            <w:r w:rsidDel="00000000" w:rsidR="00000000" w:rsidRPr="00000000">
              <w:rPr>
                <w:rtl w:val="0"/>
              </w:rPr>
            </w:r>
          </w:p>
        </w:tc>
        <w:tc>
          <w:tcPr>
            <w:vAlign w:val="bottom"/>
          </w:tcPr>
          <w:p w:rsidR="00000000" w:rsidDel="00000000" w:rsidP="00000000" w:rsidRDefault="00000000" w:rsidRPr="00000000" w14:paraId="000001FF">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1,4%</w:t>
            </w:r>
            <w:r w:rsidDel="00000000" w:rsidR="00000000" w:rsidRPr="00000000">
              <w:rPr>
                <w:rtl w:val="0"/>
              </w:rPr>
            </w:r>
          </w:p>
        </w:tc>
        <w:tc>
          <w:tcPr>
            <w:vAlign w:val="bottom"/>
          </w:tcPr>
          <w:p w:rsidR="00000000" w:rsidDel="00000000" w:rsidP="00000000" w:rsidRDefault="00000000" w:rsidRPr="00000000" w14:paraId="00000200">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sz w:val="22"/>
                <w:szCs w:val="22"/>
                <w:rtl w:val="0"/>
              </w:rPr>
              <w:t xml:space="preserve">8,3%</w:t>
            </w:r>
            <w:r w:rsidDel="00000000" w:rsidR="00000000" w:rsidRPr="00000000">
              <w:rPr>
                <w:rtl w:val="0"/>
              </w:rPr>
            </w:r>
          </w:p>
        </w:tc>
      </w:tr>
      <w:tr>
        <w:trPr>
          <w:cantSplit w:val="0"/>
          <w:trHeight w:val="212" w:hRule="atLeast"/>
          <w:tblHeader w:val="0"/>
        </w:trPr>
        <w:tc>
          <w:tcPr>
            <w:vAlign w:val="bottom"/>
          </w:tcPr>
          <w:p w:rsidR="00000000" w:rsidDel="00000000" w:rsidP="00000000" w:rsidRDefault="00000000" w:rsidRPr="00000000" w14:paraId="00000201">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Valladolid</w:t>
            </w:r>
            <w:r w:rsidDel="00000000" w:rsidR="00000000" w:rsidRPr="00000000">
              <w:rPr>
                <w:rtl w:val="0"/>
              </w:rPr>
            </w:r>
          </w:p>
        </w:tc>
        <w:tc>
          <w:tcPr>
            <w:vAlign w:val="bottom"/>
          </w:tcPr>
          <w:p w:rsidR="00000000" w:rsidDel="00000000" w:rsidP="00000000" w:rsidRDefault="00000000" w:rsidRPr="00000000" w14:paraId="00000202">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Valladolid capital</w:t>
            </w:r>
            <w:r w:rsidDel="00000000" w:rsidR="00000000" w:rsidRPr="00000000">
              <w:rPr>
                <w:rtl w:val="0"/>
              </w:rPr>
            </w:r>
          </w:p>
        </w:tc>
        <w:tc>
          <w:tcPr>
            <w:vAlign w:val="bottom"/>
          </w:tcPr>
          <w:p w:rsidR="00000000" w:rsidDel="00000000" w:rsidP="00000000" w:rsidRDefault="00000000" w:rsidRPr="00000000" w14:paraId="00000203">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9,00 €</w:t>
            </w:r>
            <w:r w:rsidDel="00000000" w:rsidR="00000000" w:rsidRPr="00000000">
              <w:rPr>
                <w:rtl w:val="0"/>
              </w:rPr>
            </w:r>
          </w:p>
        </w:tc>
        <w:tc>
          <w:tcPr>
            <w:vAlign w:val="bottom"/>
          </w:tcPr>
          <w:p w:rsidR="00000000" w:rsidDel="00000000" w:rsidP="00000000" w:rsidRDefault="00000000" w:rsidRPr="00000000" w14:paraId="00000204">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9c0006"/>
                <w:sz w:val="22"/>
                <w:szCs w:val="22"/>
                <w:rtl w:val="0"/>
              </w:rPr>
              <w:t xml:space="preserve">-0,4%</w:t>
            </w:r>
            <w:r w:rsidDel="00000000" w:rsidR="00000000" w:rsidRPr="00000000">
              <w:rPr>
                <w:rtl w:val="0"/>
              </w:rPr>
            </w:r>
          </w:p>
        </w:tc>
        <w:tc>
          <w:tcPr>
            <w:vAlign w:val="bottom"/>
          </w:tcPr>
          <w:p w:rsidR="00000000" w:rsidDel="00000000" w:rsidP="00000000" w:rsidRDefault="00000000" w:rsidRPr="00000000" w14:paraId="00000205">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sz w:val="22"/>
                <w:szCs w:val="22"/>
                <w:rtl w:val="0"/>
              </w:rPr>
              <w:t xml:space="preserve">8,3%</w:t>
            </w:r>
            <w:r w:rsidDel="00000000" w:rsidR="00000000" w:rsidRPr="00000000">
              <w:rPr>
                <w:rtl w:val="0"/>
              </w:rPr>
            </w:r>
          </w:p>
        </w:tc>
      </w:tr>
      <w:tr>
        <w:trPr>
          <w:cantSplit w:val="0"/>
          <w:trHeight w:val="212" w:hRule="atLeast"/>
          <w:tblHeader w:val="0"/>
        </w:trPr>
        <w:tc>
          <w:tcPr>
            <w:vAlign w:val="bottom"/>
          </w:tcPr>
          <w:p w:rsidR="00000000" w:rsidDel="00000000" w:rsidP="00000000" w:rsidRDefault="00000000" w:rsidRPr="00000000" w14:paraId="00000206">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Albacete</w:t>
            </w:r>
            <w:r w:rsidDel="00000000" w:rsidR="00000000" w:rsidRPr="00000000">
              <w:rPr>
                <w:rtl w:val="0"/>
              </w:rPr>
            </w:r>
          </w:p>
        </w:tc>
        <w:tc>
          <w:tcPr>
            <w:vAlign w:val="bottom"/>
          </w:tcPr>
          <w:p w:rsidR="00000000" w:rsidDel="00000000" w:rsidP="00000000" w:rsidRDefault="00000000" w:rsidRPr="00000000" w14:paraId="00000207">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Albacete capital</w:t>
            </w:r>
            <w:r w:rsidDel="00000000" w:rsidR="00000000" w:rsidRPr="00000000">
              <w:rPr>
                <w:rtl w:val="0"/>
              </w:rPr>
            </w:r>
          </w:p>
        </w:tc>
        <w:tc>
          <w:tcPr>
            <w:vAlign w:val="bottom"/>
          </w:tcPr>
          <w:p w:rsidR="00000000" w:rsidDel="00000000" w:rsidP="00000000" w:rsidRDefault="00000000" w:rsidRPr="00000000" w14:paraId="00000208">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8,00 €</w:t>
            </w:r>
            <w:r w:rsidDel="00000000" w:rsidR="00000000" w:rsidRPr="00000000">
              <w:rPr>
                <w:rtl w:val="0"/>
              </w:rPr>
            </w:r>
          </w:p>
        </w:tc>
        <w:tc>
          <w:tcPr>
            <w:vAlign w:val="bottom"/>
          </w:tcPr>
          <w:p w:rsidR="00000000" w:rsidDel="00000000" w:rsidP="00000000" w:rsidRDefault="00000000" w:rsidRPr="00000000" w14:paraId="00000209">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3,2%</w:t>
            </w:r>
            <w:r w:rsidDel="00000000" w:rsidR="00000000" w:rsidRPr="00000000">
              <w:rPr>
                <w:rtl w:val="0"/>
              </w:rPr>
            </w:r>
          </w:p>
        </w:tc>
        <w:tc>
          <w:tcPr>
            <w:vAlign w:val="bottom"/>
          </w:tcPr>
          <w:p w:rsidR="00000000" w:rsidDel="00000000" w:rsidP="00000000" w:rsidRDefault="00000000" w:rsidRPr="00000000" w14:paraId="0000020A">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sz w:val="22"/>
                <w:szCs w:val="22"/>
                <w:rtl w:val="0"/>
              </w:rPr>
              <w:t xml:space="preserve">8,0%</w:t>
            </w:r>
            <w:r w:rsidDel="00000000" w:rsidR="00000000" w:rsidRPr="00000000">
              <w:rPr>
                <w:rtl w:val="0"/>
              </w:rPr>
            </w:r>
          </w:p>
        </w:tc>
      </w:tr>
      <w:tr>
        <w:trPr>
          <w:cantSplit w:val="0"/>
          <w:trHeight w:val="212" w:hRule="atLeast"/>
          <w:tblHeader w:val="0"/>
        </w:trPr>
        <w:tc>
          <w:tcPr>
            <w:vAlign w:val="bottom"/>
          </w:tcPr>
          <w:p w:rsidR="00000000" w:rsidDel="00000000" w:rsidP="00000000" w:rsidRDefault="00000000" w:rsidRPr="00000000" w14:paraId="0000020B">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Almería</w:t>
            </w:r>
            <w:r w:rsidDel="00000000" w:rsidR="00000000" w:rsidRPr="00000000">
              <w:rPr>
                <w:rtl w:val="0"/>
              </w:rPr>
            </w:r>
          </w:p>
        </w:tc>
        <w:tc>
          <w:tcPr>
            <w:vAlign w:val="bottom"/>
          </w:tcPr>
          <w:p w:rsidR="00000000" w:rsidDel="00000000" w:rsidP="00000000" w:rsidRDefault="00000000" w:rsidRPr="00000000" w14:paraId="0000020C">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Almería capital</w:t>
            </w:r>
            <w:r w:rsidDel="00000000" w:rsidR="00000000" w:rsidRPr="00000000">
              <w:rPr>
                <w:rtl w:val="0"/>
              </w:rPr>
            </w:r>
          </w:p>
        </w:tc>
        <w:tc>
          <w:tcPr>
            <w:vAlign w:val="bottom"/>
          </w:tcPr>
          <w:p w:rsidR="00000000" w:rsidDel="00000000" w:rsidP="00000000" w:rsidRDefault="00000000" w:rsidRPr="00000000" w14:paraId="0000020D">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9,00 €</w:t>
            </w:r>
            <w:r w:rsidDel="00000000" w:rsidR="00000000" w:rsidRPr="00000000">
              <w:rPr>
                <w:rtl w:val="0"/>
              </w:rPr>
            </w:r>
          </w:p>
        </w:tc>
        <w:tc>
          <w:tcPr>
            <w:vAlign w:val="bottom"/>
          </w:tcPr>
          <w:p w:rsidR="00000000" w:rsidDel="00000000" w:rsidP="00000000" w:rsidRDefault="00000000" w:rsidRPr="00000000" w14:paraId="0000020E">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2,0%</w:t>
            </w:r>
            <w:r w:rsidDel="00000000" w:rsidR="00000000" w:rsidRPr="00000000">
              <w:rPr>
                <w:rtl w:val="0"/>
              </w:rPr>
            </w:r>
          </w:p>
        </w:tc>
        <w:tc>
          <w:tcPr>
            <w:vAlign w:val="bottom"/>
          </w:tcPr>
          <w:p w:rsidR="00000000" w:rsidDel="00000000" w:rsidP="00000000" w:rsidRDefault="00000000" w:rsidRPr="00000000" w14:paraId="0000020F">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sz w:val="22"/>
                <w:szCs w:val="22"/>
                <w:rtl w:val="0"/>
              </w:rPr>
              <w:t xml:space="preserve">7,4%</w:t>
            </w:r>
            <w:r w:rsidDel="00000000" w:rsidR="00000000" w:rsidRPr="00000000">
              <w:rPr>
                <w:rtl w:val="0"/>
              </w:rPr>
            </w:r>
          </w:p>
        </w:tc>
      </w:tr>
      <w:tr>
        <w:trPr>
          <w:cantSplit w:val="0"/>
          <w:trHeight w:val="212" w:hRule="atLeast"/>
          <w:tblHeader w:val="0"/>
        </w:trPr>
        <w:tc>
          <w:tcPr>
            <w:vAlign w:val="bottom"/>
          </w:tcPr>
          <w:p w:rsidR="00000000" w:rsidDel="00000000" w:rsidP="00000000" w:rsidRDefault="00000000" w:rsidRPr="00000000" w14:paraId="00000210">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Barcelona</w:t>
            </w:r>
            <w:r w:rsidDel="00000000" w:rsidR="00000000" w:rsidRPr="00000000">
              <w:rPr>
                <w:rtl w:val="0"/>
              </w:rPr>
            </w:r>
          </w:p>
        </w:tc>
        <w:tc>
          <w:tcPr>
            <w:vAlign w:val="bottom"/>
          </w:tcPr>
          <w:p w:rsidR="00000000" w:rsidDel="00000000" w:rsidP="00000000" w:rsidRDefault="00000000" w:rsidRPr="00000000" w14:paraId="00000211">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Barcelona capital</w:t>
            </w:r>
            <w:r w:rsidDel="00000000" w:rsidR="00000000" w:rsidRPr="00000000">
              <w:rPr>
                <w:rtl w:val="0"/>
              </w:rPr>
            </w:r>
          </w:p>
        </w:tc>
        <w:tc>
          <w:tcPr>
            <w:vAlign w:val="bottom"/>
          </w:tcPr>
          <w:p w:rsidR="00000000" w:rsidDel="00000000" w:rsidP="00000000" w:rsidRDefault="00000000" w:rsidRPr="00000000" w14:paraId="00000212">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22,32 €</w:t>
            </w:r>
            <w:r w:rsidDel="00000000" w:rsidR="00000000" w:rsidRPr="00000000">
              <w:rPr>
                <w:rtl w:val="0"/>
              </w:rPr>
            </w:r>
          </w:p>
        </w:tc>
        <w:tc>
          <w:tcPr>
            <w:vAlign w:val="bottom"/>
          </w:tcPr>
          <w:p w:rsidR="00000000" w:rsidDel="00000000" w:rsidP="00000000" w:rsidRDefault="00000000" w:rsidRPr="00000000" w14:paraId="00000213">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3,0%</w:t>
            </w:r>
            <w:r w:rsidDel="00000000" w:rsidR="00000000" w:rsidRPr="00000000">
              <w:rPr>
                <w:rtl w:val="0"/>
              </w:rPr>
            </w:r>
          </w:p>
        </w:tc>
        <w:tc>
          <w:tcPr>
            <w:vAlign w:val="bottom"/>
          </w:tcPr>
          <w:p w:rsidR="00000000" w:rsidDel="00000000" w:rsidP="00000000" w:rsidRDefault="00000000" w:rsidRPr="00000000" w14:paraId="00000214">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sz w:val="22"/>
                <w:szCs w:val="22"/>
                <w:rtl w:val="0"/>
              </w:rPr>
              <w:t xml:space="preserve">7,3%</w:t>
            </w:r>
            <w:r w:rsidDel="00000000" w:rsidR="00000000" w:rsidRPr="00000000">
              <w:rPr>
                <w:rtl w:val="0"/>
              </w:rPr>
            </w:r>
          </w:p>
        </w:tc>
      </w:tr>
      <w:tr>
        <w:trPr>
          <w:cantSplit w:val="0"/>
          <w:trHeight w:val="212" w:hRule="atLeast"/>
          <w:tblHeader w:val="0"/>
        </w:trPr>
        <w:tc>
          <w:tcPr>
            <w:vAlign w:val="bottom"/>
          </w:tcPr>
          <w:p w:rsidR="00000000" w:rsidDel="00000000" w:rsidP="00000000" w:rsidRDefault="00000000" w:rsidRPr="00000000" w14:paraId="00000215">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Toledo</w:t>
            </w:r>
            <w:r w:rsidDel="00000000" w:rsidR="00000000" w:rsidRPr="00000000">
              <w:rPr>
                <w:rtl w:val="0"/>
              </w:rPr>
            </w:r>
          </w:p>
        </w:tc>
        <w:tc>
          <w:tcPr>
            <w:vAlign w:val="bottom"/>
          </w:tcPr>
          <w:p w:rsidR="00000000" w:rsidDel="00000000" w:rsidP="00000000" w:rsidRDefault="00000000" w:rsidRPr="00000000" w14:paraId="00000216">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Toledo capital</w:t>
            </w:r>
            <w:r w:rsidDel="00000000" w:rsidR="00000000" w:rsidRPr="00000000">
              <w:rPr>
                <w:rtl w:val="0"/>
              </w:rPr>
            </w:r>
          </w:p>
        </w:tc>
        <w:tc>
          <w:tcPr>
            <w:vAlign w:val="bottom"/>
          </w:tcPr>
          <w:p w:rsidR="00000000" w:rsidDel="00000000" w:rsidP="00000000" w:rsidRDefault="00000000" w:rsidRPr="00000000" w14:paraId="00000217">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9,95 €</w:t>
            </w:r>
            <w:r w:rsidDel="00000000" w:rsidR="00000000" w:rsidRPr="00000000">
              <w:rPr>
                <w:rtl w:val="0"/>
              </w:rPr>
            </w:r>
          </w:p>
        </w:tc>
        <w:tc>
          <w:tcPr>
            <w:vAlign w:val="bottom"/>
          </w:tcPr>
          <w:p w:rsidR="00000000" w:rsidDel="00000000" w:rsidP="00000000" w:rsidRDefault="00000000" w:rsidRPr="00000000" w14:paraId="00000218">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1,8%</w:t>
            </w:r>
            <w:r w:rsidDel="00000000" w:rsidR="00000000" w:rsidRPr="00000000">
              <w:rPr>
                <w:rtl w:val="0"/>
              </w:rPr>
            </w:r>
          </w:p>
        </w:tc>
        <w:tc>
          <w:tcPr>
            <w:vAlign w:val="bottom"/>
          </w:tcPr>
          <w:p w:rsidR="00000000" w:rsidDel="00000000" w:rsidP="00000000" w:rsidRDefault="00000000" w:rsidRPr="00000000" w14:paraId="00000219">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sz w:val="22"/>
                <w:szCs w:val="22"/>
                <w:rtl w:val="0"/>
              </w:rPr>
              <w:t xml:space="preserve">7,1%</w:t>
            </w:r>
            <w:r w:rsidDel="00000000" w:rsidR="00000000" w:rsidRPr="00000000">
              <w:rPr>
                <w:rtl w:val="0"/>
              </w:rPr>
            </w:r>
          </w:p>
        </w:tc>
      </w:tr>
      <w:tr>
        <w:trPr>
          <w:cantSplit w:val="0"/>
          <w:trHeight w:val="212" w:hRule="atLeast"/>
          <w:tblHeader w:val="0"/>
        </w:trPr>
        <w:tc>
          <w:tcPr>
            <w:vAlign w:val="bottom"/>
          </w:tcPr>
          <w:p w:rsidR="00000000" w:rsidDel="00000000" w:rsidP="00000000" w:rsidRDefault="00000000" w:rsidRPr="00000000" w14:paraId="0000021A">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Las Palmas</w:t>
            </w:r>
            <w:r w:rsidDel="00000000" w:rsidR="00000000" w:rsidRPr="00000000">
              <w:rPr>
                <w:rtl w:val="0"/>
              </w:rPr>
            </w:r>
          </w:p>
        </w:tc>
        <w:tc>
          <w:tcPr>
            <w:vAlign w:val="bottom"/>
          </w:tcPr>
          <w:p w:rsidR="00000000" w:rsidDel="00000000" w:rsidP="00000000" w:rsidRDefault="00000000" w:rsidRPr="00000000" w14:paraId="0000021B">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Las Palmas de Gran Canaria</w:t>
            </w:r>
            <w:r w:rsidDel="00000000" w:rsidR="00000000" w:rsidRPr="00000000">
              <w:rPr>
                <w:rtl w:val="0"/>
              </w:rPr>
            </w:r>
          </w:p>
        </w:tc>
        <w:tc>
          <w:tcPr>
            <w:vAlign w:val="bottom"/>
          </w:tcPr>
          <w:p w:rsidR="00000000" w:rsidDel="00000000" w:rsidP="00000000" w:rsidRDefault="00000000" w:rsidRPr="00000000" w14:paraId="0000021C">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14,24 €</w:t>
            </w:r>
            <w:r w:rsidDel="00000000" w:rsidR="00000000" w:rsidRPr="00000000">
              <w:rPr>
                <w:rtl w:val="0"/>
              </w:rPr>
            </w:r>
          </w:p>
        </w:tc>
        <w:tc>
          <w:tcPr>
            <w:vAlign w:val="bottom"/>
          </w:tcPr>
          <w:p w:rsidR="00000000" w:rsidDel="00000000" w:rsidP="00000000" w:rsidRDefault="00000000" w:rsidRPr="00000000" w14:paraId="0000021D">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1,9%</w:t>
            </w:r>
            <w:r w:rsidDel="00000000" w:rsidR="00000000" w:rsidRPr="00000000">
              <w:rPr>
                <w:rtl w:val="0"/>
              </w:rPr>
            </w:r>
          </w:p>
        </w:tc>
        <w:tc>
          <w:tcPr>
            <w:vAlign w:val="bottom"/>
          </w:tcPr>
          <w:p w:rsidR="00000000" w:rsidDel="00000000" w:rsidP="00000000" w:rsidRDefault="00000000" w:rsidRPr="00000000" w14:paraId="0000021E">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sz w:val="22"/>
                <w:szCs w:val="22"/>
                <w:rtl w:val="0"/>
              </w:rPr>
              <w:t xml:space="preserve">7,1%</w:t>
            </w:r>
            <w:r w:rsidDel="00000000" w:rsidR="00000000" w:rsidRPr="00000000">
              <w:rPr>
                <w:rtl w:val="0"/>
              </w:rPr>
            </w:r>
          </w:p>
        </w:tc>
      </w:tr>
      <w:tr>
        <w:trPr>
          <w:cantSplit w:val="0"/>
          <w:trHeight w:val="212" w:hRule="atLeast"/>
          <w:tblHeader w:val="0"/>
        </w:trPr>
        <w:tc>
          <w:tcPr>
            <w:vAlign w:val="bottom"/>
          </w:tcPr>
          <w:p w:rsidR="00000000" w:rsidDel="00000000" w:rsidP="00000000" w:rsidRDefault="00000000" w:rsidRPr="00000000" w14:paraId="0000021F">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Cuenca</w:t>
            </w:r>
            <w:r w:rsidDel="00000000" w:rsidR="00000000" w:rsidRPr="00000000">
              <w:rPr>
                <w:rtl w:val="0"/>
              </w:rPr>
            </w:r>
          </w:p>
        </w:tc>
        <w:tc>
          <w:tcPr>
            <w:vAlign w:val="bottom"/>
          </w:tcPr>
          <w:p w:rsidR="00000000" w:rsidDel="00000000" w:rsidP="00000000" w:rsidRDefault="00000000" w:rsidRPr="00000000" w14:paraId="00000220">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Cuenca capital</w:t>
            </w:r>
            <w:r w:rsidDel="00000000" w:rsidR="00000000" w:rsidRPr="00000000">
              <w:rPr>
                <w:rtl w:val="0"/>
              </w:rPr>
            </w:r>
          </w:p>
        </w:tc>
        <w:tc>
          <w:tcPr>
            <w:vAlign w:val="bottom"/>
          </w:tcPr>
          <w:p w:rsidR="00000000" w:rsidDel="00000000" w:rsidP="00000000" w:rsidRDefault="00000000" w:rsidRPr="00000000" w14:paraId="00000221">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7,65 €</w:t>
            </w:r>
            <w:r w:rsidDel="00000000" w:rsidR="00000000" w:rsidRPr="00000000">
              <w:rPr>
                <w:rtl w:val="0"/>
              </w:rPr>
            </w:r>
          </w:p>
        </w:tc>
        <w:tc>
          <w:tcPr>
            <w:vAlign w:val="bottom"/>
          </w:tcPr>
          <w:p w:rsidR="00000000" w:rsidDel="00000000" w:rsidP="00000000" w:rsidRDefault="00000000" w:rsidRPr="00000000" w14:paraId="00000222">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3,8%</w:t>
            </w:r>
            <w:r w:rsidDel="00000000" w:rsidR="00000000" w:rsidRPr="00000000">
              <w:rPr>
                <w:rtl w:val="0"/>
              </w:rPr>
            </w:r>
          </w:p>
        </w:tc>
        <w:tc>
          <w:tcPr>
            <w:vAlign w:val="bottom"/>
          </w:tcPr>
          <w:p w:rsidR="00000000" w:rsidDel="00000000" w:rsidP="00000000" w:rsidRDefault="00000000" w:rsidRPr="00000000" w14:paraId="00000223">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sz w:val="22"/>
                <w:szCs w:val="22"/>
                <w:rtl w:val="0"/>
              </w:rPr>
              <w:t xml:space="preserve">7,0%</w:t>
            </w:r>
            <w:r w:rsidDel="00000000" w:rsidR="00000000" w:rsidRPr="00000000">
              <w:rPr>
                <w:rtl w:val="0"/>
              </w:rPr>
            </w:r>
          </w:p>
        </w:tc>
      </w:tr>
      <w:tr>
        <w:trPr>
          <w:cantSplit w:val="0"/>
          <w:trHeight w:val="212" w:hRule="atLeast"/>
          <w:tblHeader w:val="0"/>
        </w:trPr>
        <w:tc>
          <w:tcPr>
            <w:vAlign w:val="bottom"/>
          </w:tcPr>
          <w:p w:rsidR="00000000" w:rsidDel="00000000" w:rsidP="00000000" w:rsidRDefault="00000000" w:rsidRPr="00000000" w14:paraId="00000224">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Bizkaia</w:t>
            </w:r>
            <w:r w:rsidDel="00000000" w:rsidR="00000000" w:rsidRPr="00000000">
              <w:rPr>
                <w:rtl w:val="0"/>
              </w:rPr>
            </w:r>
          </w:p>
        </w:tc>
        <w:tc>
          <w:tcPr>
            <w:vAlign w:val="bottom"/>
          </w:tcPr>
          <w:p w:rsidR="00000000" w:rsidDel="00000000" w:rsidP="00000000" w:rsidRDefault="00000000" w:rsidRPr="00000000" w14:paraId="00000225">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Bilbao</w:t>
            </w:r>
            <w:r w:rsidDel="00000000" w:rsidR="00000000" w:rsidRPr="00000000">
              <w:rPr>
                <w:rtl w:val="0"/>
              </w:rPr>
            </w:r>
          </w:p>
        </w:tc>
        <w:tc>
          <w:tcPr>
            <w:vAlign w:val="bottom"/>
          </w:tcPr>
          <w:p w:rsidR="00000000" w:rsidDel="00000000" w:rsidP="00000000" w:rsidRDefault="00000000" w:rsidRPr="00000000" w14:paraId="00000226">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16,51 €</w:t>
            </w:r>
            <w:r w:rsidDel="00000000" w:rsidR="00000000" w:rsidRPr="00000000">
              <w:rPr>
                <w:rtl w:val="0"/>
              </w:rPr>
            </w:r>
          </w:p>
        </w:tc>
        <w:tc>
          <w:tcPr>
            <w:vAlign w:val="bottom"/>
          </w:tcPr>
          <w:p w:rsidR="00000000" w:rsidDel="00000000" w:rsidP="00000000" w:rsidRDefault="00000000" w:rsidRPr="00000000" w14:paraId="00000227">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0,4%</w:t>
            </w:r>
            <w:r w:rsidDel="00000000" w:rsidR="00000000" w:rsidRPr="00000000">
              <w:rPr>
                <w:rtl w:val="0"/>
              </w:rPr>
            </w:r>
          </w:p>
        </w:tc>
        <w:tc>
          <w:tcPr>
            <w:vAlign w:val="bottom"/>
          </w:tcPr>
          <w:p w:rsidR="00000000" w:rsidDel="00000000" w:rsidP="00000000" w:rsidRDefault="00000000" w:rsidRPr="00000000" w14:paraId="00000228">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sz w:val="22"/>
                <w:szCs w:val="22"/>
                <w:rtl w:val="0"/>
              </w:rPr>
              <w:t xml:space="preserve">6,8%</w:t>
            </w:r>
            <w:r w:rsidDel="00000000" w:rsidR="00000000" w:rsidRPr="00000000">
              <w:rPr>
                <w:rtl w:val="0"/>
              </w:rPr>
            </w:r>
          </w:p>
        </w:tc>
      </w:tr>
      <w:tr>
        <w:trPr>
          <w:cantSplit w:val="0"/>
          <w:trHeight w:val="212" w:hRule="atLeast"/>
          <w:tblHeader w:val="0"/>
        </w:trPr>
        <w:tc>
          <w:tcPr>
            <w:vAlign w:val="bottom"/>
          </w:tcPr>
          <w:p w:rsidR="00000000" w:rsidDel="00000000" w:rsidP="00000000" w:rsidRDefault="00000000" w:rsidRPr="00000000" w14:paraId="00000229">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Murcia</w:t>
            </w:r>
            <w:r w:rsidDel="00000000" w:rsidR="00000000" w:rsidRPr="00000000">
              <w:rPr>
                <w:rtl w:val="0"/>
              </w:rPr>
            </w:r>
          </w:p>
        </w:tc>
        <w:tc>
          <w:tcPr>
            <w:vAlign w:val="bottom"/>
          </w:tcPr>
          <w:p w:rsidR="00000000" w:rsidDel="00000000" w:rsidP="00000000" w:rsidRDefault="00000000" w:rsidRPr="00000000" w14:paraId="0000022A">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Murcia capital</w:t>
            </w:r>
            <w:r w:rsidDel="00000000" w:rsidR="00000000" w:rsidRPr="00000000">
              <w:rPr>
                <w:rtl w:val="0"/>
              </w:rPr>
            </w:r>
          </w:p>
        </w:tc>
        <w:tc>
          <w:tcPr>
            <w:vAlign w:val="bottom"/>
          </w:tcPr>
          <w:p w:rsidR="00000000" w:rsidDel="00000000" w:rsidP="00000000" w:rsidRDefault="00000000" w:rsidRPr="00000000" w14:paraId="0000022B">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8,82 €</w:t>
            </w:r>
            <w:r w:rsidDel="00000000" w:rsidR="00000000" w:rsidRPr="00000000">
              <w:rPr>
                <w:rtl w:val="0"/>
              </w:rPr>
            </w:r>
          </w:p>
        </w:tc>
        <w:tc>
          <w:tcPr>
            <w:vAlign w:val="bottom"/>
          </w:tcPr>
          <w:p w:rsidR="00000000" w:rsidDel="00000000" w:rsidP="00000000" w:rsidRDefault="00000000" w:rsidRPr="00000000" w14:paraId="0000022C">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3,5%</w:t>
            </w:r>
            <w:r w:rsidDel="00000000" w:rsidR="00000000" w:rsidRPr="00000000">
              <w:rPr>
                <w:rtl w:val="0"/>
              </w:rPr>
            </w:r>
          </w:p>
        </w:tc>
        <w:tc>
          <w:tcPr>
            <w:vAlign w:val="bottom"/>
          </w:tcPr>
          <w:p w:rsidR="00000000" w:rsidDel="00000000" w:rsidP="00000000" w:rsidRDefault="00000000" w:rsidRPr="00000000" w14:paraId="0000022D">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sz w:val="22"/>
                <w:szCs w:val="22"/>
                <w:rtl w:val="0"/>
              </w:rPr>
              <w:t xml:space="preserve">6,1%</w:t>
            </w:r>
            <w:r w:rsidDel="00000000" w:rsidR="00000000" w:rsidRPr="00000000">
              <w:rPr>
                <w:rtl w:val="0"/>
              </w:rPr>
            </w:r>
          </w:p>
        </w:tc>
      </w:tr>
      <w:tr>
        <w:trPr>
          <w:cantSplit w:val="0"/>
          <w:trHeight w:val="212" w:hRule="atLeast"/>
          <w:tblHeader w:val="0"/>
        </w:trPr>
        <w:tc>
          <w:tcPr>
            <w:vAlign w:val="bottom"/>
          </w:tcPr>
          <w:p w:rsidR="00000000" w:rsidDel="00000000" w:rsidP="00000000" w:rsidRDefault="00000000" w:rsidRPr="00000000" w14:paraId="0000022E">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La Rioja</w:t>
            </w:r>
            <w:r w:rsidDel="00000000" w:rsidR="00000000" w:rsidRPr="00000000">
              <w:rPr>
                <w:rtl w:val="0"/>
              </w:rPr>
            </w:r>
          </w:p>
        </w:tc>
        <w:tc>
          <w:tcPr>
            <w:vAlign w:val="bottom"/>
          </w:tcPr>
          <w:p w:rsidR="00000000" w:rsidDel="00000000" w:rsidP="00000000" w:rsidRDefault="00000000" w:rsidRPr="00000000" w14:paraId="0000022F">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Logroño</w:t>
            </w:r>
            <w:r w:rsidDel="00000000" w:rsidR="00000000" w:rsidRPr="00000000">
              <w:rPr>
                <w:rtl w:val="0"/>
              </w:rPr>
            </w:r>
          </w:p>
        </w:tc>
        <w:tc>
          <w:tcPr>
            <w:vAlign w:val="bottom"/>
          </w:tcPr>
          <w:p w:rsidR="00000000" w:rsidDel="00000000" w:rsidP="00000000" w:rsidRDefault="00000000" w:rsidRPr="00000000" w14:paraId="00000230">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9,09 €</w:t>
            </w:r>
            <w:r w:rsidDel="00000000" w:rsidR="00000000" w:rsidRPr="00000000">
              <w:rPr>
                <w:rtl w:val="0"/>
              </w:rPr>
            </w:r>
          </w:p>
        </w:tc>
        <w:tc>
          <w:tcPr>
            <w:vAlign w:val="bottom"/>
          </w:tcPr>
          <w:p w:rsidR="00000000" w:rsidDel="00000000" w:rsidP="00000000" w:rsidRDefault="00000000" w:rsidRPr="00000000" w14:paraId="00000231">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3,9%</w:t>
            </w:r>
            <w:r w:rsidDel="00000000" w:rsidR="00000000" w:rsidRPr="00000000">
              <w:rPr>
                <w:rtl w:val="0"/>
              </w:rPr>
            </w:r>
          </w:p>
        </w:tc>
        <w:tc>
          <w:tcPr>
            <w:vAlign w:val="bottom"/>
          </w:tcPr>
          <w:p w:rsidR="00000000" w:rsidDel="00000000" w:rsidP="00000000" w:rsidRDefault="00000000" w:rsidRPr="00000000" w14:paraId="00000232">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sz w:val="22"/>
                <w:szCs w:val="22"/>
                <w:rtl w:val="0"/>
              </w:rPr>
              <w:t xml:space="preserve">5,2%</w:t>
            </w:r>
            <w:r w:rsidDel="00000000" w:rsidR="00000000" w:rsidRPr="00000000">
              <w:rPr>
                <w:rtl w:val="0"/>
              </w:rPr>
            </w:r>
          </w:p>
        </w:tc>
      </w:tr>
      <w:tr>
        <w:trPr>
          <w:cantSplit w:val="0"/>
          <w:trHeight w:val="212" w:hRule="atLeast"/>
          <w:tblHeader w:val="0"/>
        </w:trPr>
        <w:tc>
          <w:tcPr>
            <w:vAlign w:val="bottom"/>
          </w:tcPr>
          <w:p w:rsidR="00000000" w:rsidDel="00000000" w:rsidP="00000000" w:rsidRDefault="00000000" w:rsidRPr="00000000" w14:paraId="00000233">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Salamanca</w:t>
            </w:r>
            <w:r w:rsidDel="00000000" w:rsidR="00000000" w:rsidRPr="00000000">
              <w:rPr>
                <w:rtl w:val="0"/>
              </w:rPr>
            </w:r>
          </w:p>
        </w:tc>
        <w:tc>
          <w:tcPr>
            <w:vAlign w:val="bottom"/>
          </w:tcPr>
          <w:p w:rsidR="00000000" w:rsidDel="00000000" w:rsidP="00000000" w:rsidRDefault="00000000" w:rsidRPr="00000000" w14:paraId="00000234">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Salamanca capital</w:t>
            </w:r>
            <w:r w:rsidDel="00000000" w:rsidR="00000000" w:rsidRPr="00000000">
              <w:rPr>
                <w:rtl w:val="0"/>
              </w:rPr>
            </w:r>
          </w:p>
        </w:tc>
        <w:tc>
          <w:tcPr>
            <w:vAlign w:val="bottom"/>
          </w:tcPr>
          <w:p w:rsidR="00000000" w:rsidDel="00000000" w:rsidP="00000000" w:rsidRDefault="00000000" w:rsidRPr="00000000" w14:paraId="00000235">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9,50 €</w:t>
            </w:r>
            <w:r w:rsidDel="00000000" w:rsidR="00000000" w:rsidRPr="00000000">
              <w:rPr>
                <w:rtl w:val="0"/>
              </w:rPr>
            </w:r>
          </w:p>
        </w:tc>
        <w:tc>
          <w:tcPr>
            <w:vAlign w:val="bottom"/>
          </w:tcPr>
          <w:p w:rsidR="00000000" w:rsidDel="00000000" w:rsidP="00000000" w:rsidRDefault="00000000" w:rsidRPr="00000000" w14:paraId="00000236">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0,2%</w:t>
            </w:r>
            <w:r w:rsidDel="00000000" w:rsidR="00000000" w:rsidRPr="00000000">
              <w:rPr>
                <w:rtl w:val="0"/>
              </w:rPr>
            </w:r>
          </w:p>
        </w:tc>
        <w:tc>
          <w:tcPr>
            <w:vAlign w:val="bottom"/>
          </w:tcPr>
          <w:p w:rsidR="00000000" w:rsidDel="00000000" w:rsidP="00000000" w:rsidRDefault="00000000" w:rsidRPr="00000000" w14:paraId="00000237">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sz w:val="22"/>
                <w:szCs w:val="22"/>
                <w:rtl w:val="0"/>
              </w:rPr>
              <w:t xml:space="preserve">5,1%</w:t>
            </w:r>
            <w:r w:rsidDel="00000000" w:rsidR="00000000" w:rsidRPr="00000000">
              <w:rPr>
                <w:rtl w:val="0"/>
              </w:rPr>
            </w:r>
          </w:p>
        </w:tc>
      </w:tr>
      <w:tr>
        <w:trPr>
          <w:cantSplit w:val="0"/>
          <w:trHeight w:val="212" w:hRule="atLeast"/>
          <w:tblHeader w:val="0"/>
        </w:trPr>
        <w:tc>
          <w:tcPr>
            <w:vAlign w:val="bottom"/>
          </w:tcPr>
          <w:p w:rsidR="00000000" w:rsidDel="00000000" w:rsidP="00000000" w:rsidRDefault="00000000" w:rsidRPr="00000000" w14:paraId="00000238">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Badajoz</w:t>
            </w:r>
            <w:r w:rsidDel="00000000" w:rsidR="00000000" w:rsidRPr="00000000">
              <w:rPr>
                <w:rtl w:val="0"/>
              </w:rPr>
            </w:r>
          </w:p>
        </w:tc>
        <w:tc>
          <w:tcPr>
            <w:vAlign w:val="bottom"/>
          </w:tcPr>
          <w:p w:rsidR="00000000" w:rsidDel="00000000" w:rsidP="00000000" w:rsidRDefault="00000000" w:rsidRPr="00000000" w14:paraId="00000239">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Badajoz capital</w:t>
            </w:r>
            <w:r w:rsidDel="00000000" w:rsidR="00000000" w:rsidRPr="00000000">
              <w:rPr>
                <w:rtl w:val="0"/>
              </w:rPr>
            </w:r>
          </w:p>
        </w:tc>
        <w:tc>
          <w:tcPr>
            <w:vAlign w:val="bottom"/>
          </w:tcPr>
          <w:p w:rsidR="00000000" w:rsidDel="00000000" w:rsidP="00000000" w:rsidRDefault="00000000" w:rsidRPr="00000000" w14:paraId="0000023A">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7,50 €</w:t>
            </w:r>
            <w:r w:rsidDel="00000000" w:rsidR="00000000" w:rsidRPr="00000000">
              <w:rPr>
                <w:rtl w:val="0"/>
              </w:rPr>
            </w:r>
          </w:p>
        </w:tc>
        <w:tc>
          <w:tcPr>
            <w:vAlign w:val="bottom"/>
          </w:tcPr>
          <w:p w:rsidR="00000000" w:rsidDel="00000000" w:rsidP="00000000" w:rsidRDefault="00000000" w:rsidRPr="00000000" w14:paraId="0000023B">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9c0006"/>
                <w:sz w:val="22"/>
                <w:szCs w:val="22"/>
                <w:rtl w:val="0"/>
              </w:rPr>
              <w:t xml:space="preserve">-1,8%</w:t>
            </w:r>
            <w:r w:rsidDel="00000000" w:rsidR="00000000" w:rsidRPr="00000000">
              <w:rPr>
                <w:rtl w:val="0"/>
              </w:rPr>
            </w:r>
          </w:p>
        </w:tc>
        <w:tc>
          <w:tcPr>
            <w:vAlign w:val="bottom"/>
          </w:tcPr>
          <w:p w:rsidR="00000000" w:rsidDel="00000000" w:rsidP="00000000" w:rsidRDefault="00000000" w:rsidRPr="00000000" w14:paraId="0000023C">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sz w:val="22"/>
                <w:szCs w:val="22"/>
                <w:rtl w:val="0"/>
              </w:rPr>
              <w:t xml:space="preserve">4,7%</w:t>
            </w:r>
            <w:r w:rsidDel="00000000" w:rsidR="00000000" w:rsidRPr="00000000">
              <w:rPr>
                <w:rtl w:val="0"/>
              </w:rPr>
            </w:r>
          </w:p>
        </w:tc>
      </w:tr>
      <w:tr>
        <w:trPr>
          <w:cantSplit w:val="0"/>
          <w:trHeight w:val="212" w:hRule="atLeast"/>
          <w:tblHeader w:val="0"/>
        </w:trPr>
        <w:tc>
          <w:tcPr>
            <w:vAlign w:val="bottom"/>
          </w:tcPr>
          <w:p w:rsidR="00000000" w:rsidDel="00000000" w:rsidP="00000000" w:rsidRDefault="00000000" w:rsidRPr="00000000" w14:paraId="0000023D">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Huesca</w:t>
            </w:r>
            <w:r w:rsidDel="00000000" w:rsidR="00000000" w:rsidRPr="00000000">
              <w:rPr>
                <w:rtl w:val="0"/>
              </w:rPr>
            </w:r>
          </w:p>
        </w:tc>
        <w:tc>
          <w:tcPr>
            <w:vAlign w:val="bottom"/>
          </w:tcPr>
          <w:p w:rsidR="00000000" w:rsidDel="00000000" w:rsidP="00000000" w:rsidRDefault="00000000" w:rsidRPr="00000000" w14:paraId="0000023E">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Huesca capital</w:t>
            </w:r>
            <w:r w:rsidDel="00000000" w:rsidR="00000000" w:rsidRPr="00000000">
              <w:rPr>
                <w:rtl w:val="0"/>
              </w:rPr>
            </w:r>
          </w:p>
        </w:tc>
        <w:tc>
          <w:tcPr>
            <w:vAlign w:val="bottom"/>
          </w:tcPr>
          <w:p w:rsidR="00000000" w:rsidDel="00000000" w:rsidP="00000000" w:rsidRDefault="00000000" w:rsidRPr="00000000" w14:paraId="0000023F">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8,86 €</w:t>
            </w:r>
            <w:r w:rsidDel="00000000" w:rsidR="00000000" w:rsidRPr="00000000">
              <w:rPr>
                <w:rtl w:val="0"/>
              </w:rPr>
            </w:r>
          </w:p>
        </w:tc>
        <w:tc>
          <w:tcPr>
            <w:vAlign w:val="bottom"/>
          </w:tcPr>
          <w:p w:rsidR="00000000" w:rsidDel="00000000" w:rsidP="00000000" w:rsidRDefault="00000000" w:rsidRPr="00000000" w14:paraId="00000240">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0,6%</w:t>
            </w:r>
            <w:r w:rsidDel="00000000" w:rsidR="00000000" w:rsidRPr="00000000">
              <w:rPr>
                <w:rtl w:val="0"/>
              </w:rPr>
            </w:r>
          </w:p>
        </w:tc>
        <w:tc>
          <w:tcPr>
            <w:vAlign w:val="bottom"/>
          </w:tcPr>
          <w:p w:rsidR="00000000" w:rsidDel="00000000" w:rsidP="00000000" w:rsidRDefault="00000000" w:rsidRPr="00000000" w14:paraId="00000241">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sz w:val="22"/>
                <w:szCs w:val="22"/>
                <w:rtl w:val="0"/>
              </w:rPr>
              <w:t xml:space="preserve">4,4%</w:t>
            </w:r>
            <w:r w:rsidDel="00000000" w:rsidR="00000000" w:rsidRPr="00000000">
              <w:rPr>
                <w:rtl w:val="0"/>
              </w:rPr>
            </w:r>
          </w:p>
        </w:tc>
      </w:tr>
      <w:tr>
        <w:trPr>
          <w:cantSplit w:val="0"/>
          <w:trHeight w:val="212" w:hRule="atLeast"/>
          <w:tblHeader w:val="0"/>
        </w:trPr>
        <w:tc>
          <w:tcPr>
            <w:vAlign w:val="bottom"/>
          </w:tcPr>
          <w:p w:rsidR="00000000" w:rsidDel="00000000" w:rsidP="00000000" w:rsidRDefault="00000000" w:rsidRPr="00000000" w14:paraId="00000242">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Illes Balears</w:t>
            </w:r>
            <w:r w:rsidDel="00000000" w:rsidR="00000000" w:rsidRPr="00000000">
              <w:rPr>
                <w:rtl w:val="0"/>
              </w:rPr>
            </w:r>
          </w:p>
        </w:tc>
        <w:tc>
          <w:tcPr>
            <w:vAlign w:val="bottom"/>
          </w:tcPr>
          <w:p w:rsidR="00000000" w:rsidDel="00000000" w:rsidP="00000000" w:rsidRDefault="00000000" w:rsidRPr="00000000" w14:paraId="00000243">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Palma de Mallorca</w:t>
            </w:r>
            <w:r w:rsidDel="00000000" w:rsidR="00000000" w:rsidRPr="00000000">
              <w:rPr>
                <w:rtl w:val="0"/>
              </w:rPr>
            </w:r>
          </w:p>
        </w:tc>
        <w:tc>
          <w:tcPr>
            <w:vAlign w:val="bottom"/>
          </w:tcPr>
          <w:p w:rsidR="00000000" w:rsidDel="00000000" w:rsidP="00000000" w:rsidRDefault="00000000" w:rsidRPr="00000000" w14:paraId="00000244">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17,71 €</w:t>
            </w:r>
            <w:r w:rsidDel="00000000" w:rsidR="00000000" w:rsidRPr="00000000">
              <w:rPr>
                <w:rtl w:val="0"/>
              </w:rPr>
            </w:r>
          </w:p>
        </w:tc>
        <w:tc>
          <w:tcPr>
            <w:vAlign w:val="bottom"/>
          </w:tcPr>
          <w:p w:rsidR="00000000" w:rsidDel="00000000" w:rsidP="00000000" w:rsidRDefault="00000000" w:rsidRPr="00000000" w14:paraId="00000245">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5,2%</w:t>
            </w:r>
            <w:r w:rsidDel="00000000" w:rsidR="00000000" w:rsidRPr="00000000">
              <w:rPr>
                <w:rtl w:val="0"/>
              </w:rPr>
            </w:r>
          </w:p>
        </w:tc>
        <w:tc>
          <w:tcPr>
            <w:vAlign w:val="bottom"/>
          </w:tcPr>
          <w:p w:rsidR="00000000" w:rsidDel="00000000" w:rsidP="00000000" w:rsidRDefault="00000000" w:rsidRPr="00000000" w14:paraId="00000246">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sz w:val="22"/>
                <w:szCs w:val="22"/>
                <w:rtl w:val="0"/>
              </w:rPr>
              <w:t xml:space="preserve">3,7%</w:t>
            </w:r>
            <w:r w:rsidDel="00000000" w:rsidR="00000000" w:rsidRPr="00000000">
              <w:rPr>
                <w:rtl w:val="0"/>
              </w:rPr>
            </w:r>
          </w:p>
        </w:tc>
      </w:tr>
      <w:tr>
        <w:trPr>
          <w:cantSplit w:val="0"/>
          <w:trHeight w:val="212" w:hRule="atLeast"/>
          <w:tblHeader w:val="0"/>
        </w:trPr>
        <w:tc>
          <w:tcPr>
            <w:vAlign w:val="bottom"/>
          </w:tcPr>
          <w:p w:rsidR="00000000" w:rsidDel="00000000" w:rsidP="00000000" w:rsidRDefault="00000000" w:rsidRPr="00000000" w14:paraId="00000247">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Cádiz</w:t>
            </w:r>
            <w:r w:rsidDel="00000000" w:rsidR="00000000" w:rsidRPr="00000000">
              <w:rPr>
                <w:rtl w:val="0"/>
              </w:rPr>
            </w:r>
          </w:p>
        </w:tc>
        <w:tc>
          <w:tcPr>
            <w:vAlign w:val="bottom"/>
          </w:tcPr>
          <w:p w:rsidR="00000000" w:rsidDel="00000000" w:rsidP="00000000" w:rsidRDefault="00000000" w:rsidRPr="00000000" w14:paraId="00000248">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Cádiz capital</w:t>
            </w:r>
            <w:r w:rsidDel="00000000" w:rsidR="00000000" w:rsidRPr="00000000">
              <w:rPr>
                <w:rtl w:val="0"/>
              </w:rPr>
            </w:r>
          </w:p>
        </w:tc>
        <w:tc>
          <w:tcPr>
            <w:vAlign w:val="bottom"/>
          </w:tcPr>
          <w:p w:rsidR="00000000" w:rsidDel="00000000" w:rsidP="00000000" w:rsidRDefault="00000000" w:rsidRPr="00000000" w14:paraId="00000249">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11,84 €</w:t>
            </w:r>
            <w:r w:rsidDel="00000000" w:rsidR="00000000" w:rsidRPr="00000000">
              <w:rPr>
                <w:rtl w:val="0"/>
              </w:rPr>
            </w:r>
          </w:p>
        </w:tc>
        <w:tc>
          <w:tcPr>
            <w:vAlign w:val="bottom"/>
          </w:tcPr>
          <w:p w:rsidR="00000000" w:rsidDel="00000000" w:rsidP="00000000" w:rsidRDefault="00000000" w:rsidRPr="00000000" w14:paraId="0000024A">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0,5%</w:t>
            </w:r>
            <w:r w:rsidDel="00000000" w:rsidR="00000000" w:rsidRPr="00000000">
              <w:rPr>
                <w:rtl w:val="0"/>
              </w:rPr>
            </w:r>
          </w:p>
        </w:tc>
        <w:tc>
          <w:tcPr>
            <w:vAlign w:val="bottom"/>
          </w:tcPr>
          <w:p w:rsidR="00000000" w:rsidDel="00000000" w:rsidP="00000000" w:rsidRDefault="00000000" w:rsidRPr="00000000" w14:paraId="0000024B">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sz w:val="22"/>
                <w:szCs w:val="22"/>
                <w:rtl w:val="0"/>
              </w:rPr>
              <w:t xml:space="preserve">3,7%</w:t>
            </w:r>
            <w:r w:rsidDel="00000000" w:rsidR="00000000" w:rsidRPr="00000000">
              <w:rPr>
                <w:rtl w:val="0"/>
              </w:rPr>
            </w:r>
          </w:p>
        </w:tc>
      </w:tr>
      <w:tr>
        <w:trPr>
          <w:cantSplit w:val="0"/>
          <w:trHeight w:val="212" w:hRule="atLeast"/>
          <w:tblHeader w:val="0"/>
        </w:trPr>
        <w:tc>
          <w:tcPr>
            <w:vAlign w:val="bottom"/>
          </w:tcPr>
          <w:p w:rsidR="00000000" w:rsidDel="00000000" w:rsidP="00000000" w:rsidRDefault="00000000" w:rsidRPr="00000000" w14:paraId="0000024C">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Ourense</w:t>
            </w:r>
            <w:r w:rsidDel="00000000" w:rsidR="00000000" w:rsidRPr="00000000">
              <w:rPr>
                <w:rtl w:val="0"/>
              </w:rPr>
            </w:r>
          </w:p>
        </w:tc>
        <w:tc>
          <w:tcPr>
            <w:vAlign w:val="bottom"/>
          </w:tcPr>
          <w:p w:rsidR="00000000" w:rsidDel="00000000" w:rsidP="00000000" w:rsidRDefault="00000000" w:rsidRPr="00000000" w14:paraId="0000024D">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Ourense capital</w:t>
            </w:r>
            <w:r w:rsidDel="00000000" w:rsidR="00000000" w:rsidRPr="00000000">
              <w:rPr>
                <w:rtl w:val="0"/>
              </w:rPr>
            </w:r>
          </w:p>
        </w:tc>
        <w:tc>
          <w:tcPr>
            <w:vAlign w:val="bottom"/>
          </w:tcPr>
          <w:p w:rsidR="00000000" w:rsidDel="00000000" w:rsidP="00000000" w:rsidRDefault="00000000" w:rsidRPr="00000000" w14:paraId="0000024E">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7,05 €</w:t>
            </w:r>
            <w:r w:rsidDel="00000000" w:rsidR="00000000" w:rsidRPr="00000000">
              <w:rPr>
                <w:rtl w:val="0"/>
              </w:rPr>
            </w:r>
          </w:p>
        </w:tc>
        <w:tc>
          <w:tcPr>
            <w:vAlign w:val="bottom"/>
          </w:tcPr>
          <w:p w:rsidR="00000000" w:rsidDel="00000000" w:rsidP="00000000" w:rsidRDefault="00000000" w:rsidRPr="00000000" w14:paraId="0000024F">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2,3%</w:t>
            </w:r>
            <w:r w:rsidDel="00000000" w:rsidR="00000000" w:rsidRPr="00000000">
              <w:rPr>
                <w:rtl w:val="0"/>
              </w:rPr>
            </w:r>
          </w:p>
        </w:tc>
        <w:tc>
          <w:tcPr>
            <w:vAlign w:val="bottom"/>
          </w:tcPr>
          <w:p w:rsidR="00000000" w:rsidDel="00000000" w:rsidP="00000000" w:rsidRDefault="00000000" w:rsidRPr="00000000" w14:paraId="00000250">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sz w:val="22"/>
                <w:szCs w:val="22"/>
                <w:rtl w:val="0"/>
              </w:rPr>
              <w:t xml:space="preserve">3,5%</w:t>
            </w:r>
            <w:r w:rsidDel="00000000" w:rsidR="00000000" w:rsidRPr="00000000">
              <w:rPr>
                <w:rtl w:val="0"/>
              </w:rPr>
            </w:r>
          </w:p>
        </w:tc>
      </w:tr>
      <w:tr>
        <w:trPr>
          <w:cantSplit w:val="0"/>
          <w:trHeight w:val="212" w:hRule="atLeast"/>
          <w:tblHeader w:val="0"/>
        </w:trPr>
        <w:tc>
          <w:tcPr>
            <w:vAlign w:val="bottom"/>
          </w:tcPr>
          <w:p w:rsidR="00000000" w:rsidDel="00000000" w:rsidP="00000000" w:rsidRDefault="00000000" w:rsidRPr="00000000" w14:paraId="00000251">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Jaén</w:t>
            </w:r>
            <w:r w:rsidDel="00000000" w:rsidR="00000000" w:rsidRPr="00000000">
              <w:rPr>
                <w:rtl w:val="0"/>
              </w:rPr>
            </w:r>
          </w:p>
        </w:tc>
        <w:tc>
          <w:tcPr>
            <w:vAlign w:val="bottom"/>
          </w:tcPr>
          <w:p w:rsidR="00000000" w:rsidDel="00000000" w:rsidP="00000000" w:rsidRDefault="00000000" w:rsidRPr="00000000" w14:paraId="00000252">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Jaén capital</w:t>
            </w:r>
            <w:r w:rsidDel="00000000" w:rsidR="00000000" w:rsidRPr="00000000">
              <w:rPr>
                <w:rtl w:val="0"/>
              </w:rPr>
            </w:r>
          </w:p>
        </w:tc>
        <w:tc>
          <w:tcPr>
            <w:vAlign w:val="bottom"/>
          </w:tcPr>
          <w:p w:rsidR="00000000" w:rsidDel="00000000" w:rsidP="00000000" w:rsidRDefault="00000000" w:rsidRPr="00000000" w14:paraId="00000253">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6,62 €</w:t>
            </w:r>
            <w:r w:rsidDel="00000000" w:rsidR="00000000" w:rsidRPr="00000000">
              <w:rPr>
                <w:rtl w:val="0"/>
              </w:rPr>
            </w:r>
          </w:p>
        </w:tc>
        <w:tc>
          <w:tcPr>
            <w:vAlign w:val="bottom"/>
          </w:tcPr>
          <w:p w:rsidR="00000000" w:rsidDel="00000000" w:rsidP="00000000" w:rsidRDefault="00000000" w:rsidRPr="00000000" w14:paraId="00000254">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9c0006"/>
                <w:sz w:val="22"/>
                <w:szCs w:val="22"/>
                <w:rtl w:val="0"/>
              </w:rPr>
              <w:t xml:space="preserve">-1,3%</w:t>
            </w:r>
            <w:r w:rsidDel="00000000" w:rsidR="00000000" w:rsidRPr="00000000">
              <w:rPr>
                <w:rtl w:val="0"/>
              </w:rPr>
            </w:r>
          </w:p>
        </w:tc>
        <w:tc>
          <w:tcPr>
            <w:vAlign w:val="bottom"/>
          </w:tcPr>
          <w:p w:rsidR="00000000" w:rsidDel="00000000" w:rsidP="00000000" w:rsidRDefault="00000000" w:rsidRPr="00000000" w14:paraId="00000255">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sz w:val="22"/>
                <w:szCs w:val="22"/>
                <w:rtl w:val="0"/>
              </w:rPr>
              <w:t xml:space="preserve">3,0%</w:t>
            </w:r>
            <w:r w:rsidDel="00000000" w:rsidR="00000000" w:rsidRPr="00000000">
              <w:rPr>
                <w:rtl w:val="0"/>
              </w:rPr>
            </w:r>
          </w:p>
        </w:tc>
      </w:tr>
      <w:tr>
        <w:trPr>
          <w:cantSplit w:val="0"/>
          <w:trHeight w:val="212" w:hRule="atLeast"/>
          <w:tblHeader w:val="0"/>
        </w:trPr>
        <w:tc>
          <w:tcPr>
            <w:vAlign w:val="bottom"/>
          </w:tcPr>
          <w:p w:rsidR="00000000" w:rsidDel="00000000" w:rsidP="00000000" w:rsidRDefault="00000000" w:rsidRPr="00000000" w14:paraId="00000256">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Tarragona</w:t>
            </w:r>
            <w:r w:rsidDel="00000000" w:rsidR="00000000" w:rsidRPr="00000000">
              <w:rPr>
                <w:rtl w:val="0"/>
              </w:rPr>
            </w:r>
          </w:p>
        </w:tc>
        <w:tc>
          <w:tcPr>
            <w:vAlign w:val="bottom"/>
          </w:tcPr>
          <w:p w:rsidR="00000000" w:rsidDel="00000000" w:rsidP="00000000" w:rsidRDefault="00000000" w:rsidRPr="00000000" w14:paraId="00000257">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Tarragona capital</w:t>
            </w:r>
            <w:r w:rsidDel="00000000" w:rsidR="00000000" w:rsidRPr="00000000">
              <w:rPr>
                <w:rtl w:val="0"/>
              </w:rPr>
            </w:r>
          </w:p>
        </w:tc>
        <w:tc>
          <w:tcPr>
            <w:vAlign w:val="bottom"/>
          </w:tcPr>
          <w:p w:rsidR="00000000" w:rsidDel="00000000" w:rsidP="00000000" w:rsidRDefault="00000000" w:rsidRPr="00000000" w14:paraId="00000258">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10,96 €</w:t>
            </w:r>
            <w:r w:rsidDel="00000000" w:rsidR="00000000" w:rsidRPr="00000000">
              <w:rPr>
                <w:rtl w:val="0"/>
              </w:rPr>
            </w:r>
          </w:p>
        </w:tc>
        <w:tc>
          <w:tcPr>
            <w:vAlign w:val="bottom"/>
          </w:tcPr>
          <w:p w:rsidR="00000000" w:rsidDel="00000000" w:rsidP="00000000" w:rsidRDefault="00000000" w:rsidRPr="00000000" w14:paraId="00000259">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6,1%</w:t>
            </w:r>
            <w:r w:rsidDel="00000000" w:rsidR="00000000" w:rsidRPr="00000000">
              <w:rPr>
                <w:rtl w:val="0"/>
              </w:rPr>
            </w:r>
          </w:p>
        </w:tc>
        <w:tc>
          <w:tcPr>
            <w:vAlign w:val="bottom"/>
          </w:tcPr>
          <w:p w:rsidR="00000000" w:rsidDel="00000000" w:rsidP="00000000" w:rsidRDefault="00000000" w:rsidRPr="00000000" w14:paraId="0000025A">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sz w:val="22"/>
                <w:szCs w:val="22"/>
                <w:rtl w:val="0"/>
              </w:rPr>
              <w:t xml:space="preserve">2,6%</w:t>
            </w:r>
            <w:r w:rsidDel="00000000" w:rsidR="00000000" w:rsidRPr="00000000">
              <w:rPr>
                <w:rtl w:val="0"/>
              </w:rPr>
            </w:r>
          </w:p>
        </w:tc>
      </w:tr>
      <w:tr>
        <w:trPr>
          <w:cantSplit w:val="0"/>
          <w:trHeight w:val="212" w:hRule="atLeast"/>
          <w:tblHeader w:val="0"/>
        </w:trPr>
        <w:tc>
          <w:tcPr>
            <w:vAlign w:val="bottom"/>
          </w:tcPr>
          <w:p w:rsidR="00000000" w:rsidDel="00000000" w:rsidP="00000000" w:rsidRDefault="00000000" w:rsidRPr="00000000" w14:paraId="0000025B">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Araba - Álava</w:t>
            </w:r>
            <w:r w:rsidDel="00000000" w:rsidR="00000000" w:rsidRPr="00000000">
              <w:rPr>
                <w:rtl w:val="0"/>
              </w:rPr>
            </w:r>
          </w:p>
        </w:tc>
        <w:tc>
          <w:tcPr>
            <w:vAlign w:val="bottom"/>
          </w:tcPr>
          <w:p w:rsidR="00000000" w:rsidDel="00000000" w:rsidP="00000000" w:rsidRDefault="00000000" w:rsidRPr="00000000" w14:paraId="0000025C">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Vitoria - Gasteiz</w:t>
            </w:r>
            <w:r w:rsidDel="00000000" w:rsidR="00000000" w:rsidRPr="00000000">
              <w:rPr>
                <w:rtl w:val="0"/>
              </w:rPr>
            </w:r>
          </w:p>
        </w:tc>
        <w:tc>
          <w:tcPr>
            <w:vAlign w:val="bottom"/>
          </w:tcPr>
          <w:p w:rsidR="00000000" w:rsidDel="00000000" w:rsidP="00000000" w:rsidRDefault="00000000" w:rsidRPr="00000000" w14:paraId="0000025D">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12,70 €</w:t>
            </w:r>
            <w:r w:rsidDel="00000000" w:rsidR="00000000" w:rsidRPr="00000000">
              <w:rPr>
                <w:rtl w:val="0"/>
              </w:rPr>
            </w:r>
          </w:p>
        </w:tc>
        <w:tc>
          <w:tcPr>
            <w:vAlign w:val="bottom"/>
          </w:tcPr>
          <w:p w:rsidR="00000000" w:rsidDel="00000000" w:rsidP="00000000" w:rsidRDefault="00000000" w:rsidRPr="00000000" w14:paraId="0000025E">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9,5%</w:t>
            </w:r>
            <w:r w:rsidDel="00000000" w:rsidR="00000000" w:rsidRPr="00000000">
              <w:rPr>
                <w:rtl w:val="0"/>
              </w:rPr>
            </w:r>
          </w:p>
        </w:tc>
        <w:tc>
          <w:tcPr>
            <w:vAlign w:val="bottom"/>
          </w:tcPr>
          <w:p w:rsidR="00000000" w:rsidDel="00000000" w:rsidP="00000000" w:rsidRDefault="00000000" w:rsidRPr="00000000" w14:paraId="0000025F">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sz w:val="22"/>
                <w:szCs w:val="22"/>
                <w:rtl w:val="0"/>
              </w:rPr>
              <w:t xml:space="preserve">2,4%</w:t>
            </w:r>
            <w:r w:rsidDel="00000000" w:rsidR="00000000" w:rsidRPr="00000000">
              <w:rPr>
                <w:rtl w:val="0"/>
              </w:rPr>
            </w:r>
          </w:p>
        </w:tc>
      </w:tr>
      <w:tr>
        <w:trPr>
          <w:cantSplit w:val="0"/>
          <w:trHeight w:val="212" w:hRule="atLeast"/>
          <w:tblHeader w:val="0"/>
        </w:trPr>
        <w:tc>
          <w:tcPr>
            <w:vAlign w:val="bottom"/>
          </w:tcPr>
          <w:p w:rsidR="00000000" w:rsidDel="00000000" w:rsidP="00000000" w:rsidRDefault="00000000" w:rsidRPr="00000000" w14:paraId="00000260">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Granada</w:t>
            </w:r>
            <w:r w:rsidDel="00000000" w:rsidR="00000000" w:rsidRPr="00000000">
              <w:rPr>
                <w:rtl w:val="0"/>
              </w:rPr>
            </w:r>
          </w:p>
        </w:tc>
        <w:tc>
          <w:tcPr>
            <w:vAlign w:val="bottom"/>
          </w:tcPr>
          <w:p w:rsidR="00000000" w:rsidDel="00000000" w:rsidP="00000000" w:rsidRDefault="00000000" w:rsidRPr="00000000" w14:paraId="00000261">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Granada capital</w:t>
            </w:r>
            <w:r w:rsidDel="00000000" w:rsidR="00000000" w:rsidRPr="00000000">
              <w:rPr>
                <w:rtl w:val="0"/>
              </w:rPr>
            </w:r>
          </w:p>
        </w:tc>
        <w:tc>
          <w:tcPr>
            <w:vAlign w:val="bottom"/>
          </w:tcPr>
          <w:p w:rsidR="00000000" w:rsidDel="00000000" w:rsidP="00000000" w:rsidRDefault="00000000" w:rsidRPr="00000000" w14:paraId="00000262">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9,86 €</w:t>
            </w:r>
            <w:r w:rsidDel="00000000" w:rsidR="00000000" w:rsidRPr="00000000">
              <w:rPr>
                <w:rtl w:val="0"/>
              </w:rPr>
            </w:r>
          </w:p>
        </w:tc>
        <w:tc>
          <w:tcPr>
            <w:vAlign w:val="bottom"/>
          </w:tcPr>
          <w:p w:rsidR="00000000" w:rsidDel="00000000" w:rsidP="00000000" w:rsidRDefault="00000000" w:rsidRPr="00000000" w14:paraId="00000263">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1,6%</w:t>
            </w:r>
            <w:r w:rsidDel="00000000" w:rsidR="00000000" w:rsidRPr="00000000">
              <w:rPr>
                <w:rtl w:val="0"/>
              </w:rPr>
            </w:r>
          </w:p>
        </w:tc>
        <w:tc>
          <w:tcPr>
            <w:vAlign w:val="bottom"/>
          </w:tcPr>
          <w:p w:rsidR="00000000" w:rsidDel="00000000" w:rsidP="00000000" w:rsidRDefault="00000000" w:rsidRPr="00000000" w14:paraId="00000264">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sz w:val="22"/>
                <w:szCs w:val="22"/>
                <w:rtl w:val="0"/>
              </w:rPr>
              <w:t xml:space="preserve">2,1%</w:t>
            </w:r>
            <w:r w:rsidDel="00000000" w:rsidR="00000000" w:rsidRPr="00000000">
              <w:rPr>
                <w:rtl w:val="0"/>
              </w:rPr>
            </w:r>
          </w:p>
        </w:tc>
      </w:tr>
      <w:tr>
        <w:trPr>
          <w:cantSplit w:val="0"/>
          <w:trHeight w:val="212" w:hRule="atLeast"/>
          <w:tblHeader w:val="0"/>
        </w:trPr>
        <w:tc>
          <w:tcPr>
            <w:vAlign w:val="bottom"/>
          </w:tcPr>
          <w:p w:rsidR="00000000" w:rsidDel="00000000" w:rsidP="00000000" w:rsidRDefault="00000000" w:rsidRPr="00000000" w14:paraId="00000265">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Pontevedra</w:t>
            </w:r>
            <w:r w:rsidDel="00000000" w:rsidR="00000000" w:rsidRPr="00000000">
              <w:rPr>
                <w:rtl w:val="0"/>
              </w:rPr>
            </w:r>
          </w:p>
        </w:tc>
        <w:tc>
          <w:tcPr>
            <w:vAlign w:val="bottom"/>
          </w:tcPr>
          <w:p w:rsidR="00000000" w:rsidDel="00000000" w:rsidP="00000000" w:rsidRDefault="00000000" w:rsidRPr="00000000" w14:paraId="00000266">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Pontevedra capital</w:t>
            </w:r>
            <w:r w:rsidDel="00000000" w:rsidR="00000000" w:rsidRPr="00000000">
              <w:rPr>
                <w:rtl w:val="0"/>
              </w:rPr>
            </w:r>
          </w:p>
        </w:tc>
        <w:tc>
          <w:tcPr>
            <w:vAlign w:val="bottom"/>
          </w:tcPr>
          <w:p w:rsidR="00000000" w:rsidDel="00000000" w:rsidP="00000000" w:rsidRDefault="00000000" w:rsidRPr="00000000" w14:paraId="00000267">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8,34 €</w:t>
            </w:r>
            <w:r w:rsidDel="00000000" w:rsidR="00000000" w:rsidRPr="00000000">
              <w:rPr>
                <w:rtl w:val="0"/>
              </w:rPr>
            </w:r>
          </w:p>
        </w:tc>
        <w:tc>
          <w:tcPr>
            <w:vAlign w:val="bottom"/>
          </w:tcPr>
          <w:p w:rsidR="00000000" w:rsidDel="00000000" w:rsidP="00000000" w:rsidRDefault="00000000" w:rsidRPr="00000000" w14:paraId="00000268">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2,1%</w:t>
            </w:r>
            <w:r w:rsidDel="00000000" w:rsidR="00000000" w:rsidRPr="00000000">
              <w:rPr>
                <w:rtl w:val="0"/>
              </w:rPr>
            </w:r>
          </w:p>
        </w:tc>
        <w:tc>
          <w:tcPr>
            <w:vAlign w:val="bottom"/>
          </w:tcPr>
          <w:p w:rsidR="00000000" w:rsidDel="00000000" w:rsidP="00000000" w:rsidRDefault="00000000" w:rsidRPr="00000000" w14:paraId="00000269">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color w:val="9c0006"/>
                <w:sz w:val="22"/>
                <w:szCs w:val="22"/>
                <w:rtl w:val="0"/>
              </w:rPr>
              <w:t xml:space="preserve">-0,4%</w:t>
            </w:r>
            <w:r w:rsidDel="00000000" w:rsidR="00000000" w:rsidRPr="00000000">
              <w:rPr>
                <w:rtl w:val="0"/>
              </w:rPr>
            </w:r>
          </w:p>
        </w:tc>
      </w:tr>
      <w:tr>
        <w:trPr>
          <w:cantSplit w:val="0"/>
          <w:trHeight w:val="212" w:hRule="atLeast"/>
          <w:tblHeader w:val="0"/>
        </w:trPr>
        <w:tc>
          <w:tcPr>
            <w:vAlign w:val="bottom"/>
          </w:tcPr>
          <w:p w:rsidR="00000000" w:rsidDel="00000000" w:rsidP="00000000" w:rsidRDefault="00000000" w:rsidRPr="00000000" w14:paraId="0000026A">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Gipuzkoa</w:t>
            </w:r>
            <w:r w:rsidDel="00000000" w:rsidR="00000000" w:rsidRPr="00000000">
              <w:rPr>
                <w:rtl w:val="0"/>
              </w:rPr>
            </w:r>
          </w:p>
        </w:tc>
        <w:tc>
          <w:tcPr>
            <w:vAlign w:val="bottom"/>
          </w:tcPr>
          <w:p w:rsidR="00000000" w:rsidDel="00000000" w:rsidP="00000000" w:rsidRDefault="00000000" w:rsidRPr="00000000" w14:paraId="0000026B">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Donostia - San Sebastián</w:t>
            </w:r>
            <w:r w:rsidDel="00000000" w:rsidR="00000000" w:rsidRPr="00000000">
              <w:rPr>
                <w:rtl w:val="0"/>
              </w:rPr>
            </w:r>
          </w:p>
        </w:tc>
        <w:tc>
          <w:tcPr>
            <w:vAlign w:val="bottom"/>
          </w:tcPr>
          <w:p w:rsidR="00000000" w:rsidDel="00000000" w:rsidP="00000000" w:rsidRDefault="00000000" w:rsidRPr="00000000" w14:paraId="0000026C">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19,32 €</w:t>
            </w:r>
            <w:r w:rsidDel="00000000" w:rsidR="00000000" w:rsidRPr="00000000">
              <w:rPr>
                <w:rtl w:val="0"/>
              </w:rPr>
            </w:r>
          </w:p>
        </w:tc>
        <w:tc>
          <w:tcPr>
            <w:vAlign w:val="bottom"/>
          </w:tcPr>
          <w:p w:rsidR="00000000" w:rsidDel="00000000" w:rsidP="00000000" w:rsidRDefault="00000000" w:rsidRPr="00000000" w14:paraId="0000026D">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9,0%</w:t>
            </w:r>
            <w:r w:rsidDel="00000000" w:rsidR="00000000" w:rsidRPr="00000000">
              <w:rPr>
                <w:rtl w:val="0"/>
              </w:rPr>
            </w:r>
          </w:p>
        </w:tc>
        <w:tc>
          <w:tcPr>
            <w:vAlign w:val="bottom"/>
          </w:tcPr>
          <w:p w:rsidR="00000000" w:rsidDel="00000000" w:rsidP="00000000" w:rsidRDefault="00000000" w:rsidRPr="00000000" w14:paraId="0000026E">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color w:val="9c0006"/>
                <w:sz w:val="22"/>
                <w:szCs w:val="22"/>
                <w:rtl w:val="0"/>
              </w:rPr>
              <w:t xml:space="preserve">-0,6%</w:t>
            </w:r>
            <w:r w:rsidDel="00000000" w:rsidR="00000000" w:rsidRPr="00000000">
              <w:rPr>
                <w:rtl w:val="0"/>
              </w:rPr>
            </w:r>
          </w:p>
        </w:tc>
      </w:tr>
      <w:tr>
        <w:trPr>
          <w:cantSplit w:val="0"/>
          <w:trHeight w:val="212" w:hRule="atLeast"/>
          <w:tblHeader w:val="0"/>
        </w:trPr>
        <w:tc>
          <w:tcPr>
            <w:vAlign w:val="bottom"/>
          </w:tcPr>
          <w:p w:rsidR="00000000" w:rsidDel="00000000" w:rsidP="00000000" w:rsidRDefault="00000000" w:rsidRPr="00000000" w14:paraId="0000026F">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Valencia</w:t>
            </w:r>
            <w:r w:rsidDel="00000000" w:rsidR="00000000" w:rsidRPr="00000000">
              <w:rPr>
                <w:rtl w:val="0"/>
              </w:rPr>
            </w:r>
          </w:p>
        </w:tc>
        <w:tc>
          <w:tcPr>
            <w:vAlign w:val="bottom"/>
          </w:tcPr>
          <w:p w:rsidR="00000000" w:rsidDel="00000000" w:rsidP="00000000" w:rsidRDefault="00000000" w:rsidRPr="00000000" w14:paraId="00000270">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Valencia capital</w:t>
            </w:r>
            <w:r w:rsidDel="00000000" w:rsidR="00000000" w:rsidRPr="00000000">
              <w:rPr>
                <w:rtl w:val="0"/>
              </w:rPr>
            </w:r>
          </w:p>
        </w:tc>
        <w:tc>
          <w:tcPr>
            <w:vAlign w:val="bottom"/>
          </w:tcPr>
          <w:p w:rsidR="00000000" w:rsidDel="00000000" w:rsidP="00000000" w:rsidRDefault="00000000" w:rsidRPr="00000000" w14:paraId="00000271">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14,99 €</w:t>
            </w:r>
            <w:r w:rsidDel="00000000" w:rsidR="00000000" w:rsidRPr="00000000">
              <w:rPr>
                <w:rtl w:val="0"/>
              </w:rPr>
            </w:r>
          </w:p>
        </w:tc>
        <w:tc>
          <w:tcPr>
            <w:vAlign w:val="bottom"/>
          </w:tcPr>
          <w:p w:rsidR="00000000" w:rsidDel="00000000" w:rsidP="00000000" w:rsidRDefault="00000000" w:rsidRPr="00000000" w14:paraId="00000272">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1,7%</w:t>
            </w:r>
            <w:r w:rsidDel="00000000" w:rsidR="00000000" w:rsidRPr="00000000">
              <w:rPr>
                <w:rtl w:val="0"/>
              </w:rPr>
            </w:r>
          </w:p>
        </w:tc>
        <w:tc>
          <w:tcPr>
            <w:vAlign w:val="bottom"/>
          </w:tcPr>
          <w:p w:rsidR="00000000" w:rsidDel="00000000" w:rsidP="00000000" w:rsidRDefault="00000000" w:rsidRPr="00000000" w14:paraId="00000273">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color w:val="9c0006"/>
                <w:sz w:val="22"/>
                <w:szCs w:val="22"/>
                <w:rtl w:val="0"/>
              </w:rPr>
              <w:t xml:space="preserve">-2,1%</w:t>
            </w:r>
            <w:r w:rsidDel="00000000" w:rsidR="00000000" w:rsidRPr="00000000">
              <w:rPr>
                <w:rtl w:val="0"/>
              </w:rPr>
            </w:r>
          </w:p>
        </w:tc>
      </w:tr>
      <w:tr>
        <w:trPr>
          <w:cantSplit w:val="0"/>
          <w:trHeight w:val="212" w:hRule="atLeast"/>
          <w:tblHeader w:val="0"/>
        </w:trPr>
        <w:tc>
          <w:tcPr>
            <w:vAlign w:val="bottom"/>
          </w:tcPr>
          <w:p w:rsidR="00000000" w:rsidDel="00000000" w:rsidP="00000000" w:rsidRDefault="00000000" w:rsidRPr="00000000" w14:paraId="00000274">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Lleida</w:t>
            </w:r>
            <w:r w:rsidDel="00000000" w:rsidR="00000000" w:rsidRPr="00000000">
              <w:rPr>
                <w:rtl w:val="0"/>
              </w:rPr>
            </w:r>
          </w:p>
        </w:tc>
        <w:tc>
          <w:tcPr>
            <w:vAlign w:val="bottom"/>
          </w:tcPr>
          <w:p w:rsidR="00000000" w:rsidDel="00000000" w:rsidP="00000000" w:rsidRDefault="00000000" w:rsidRPr="00000000" w14:paraId="00000275">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Lleida capital</w:t>
            </w:r>
            <w:r w:rsidDel="00000000" w:rsidR="00000000" w:rsidRPr="00000000">
              <w:rPr>
                <w:rtl w:val="0"/>
              </w:rPr>
            </w:r>
          </w:p>
        </w:tc>
        <w:tc>
          <w:tcPr>
            <w:vAlign w:val="bottom"/>
          </w:tcPr>
          <w:p w:rsidR="00000000" w:rsidDel="00000000" w:rsidP="00000000" w:rsidRDefault="00000000" w:rsidRPr="00000000" w14:paraId="00000276">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7,79 €</w:t>
            </w:r>
            <w:r w:rsidDel="00000000" w:rsidR="00000000" w:rsidRPr="00000000">
              <w:rPr>
                <w:rtl w:val="0"/>
              </w:rPr>
            </w:r>
          </w:p>
        </w:tc>
        <w:tc>
          <w:tcPr>
            <w:vAlign w:val="bottom"/>
          </w:tcPr>
          <w:p w:rsidR="00000000" w:rsidDel="00000000" w:rsidP="00000000" w:rsidRDefault="00000000" w:rsidRPr="00000000" w14:paraId="00000277">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1,8%</w:t>
            </w:r>
            <w:r w:rsidDel="00000000" w:rsidR="00000000" w:rsidRPr="00000000">
              <w:rPr>
                <w:rtl w:val="0"/>
              </w:rPr>
            </w:r>
          </w:p>
        </w:tc>
        <w:tc>
          <w:tcPr>
            <w:vAlign w:val="bottom"/>
          </w:tcPr>
          <w:p w:rsidR="00000000" w:rsidDel="00000000" w:rsidP="00000000" w:rsidRDefault="00000000" w:rsidRPr="00000000" w14:paraId="00000278">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color w:val="9c0006"/>
                <w:sz w:val="22"/>
                <w:szCs w:val="22"/>
                <w:rtl w:val="0"/>
              </w:rPr>
              <w:t xml:space="preserve">-2,9%</w:t>
            </w:r>
            <w:r w:rsidDel="00000000" w:rsidR="00000000" w:rsidRPr="00000000">
              <w:rPr>
                <w:rtl w:val="0"/>
              </w:rPr>
            </w:r>
          </w:p>
        </w:tc>
      </w:tr>
      <w:tr>
        <w:trPr>
          <w:cantSplit w:val="0"/>
          <w:trHeight w:val="212" w:hRule="atLeast"/>
          <w:tblHeader w:val="0"/>
        </w:trPr>
        <w:tc>
          <w:tcPr>
            <w:vAlign w:val="bottom"/>
          </w:tcPr>
          <w:p w:rsidR="00000000" w:rsidDel="00000000" w:rsidP="00000000" w:rsidRDefault="00000000" w:rsidRPr="00000000" w14:paraId="00000279">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Soria</w:t>
            </w:r>
            <w:r w:rsidDel="00000000" w:rsidR="00000000" w:rsidRPr="00000000">
              <w:rPr>
                <w:rtl w:val="0"/>
              </w:rPr>
            </w:r>
          </w:p>
        </w:tc>
        <w:tc>
          <w:tcPr>
            <w:vAlign w:val="bottom"/>
          </w:tcPr>
          <w:p w:rsidR="00000000" w:rsidDel="00000000" w:rsidP="00000000" w:rsidRDefault="00000000" w:rsidRPr="00000000" w14:paraId="0000027A">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Soria capital</w:t>
            </w:r>
          </w:p>
        </w:tc>
        <w:tc>
          <w:tcPr>
            <w:vAlign w:val="bottom"/>
          </w:tcPr>
          <w:p w:rsidR="00000000" w:rsidDel="00000000" w:rsidP="00000000" w:rsidRDefault="00000000" w:rsidRPr="00000000" w14:paraId="0000027B">
            <w:pPr>
              <w:jc w:val="center"/>
              <w:rPr>
                <w:rFonts w:ascii="Open Sans" w:cs="Open Sans" w:eastAsia="Open Sans" w:hAnsi="Open Sans"/>
                <w:color w:val="9c0006"/>
                <w:sz w:val="22"/>
                <w:szCs w:val="22"/>
              </w:rPr>
            </w:pPr>
            <w:r w:rsidDel="00000000" w:rsidR="00000000" w:rsidRPr="00000000">
              <w:rPr>
                <w:rFonts w:ascii="Open Sans" w:cs="Open Sans" w:eastAsia="Open Sans" w:hAnsi="Open Sans"/>
                <w:sz w:val="22"/>
                <w:szCs w:val="22"/>
                <w:rtl w:val="0"/>
              </w:rPr>
              <w:t xml:space="preserve">9,15 €</w:t>
            </w:r>
            <w:r w:rsidDel="00000000" w:rsidR="00000000" w:rsidRPr="00000000">
              <w:rPr>
                <w:rtl w:val="0"/>
              </w:rPr>
            </w:r>
          </w:p>
        </w:tc>
        <w:tc>
          <w:tcPr>
            <w:vAlign w:val="bottom"/>
          </w:tcPr>
          <w:p w:rsidR="00000000" w:rsidDel="00000000" w:rsidP="00000000" w:rsidRDefault="00000000" w:rsidRPr="00000000" w14:paraId="0000027C">
            <w:pPr>
              <w:jc w:val="center"/>
              <w:rPr>
                <w:rFonts w:ascii="Open Sans" w:cs="Open Sans" w:eastAsia="Open Sans" w:hAnsi="Open Sans"/>
                <w:color w:val="9c0006"/>
                <w:sz w:val="22"/>
                <w:szCs w:val="22"/>
              </w:rPr>
            </w:pPr>
            <w:r w:rsidDel="00000000" w:rsidR="00000000" w:rsidRPr="00000000">
              <w:rPr>
                <w:rFonts w:ascii="Open Sans" w:cs="Open Sans" w:eastAsia="Open Sans" w:hAnsi="Open Sans"/>
                <w:sz w:val="22"/>
                <w:szCs w:val="22"/>
                <w:rtl w:val="0"/>
              </w:rPr>
              <w:t xml:space="preserve">2,9%</w:t>
            </w:r>
            <w:r w:rsidDel="00000000" w:rsidR="00000000" w:rsidRPr="00000000">
              <w:rPr>
                <w:rtl w:val="0"/>
              </w:rPr>
            </w:r>
          </w:p>
        </w:tc>
        <w:tc>
          <w:tcPr>
            <w:vAlign w:val="bottom"/>
          </w:tcPr>
          <w:p w:rsidR="00000000" w:rsidDel="00000000" w:rsidP="00000000" w:rsidRDefault="00000000" w:rsidRPr="00000000" w14:paraId="0000027D">
            <w:pPr>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w:t>
            </w:r>
          </w:p>
        </w:tc>
      </w:tr>
      <w:tr>
        <w:trPr>
          <w:cantSplit w:val="0"/>
          <w:trHeight w:val="212" w:hRule="atLeast"/>
          <w:tblHeader w:val="0"/>
        </w:trPr>
        <w:tc>
          <w:tcPr>
            <w:vAlign w:val="bottom"/>
          </w:tcPr>
          <w:p w:rsidR="00000000" w:rsidDel="00000000" w:rsidP="00000000" w:rsidRDefault="00000000" w:rsidRPr="00000000" w14:paraId="0000027E">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Ávila</w:t>
            </w:r>
            <w:r w:rsidDel="00000000" w:rsidR="00000000" w:rsidRPr="00000000">
              <w:rPr>
                <w:rtl w:val="0"/>
              </w:rPr>
            </w:r>
          </w:p>
        </w:tc>
        <w:tc>
          <w:tcPr>
            <w:vAlign w:val="bottom"/>
          </w:tcPr>
          <w:p w:rsidR="00000000" w:rsidDel="00000000" w:rsidP="00000000" w:rsidRDefault="00000000" w:rsidRPr="00000000" w14:paraId="0000027F">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Ávila capital</w:t>
            </w:r>
          </w:p>
        </w:tc>
        <w:tc>
          <w:tcPr>
            <w:vAlign w:val="bottom"/>
          </w:tcPr>
          <w:p w:rsidR="00000000" w:rsidDel="00000000" w:rsidP="00000000" w:rsidRDefault="00000000" w:rsidRPr="00000000" w14:paraId="00000280">
            <w:pPr>
              <w:jc w:val="center"/>
              <w:rPr>
                <w:rFonts w:ascii="Open Sans" w:cs="Open Sans" w:eastAsia="Open Sans" w:hAnsi="Open Sans"/>
                <w:color w:val="9c0006"/>
                <w:sz w:val="22"/>
                <w:szCs w:val="22"/>
              </w:rPr>
            </w:pPr>
            <w:r w:rsidDel="00000000" w:rsidR="00000000" w:rsidRPr="00000000">
              <w:rPr>
                <w:rFonts w:ascii="Open Sans" w:cs="Open Sans" w:eastAsia="Open Sans" w:hAnsi="Open Sans"/>
                <w:sz w:val="22"/>
                <w:szCs w:val="22"/>
                <w:rtl w:val="0"/>
              </w:rPr>
              <w:t xml:space="preserve">8,65 €</w:t>
            </w:r>
            <w:r w:rsidDel="00000000" w:rsidR="00000000" w:rsidRPr="00000000">
              <w:rPr>
                <w:rtl w:val="0"/>
              </w:rPr>
            </w:r>
          </w:p>
        </w:tc>
        <w:tc>
          <w:tcPr>
            <w:vAlign w:val="bottom"/>
          </w:tcPr>
          <w:p w:rsidR="00000000" w:rsidDel="00000000" w:rsidP="00000000" w:rsidRDefault="00000000" w:rsidRPr="00000000" w14:paraId="00000281">
            <w:pPr>
              <w:jc w:val="center"/>
              <w:rPr>
                <w:rFonts w:ascii="Open Sans" w:cs="Open Sans" w:eastAsia="Open Sans" w:hAnsi="Open Sans"/>
                <w:color w:val="9c0006"/>
                <w:sz w:val="22"/>
                <w:szCs w:val="22"/>
              </w:rPr>
            </w:pPr>
            <w:r w:rsidDel="00000000" w:rsidR="00000000" w:rsidRPr="00000000">
              <w:rPr>
                <w:rFonts w:ascii="Open Sans" w:cs="Open Sans" w:eastAsia="Open Sans" w:hAnsi="Open Sans"/>
                <w:sz w:val="22"/>
                <w:szCs w:val="22"/>
                <w:rtl w:val="0"/>
              </w:rPr>
              <w:t xml:space="preserve">2,7%</w:t>
            </w:r>
            <w:r w:rsidDel="00000000" w:rsidR="00000000" w:rsidRPr="00000000">
              <w:rPr>
                <w:rtl w:val="0"/>
              </w:rPr>
            </w:r>
          </w:p>
        </w:tc>
        <w:tc>
          <w:tcPr/>
          <w:p w:rsidR="00000000" w:rsidDel="00000000" w:rsidP="00000000" w:rsidRDefault="00000000" w:rsidRPr="00000000" w14:paraId="00000282">
            <w:pPr>
              <w:jc w:val="center"/>
              <w:rPr>
                <w:rFonts w:ascii="Open Sans" w:cs="Open Sans" w:eastAsia="Open Sans" w:hAnsi="Open Sans"/>
                <w:b w:val="1"/>
                <w:sz w:val="22"/>
                <w:szCs w:val="22"/>
              </w:rPr>
            </w:pPr>
            <w:r w:rsidDel="00000000" w:rsidR="00000000" w:rsidRPr="00000000">
              <w:rPr>
                <w:rFonts w:ascii="Open Sans" w:cs="Open Sans" w:eastAsia="Open Sans" w:hAnsi="Open Sans"/>
                <w:sz w:val="22"/>
                <w:szCs w:val="22"/>
                <w:rtl w:val="0"/>
              </w:rPr>
              <w:t xml:space="preserve">-</w:t>
            </w:r>
            <w:r w:rsidDel="00000000" w:rsidR="00000000" w:rsidRPr="00000000">
              <w:rPr>
                <w:rtl w:val="0"/>
              </w:rPr>
            </w:r>
          </w:p>
        </w:tc>
      </w:tr>
      <w:tr>
        <w:trPr>
          <w:cantSplit w:val="0"/>
          <w:trHeight w:val="212" w:hRule="atLeast"/>
          <w:tblHeader w:val="0"/>
        </w:trPr>
        <w:tc>
          <w:tcPr>
            <w:vAlign w:val="bottom"/>
          </w:tcPr>
          <w:p w:rsidR="00000000" w:rsidDel="00000000" w:rsidP="00000000" w:rsidRDefault="00000000" w:rsidRPr="00000000" w14:paraId="00000283">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Zamora</w:t>
            </w:r>
            <w:r w:rsidDel="00000000" w:rsidR="00000000" w:rsidRPr="00000000">
              <w:rPr>
                <w:rtl w:val="0"/>
              </w:rPr>
            </w:r>
          </w:p>
        </w:tc>
        <w:tc>
          <w:tcPr>
            <w:vAlign w:val="bottom"/>
          </w:tcPr>
          <w:p w:rsidR="00000000" w:rsidDel="00000000" w:rsidP="00000000" w:rsidRDefault="00000000" w:rsidRPr="00000000" w14:paraId="00000284">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Zamora capital</w:t>
            </w:r>
          </w:p>
        </w:tc>
        <w:tc>
          <w:tcPr>
            <w:vAlign w:val="bottom"/>
          </w:tcPr>
          <w:p w:rsidR="00000000" w:rsidDel="00000000" w:rsidP="00000000" w:rsidRDefault="00000000" w:rsidRPr="00000000" w14:paraId="00000285">
            <w:pPr>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7,58 €</w:t>
            </w:r>
          </w:p>
        </w:tc>
        <w:tc>
          <w:tcPr>
            <w:vAlign w:val="bottom"/>
          </w:tcPr>
          <w:p w:rsidR="00000000" w:rsidDel="00000000" w:rsidP="00000000" w:rsidRDefault="00000000" w:rsidRPr="00000000" w14:paraId="00000286">
            <w:pPr>
              <w:jc w:val="center"/>
              <w:rPr>
                <w:rFonts w:ascii="Open Sans" w:cs="Open Sans" w:eastAsia="Open Sans" w:hAnsi="Open Sans"/>
                <w:sz w:val="22"/>
                <w:szCs w:val="22"/>
              </w:rPr>
            </w:pPr>
            <w:r w:rsidDel="00000000" w:rsidR="00000000" w:rsidRPr="00000000">
              <w:rPr>
                <w:rFonts w:ascii="Open Sans" w:cs="Open Sans" w:eastAsia="Open Sans" w:hAnsi="Open Sans"/>
                <w:color w:val="9c0006"/>
                <w:sz w:val="22"/>
                <w:szCs w:val="22"/>
                <w:rtl w:val="0"/>
              </w:rPr>
              <w:t xml:space="preserve">-11,6%</w:t>
            </w:r>
            <w:r w:rsidDel="00000000" w:rsidR="00000000" w:rsidRPr="00000000">
              <w:rPr>
                <w:rtl w:val="0"/>
              </w:rPr>
            </w:r>
          </w:p>
        </w:tc>
        <w:tc>
          <w:tcPr/>
          <w:p w:rsidR="00000000" w:rsidDel="00000000" w:rsidP="00000000" w:rsidRDefault="00000000" w:rsidRPr="00000000" w14:paraId="00000287">
            <w:pPr>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w:t>
            </w:r>
          </w:p>
        </w:tc>
      </w:tr>
    </w:tbl>
    <w:p w:rsidR="00000000" w:rsidDel="00000000" w:rsidP="00000000" w:rsidRDefault="00000000" w:rsidRPr="00000000" w14:paraId="00000288">
      <w:pPr>
        <w:spacing w:line="276" w:lineRule="auto"/>
        <w:ind w:right="-567"/>
        <w:jc w:val="both"/>
        <w:rPr>
          <w:rFonts w:ascii="Open Sans" w:cs="Open Sans" w:eastAsia="Open Sans" w:hAnsi="Open Sans"/>
          <w:color w:val="000000"/>
        </w:rPr>
      </w:pPr>
      <w:r w:rsidDel="00000000" w:rsidR="00000000" w:rsidRPr="00000000">
        <w:rPr>
          <w:rtl w:val="0"/>
        </w:rPr>
      </w:r>
    </w:p>
    <w:p w:rsidR="00000000" w:rsidDel="00000000" w:rsidP="00000000" w:rsidRDefault="00000000" w:rsidRPr="00000000" w14:paraId="00000289">
      <w:pPr>
        <w:spacing w:line="276" w:lineRule="auto"/>
        <w:ind w:right="-567"/>
        <w:rPr>
          <w:rFonts w:ascii="Open Sans Light" w:cs="Open Sans Light" w:eastAsia="Open Sans Light" w:hAnsi="Open Sans Light"/>
          <w:b w:val="1"/>
          <w:color w:val="303ab2"/>
          <w:sz w:val="28"/>
          <w:szCs w:val="28"/>
        </w:rPr>
      </w:pPr>
      <w:r w:rsidDel="00000000" w:rsidR="00000000" w:rsidRPr="00000000">
        <w:rPr>
          <w:rtl w:val="0"/>
        </w:rPr>
      </w:r>
    </w:p>
    <w:p w:rsidR="00000000" w:rsidDel="00000000" w:rsidP="00000000" w:rsidRDefault="00000000" w:rsidRPr="00000000" w14:paraId="0000028A">
      <w:pPr>
        <w:spacing w:line="276" w:lineRule="auto"/>
        <w:ind w:right="-567"/>
        <w:rPr>
          <w:rFonts w:ascii="Open Sans Light" w:cs="Open Sans Light" w:eastAsia="Open Sans Light" w:hAnsi="Open Sans Light"/>
          <w:b w:val="1"/>
          <w:color w:val="303ab2"/>
          <w:sz w:val="28"/>
          <w:szCs w:val="28"/>
        </w:rPr>
      </w:pPr>
      <w:r w:rsidDel="00000000" w:rsidR="00000000" w:rsidRPr="00000000">
        <w:rPr>
          <w:rtl w:val="0"/>
        </w:rPr>
      </w:r>
    </w:p>
    <w:p w:rsidR="00000000" w:rsidDel="00000000" w:rsidP="00000000" w:rsidRDefault="00000000" w:rsidRPr="00000000" w14:paraId="0000028B">
      <w:pPr>
        <w:spacing w:line="276" w:lineRule="auto"/>
        <w:ind w:right="-567"/>
        <w:rPr>
          <w:rFonts w:ascii="Open Sans Light" w:cs="Open Sans Light" w:eastAsia="Open Sans Light" w:hAnsi="Open Sans Light"/>
          <w:b w:val="1"/>
          <w:color w:val="303ab2"/>
          <w:sz w:val="28"/>
          <w:szCs w:val="28"/>
        </w:rPr>
      </w:pPr>
      <w:r w:rsidDel="00000000" w:rsidR="00000000" w:rsidRPr="00000000">
        <w:rPr>
          <w:rtl w:val="0"/>
        </w:rPr>
      </w:r>
    </w:p>
    <w:p w:rsidR="00000000" w:rsidDel="00000000" w:rsidP="00000000" w:rsidRDefault="00000000" w:rsidRPr="00000000" w14:paraId="0000028C">
      <w:pPr>
        <w:spacing w:line="276" w:lineRule="auto"/>
        <w:ind w:right="-567"/>
        <w:rPr>
          <w:rFonts w:ascii="Open Sans Light" w:cs="Open Sans Light" w:eastAsia="Open Sans Light" w:hAnsi="Open Sans Light"/>
          <w:b w:val="1"/>
          <w:color w:val="303ab2"/>
          <w:sz w:val="28"/>
          <w:szCs w:val="28"/>
        </w:rPr>
      </w:pPr>
      <w:r w:rsidDel="00000000" w:rsidR="00000000" w:rsidRPr="00000000">
        <w:rPr>
          <w:rFonts w:ascii="Open Sans Light" w:cs="Open Sans Light" w:eastAsia="Open Sans Light" w:hAnsi="Open Sans Light"/>
          <w:b w:val="1"/>
          <w:color w:val="303ab2"/>
          <w:sz w:val="28"/>
          <w:szCs w:val="28"/>
          <w:rtl w:val="0"/>
        </w:rPr>
        <w:t xml:space="preserve">Municipios</w:t>
      </w:r>
    </w:p>
    <w:p w:rsidR="00000000" w:rsidDel="00000000" w:rsidP="00000000" w:rsidRDefault="00000000" w:rsidRPr="00000000" w14:paraId="0000028D">
      <w:pPr>
        <w:spacing w:line="276" w:lineRule="auto"/>
        <w:ind w:right="-567"/>
        <w:jc w:val="both"/>
        <w:rPr>
          <w:rFonts w:ascii="Open Sans" w:cs="Open Sans" w:eastAsia="Open Sans" w:hAnsi="Open Sans"/>
          <w:color w:val="000000"/>
        </w:rPr>
      </w:pPr>
      <w:r w:rsidDel="00000000" w:rsidR="00000000" w:rsidRPr="00000000">
        <w:rPr>
          <w:rtl w:val="0"/>
        </w:rPr>
      </w:r>
    </w:p>
    <w:p w:rsidR="00000000" w:rsidDel="00000000" w:rsidP="00000000" w:rsidRDefault="00000000" w:rsidRPr="00000000" w14:paraId="0000028E">
      <w:pPr>
        <w:spacing w:line="276" w:lineRule="auto"/>
        <w:ind w:right="-567"/>
        <w:jc w:val="both"/>
        <w:rPr>
          <w:rFonts w:ascii="Open Sans" w:cs="Open Sans" w:eastAsia="Open Sans" w:hAnsi="Open Sans"/>
          <w:color w:val="000000"/>
        </w:rPr>
      </w:pPr>
      <w:r w:rsidDel="00000000" w:rsidR="00000000" w:rsidRPr="00000000">
        <w:rPr>
          <w:rFonts w:ascii="Open Sans" w:cs="Open Sans" w:eastAsia="Open Sans" w:hAnsi="Open Sans"/>
          <w:b w:val="1"/>
          <w:color w:val="000000"/>
          <w:rtl w:val="0"/>
        </w:rPr>
        <w:t xml:space="preserve">En el 91% de los 122 municipios analizados con variación interanual el precio de las viviendas en alquiler se ha incrementado respecto al año anterior</w:t>
      </w:r>
      <w:r w:rsidDel="00000000" w:rsidR="00000000" w:rsidRPr="00000000">
        <w:rPr>
          <w:rFonts w:ascii="Open Sans" w:cs="Open Sans" w:eastAsia="Open Sans" w:hAnsi="Open Sans"/>
          <w:color w:val="000000"/>
          <w:rtl w:val="0"/>
        </w:rPr>
        <w:t xml:space="preserve">. La ciudad de El Ejido es la que más incrementos acumula en noviembre con un 43,1%. Le siguen las ciudades con incrementos superiores al 15% en un año y son: Águilas (39,0%), Getafe (34,9%), Punta Umbría (31,6%), Ciudad Real capital (31,5%), Terrassa (29,5%), Avilés (26,9%), Sagunto / Sagunt (25,8%), Zamora capital (23,2%), Sanxenxo (22,6%), Manresa (21,7%), Palencia capital (21,2%), Ayamonte (20,7%), Badalona (19,8%), Sabadell (18,8%), Ronda (18,6%), Castellón de la Plana / Castelló de la Plana (17,5%), Segovia capital (17,0%), Sevilla capital (16,6%), Madrid capital (16,2%), Vic (16,1%) y Oviedo (15,5%).</w:t>
      </w:r>
    </w:p>
    <w:p w:rsidR="00000000" w:rsidDel="00000000" w:rsidP="00000000" w:rsidRDefault="00000000" w:rsidRPr="00000000" w14:paraId="0000028F">
      <w:pPr>
        <w:spacing w:line="276" w:lineRule="auto"/>
        <w:ind w:right="-567"/>
        <w:jc w:val="both"/>
        <w:rPr>
          <w:rFonts w:ascii="Open Sans" w:cs="Open Sans" w:eastAsia="Open Sans" w:hAnsi="Open Sans"/>
          <w:color w:val="000000"/>
        </w:rPr>
      </w:pPr>
      <w:r w:rsidDel="00000000" w:rsidR="00000000" w:rsidRPr="00000000">
        <w:rPr>
          <w:rtl w:val="0"/>
        </w:rPr>
      </w:r>
    </w:p>
    <w:p w:rsidR="00000000" w:rsidDel="00000000" w:rsidP="00000000" w:rsidRDefault="00000000" w:rsidRPr="00000000" w14:paraId="00000290">
      <w:pPr>
        <w:spacing w:line="276" w:lineRule="auto"/>
        <w:ind w:right="-567"/>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En cuanto al precio por metro cuadrado en noviembre, vemos que </w:t>
      </w:r>
      <w:r w:rsidDel="00000000" w:rsidR="00000000" w:rsidRPr="00000000">
        <w:rPr>
          <w:rFonts w:ascii="Open Sans" w:cs="Open Sans" w:eastAsia="Open Sans" w:hAnsi="Open Sans"/>
          <w:b w:val="1"/>
          <w:color w:val="000000"/>
          <w:rtl w:val="0"/>
        </w:rPr>
        <w:t xml:space="preserve">el 19% de los municipios sobrepasan los 15,00 €/m</w:t>
      </w:r>
      <w:r w:rsidDel="00000000" w:rsidR="00000000" w:rsidRPr="00000000">
        <w:rPr>
          <w:rFonts w:ascii="Open Sans" w:cs="Open Sans" w:eastAsia="Open Sans" w:hAnsi="Open Sans"/>
          <w:b w:val="1"/>
          <w:color w:val="000000"/>
          <w:vertAlign w:val="superscript"/>
          <w:rtl w:val="0"/>
        </w:rPr>
        <w:t xml:space="preserve">2 </w:t>
      </w:r>
      <w:r w:rsidDel="00000000" w:rsidR="00000000" w:rsidRPr="00000000">
        <w:rPr>
          <w:rFonts w:ascii="Open Sans" w:cs="Open Sans" w:eastAsia="Open Sans" w:hAnsi="Open Sans"/>
          <w:b w:val="1"/>
          <w:color w:val="000000"/>
          <w:rtl w:val="0"/>
        </w:rPr>
        <w:t xml:space="preserve">al mes</w:t>
      </w:r>
      <w:r w:rsidDel="00000000" w:rsidR="00000000" w:rsidRPr="00000000">
        <w:rPr>
          <w:rFonts w:ascii="Open Sans" w:cs="Open Sans" w:eastAsia="Open Sans" w:hAnsi="Open Sans"/>
          <w:color w:val="000000"/>
          <w:rtl w:val="0"/>
        </w:rPr>
        <w:t xml:space="preserve"> y los diez con mayor precio son:</w:t>
      </w:r>
      <w:r w:rsidDel="00000000" w:rsidR="00000000" w:rsidRPr="00000000">
        <w:rPr>
          <w:rtl w:val="0"/>
        </w:rPr>
        <w:t xml:space="preserve"> </w:t>
      </w:r>
      <w:r w:rsidDel="00000000" w:rsidR="00000000" w:rsidRPr="00000000">
        <w:rPr>
          <w:rFonts w:ascii="Open Sans" w:cs="Open Sans" w:eastAsia="Open Sans" w:hAnsi="Open Sans"/>
          <w:color w:val="000000"/>
          <w:rtl w:val="0"/>
        </w:rPr>
        <w:t xml:space="preserve">Esplugues de Llobregat con 25,39 €/m</w:t>
      </w:r>
      <w:r w:rsidDel="00000000" w:rsidR="00000000" w:rsidRPr="00000000">
        <w:rPr>
          <w:rFonts w:ascii="Open Sans" w:cs="Open Sans" w:eastAsia="Open Sans" w:hAnsi="Open Sans"/>
          <w:color w:val="000000"/>
          <w:vertAlign w:val="superscript"/>
          <w:rtl w:val="0"/>
        </w:rPr>
        <w:t xml:space="preserve">2 </w:t>
      </w:r>
      <w:r w:rsidDel="00000000" w:rsidR="00000000" w:rsidRPr="00000000">
        <w:rPr>
          <w:rFonts w:ascii="Open Sans" w:cs="Open Sans" w:eastAsia="Open Sans" w:hAnsi="Open Sans"/>
          <w:color w:val="000000"/>
          <w:rtl w:val="0"/>
        </w:rPr>
        <w:t xml:space="preserve">al mes, Calvià con 22,82 €/m</w:t>
      </w:r>
      <w:r w:rsidDel="00000000" w:rsidR="00000000" w:rsidRPr="00000000">
        <w:rPr>
          <w:rFonts w:ascii="Open Sans" w:cs="Open Sans" w:eastAsia="Open Sans" w:hAnsi="Open Sans"/>
          <w:color w:val="000000"/>
          <w:vertAlign w:val="superscript"/>
          <w:rtl w:val="0"/>
        </w:rPr>
        <w:t xml:space="preserve">2 </w:t>
      </w:r>
      <w:r w:rsidDel="00000000" w:rsidR="00000000" w:rsidRPr="00000000">
        <w:rPr>
          <w:rFonts w:ascii="Open Sans" w:cs="Open Sans" w:eastAsia="Open Sans" w:hAnsi="Open Sans"/>
          <w:color w:val="000000"/>
          <w:rtl w:val="0"/>
        </w:rPr>
        <w:t xml:space="preserve">al mes, Barcelona capital con 22,82 €/m</w:t>
      </w:r>
      <w:r w:rsidDel="00000000" w:rsidR="00000000" w:rsidRPr="00000000">
        <w:rPr>
          <w:rFonts w:ascii="Open Sans" w:cs="Open Sans" w:eastAsia="Open Sans" w:hAnsi="Open Sans"/>
          <w:color w:val="000000"/>
          <w:vertAlign w:val="superscript"/>
          <w:rtl w:val="0"/>
        </w:rPr>
        <w:t xml:space="preserve">2 </w:t>
      </w:r>
      <w:r w:rsidDel="00000000" w:rsidR="00000000" w:rsidRPr="00000000">
        <w:rPr>
          <w:rFonts w:ascii="Open Sans" w:cs="Open Sans" w:eastAsia="Open Sans" w:hAnsi="Open Sans"/>
          <w:color w:val="000000"/>
          <w:rtl w:val="0"/>
        </w:rPr>
        <w:t xml:space="preserve">al mes, Madrid capital con 21,83 €/m</w:t>
      </w:r>
      <w:r w:rsidDel="00000000" w:rsidR="00000000" w:rsidRPr="00000000">
        <w:rPr>
          <w:rFonts w:ascii="Open Sans" w:cs="Open Sans" w:eastAsia="Open Sans" w:hAnsi="Open Sans"/>
          <w:color w:val="000000"/>
          <w:vertAlign w:val="superscript"/>
          <w:rtl w:val="0"/>
        </w:rPr>
        <w:t xml:space="preserve">2 </w:t>
      </w:r>
      <w:r w:rsidDel="00000000" w:rsidR="00000000" w:rsidRPr="00000000">
        <w:rPr>
          <w:rFonts w:ascii="Open Sans" w:cs="Open Sans" w:eastAsia="Open Sans" w:hAnsi="Open Sans"/>
          <w:color w:val="000000"/>
          <w:rtl w:val="0"/>
        </w:rPr>
        <w:t xml:space="preserve">al mes, Santa Eulària des Riu con 20,86 €/m</w:t>
      </w:r>
      <w:r w:rsidDel="00000000" w:rsidR="00000000" w:rsidRPr="00000000">
        <w:rPr>
          <w:rFonts w:ascii="Open Sans" w:cs="Open Sans" w:eastAsia="Open Sans" w:hAnsi="Open Sans"/>
          <w:color w:val="000000"/>
          <w:vertAlign w:val="superscript"/>
          <w:rtl w:val="0"/>
        </w:rPr>
        <w:t xml:space="preserve">2 </w:t>
      </w:r>
      <w:r w:rsidDel="00000000" w:rsidR="00000000" w:rsidRPr="00000000">
        <w:rPr>
          <w:rFonts w:ascii="Open Sans" w:cs="Open Sans" w:eastAsia="Open Sans" w:hAnsi="Open Sans"/>
          <w:color w:val="000000"/>
          <w:rtl w:val="0"/>
        </w:rPr>
        <w:t xml:space="preserve">al mes, San Bartolomé de Tirajana con 20,73 €/m</w:t>
      </w:r>
      <w:r w:rsidDel="00000000" w:rsidR="00000000" w:rsidRPr="00000000">
        <w:rPr>
          <w:rFonts w:ascii="Open Sans" w:cs="Open Sans" w:eastAsia="Open Sans" w:hAnsi="Open Sans"/>
          <w:color w:val="000000"/>
          <w:vertAlign w:val="superscript"/>
          <w:rtl w:val="0"/>
        </w:rPr>
        <w:t xml:space="preserve">2 </w:t>
      </w:r>
      <w:r w:rsidDel="00000000" w:rsidR="00000000" w:rsidRPr="00000000">
        <w:rPr>
          <w:rFonts w:ascii="Open Sans" w:cs="Open Sans" w:eastAsia="Open Sans" w:hAnsi="Open Sans"/>
          <w:color w:val="000000"/>
          <w:rtl w:val="0"/>
        </w:rPr>
        <w:t xml:space="preserve">al mes, Gavà con 20,67 €/m</w:t>
      </w:r>
      <w:r w:rsidDel="00000000" w:rsidR="00000000" w:rsidRPr="00000000">
        <w:rPr>
          <w:rFonts w:ascii="Open Sans" w:cs="Open Sans" w:eastAsia="Open Sans" w:hAnsi="Open Sans"/>
          <w:color w:val="000000"/>
          <w:vertAlign w:val="superscript"/>
          <w:rtl w:val="0"/>
        </w:rPr>
        <w:t xml:space="preserve">2 </w:t>
      </w:r>
      <w:r w:rsidDel="00000000" w:rsidR="00000000" w:rsidRPr="00000000">
        <w:rPr>
          <w:rFonts w:ascii="Open Sans" w:cs="Open Sans" w:eastAsia="Open Sans" w:hAnsi="Open Sans"/>
          <w:color w:val="000000"/>
          <w:rtl w:val="0"/>
        </w:rPr>
        <w:t xml:space="preserve">al mes, Donostia - San Sebastián con 20,44 €/m</w:t>
      </w:r>
      <w:r w:rsidDel="00000000" w:rsidR="00000000" w:rsidRPr="00000000">
        <w:rPr>
          <w:rFonts w:ascii="Open Sans" w:cs="Open Sans" w:eastAsia="Open Sans" w:hAnsi="Open Sans"/>
          <w:color w:val="000000"/>
          <w:vertAlign w:val="superscript"/>
          <w:rtl w:val="0"/>
        </w:rPr>
        <w:t xml:space="preserve">2 </w:t>
      </w:r>
      <w:r w:rsidDel="00000000" w:rsidR="00000000" w:rsidRPr="00000000">
        <w:rPr>
          <w:rFonts w:ascii="Open Sans" w:cs="Open Sans" w:eastAsia="Open Sans" w:hAnsi="Open Sans"/>
          <w:color w:val="000000"/>
          <w:rtl w:val="0"/>
        </w:rPr>
        <w:t xml:space="preserve">al mes, L'Hospitalet de Llobregat con 20,23 €/m</w:t>
      </w:r>
      <w:r w:rsidDel="00000000" w:rsidR="00000000" w:rsidRPr="00000000">
        <w:rPr>
          <w:rFonts w:ascii="Open Sans" w:cs="Open Sans" w:eastAsia="Open Sans" w:hAnsi="Open Sans"/>
          <w:color w:val="000000"/>
          <w:vertAlign w:val="superscript"/>
          <w:rtl w:val="0"/>
        </w:rPr>
        <w:t xml:space="preserve">2 </w:t>
      </w:r>
      <w:r w:rsidDel="00000000" w:rsidR="00000000" w:rsidRPr="00000000">
        <w:rPr>
          <w:rFonts w:ascii="Open Sans" w:cs="Open Sans" w:eastAsia="Open Sans" w:hAnsi="Open Sans"/>
          <w:color w:val="000000"/>
          <w:rtl w:val="0"/>
        </w:rPr>
        <w:t xml:space="preserve">al mes y La Moraleja con 19,91 €/m</w:t>
      </w:r>
      <w:r w:rsidDel="00000000" w:rsidR="00000000" w:rsidRPr="00000000">
        <w:rPr>
          <w:rFonts w:ascii="Open Sans" w:cs="Open Sans" w:eastAsia="Open Sans" w:hAnsi="Open Sans"/>
          <w:color w:val="000000"/>
          <w:vertAlign w:val="superscript"/>
          <w:rtl w:val="0"/>
        </w:rPr>
        <w:t xml:space="preserve">2 </w:t>
      </w:r>
      <w:r w:rsidDel="00000000" w:rsidR="00000000" w:rsidRPr="00000000">
        <w:rPr>
          <w:rFonts w:ascii="Open Sans" w:cs="Open Sans" w:eastAsia="Open Sans" w:hAnsi="Open Sans"/>
          <w:color w:val="000000"/>
          <w:rtl w:val="0"/>
        </w:rPr>
        <w:t xml:space="preserve">al mes.</w:t>
      </w:r>
    </w:p>
    <w:p w:rsidR="00000000" w:rsidDel="00000000" w:rsidP="00000000" w:rsidRDefault="00000000" w:rsidRPr="00000000" w14:paraId="00000291">
      <w:pPr>
        <w:spacing w:line="276" w:lineRule="auto"/>
        <w:ind w:right="-567"/>
        <w:jc w:val="both"/>
        <w:rPr/>
      </w:pPr>
      <w:r w:rsidDel="00000000" w:rsidR="00000000" w:rsidRPr="00000000">
        <w:rPr>
          <w:rtl w:val="0"/>
        </w:rPr>
      </w:r>
    </w:p>
    <w:p w:rsidR="00000000" w:rsidDel="00000000" w:rsidP="00000000" w:rsidRDefault="00000000" w:rsidRPr="00000000" w14:paraId="00000292">
      <w:pPr>
        <w:spacing w:line="276" w:lineRule="auto"/>
        <w:ind w:right="-567"/>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Por otro lado, las diez ciudades en donde el precio del </w:t>
      </w:r>
      <w:r w:rsidDel="00000000" w:rsidR="00000000" w:rsidRPr="00000000">
        <w:rPr>
          <w:rFonts w:ascii="Open Sans" w:cs="Open Sans" w:eastAsia="Open Sans" w:hAnsi="Open Sans"/>
          <w:b w:val="1"/>
          <w:color w:val="000000"/>
          <w:rtl w:val="0"/>
        </w:rPr>
        <w:t xml:space="preserve">alquiler por metro cuadrado más económico es: Martos con 4,85 €/m</w:t>
      </w:r>
      <w:r w:rsidDel="00000000" w:rsidR="00000000" w:rsidRPr="00000000">
        <w:rPr>
          <w:rFonts w:ascii="Open Sans" w:cs="Open Sans" w:eastAsia="Open Sans" w:hAnsi="Open Sans"/>
          <w:b w:val="1"/>
          <w:color w:val="000000"/>
          <w:vertAlign w:val="superscript"/>
          <w:rtl w:val="0"/>
        </w:rPr>
        <w:t xml:space="preserve">2 </w:t>
      </w:r>
      <w:r w:rsidDel="00000000" w:rsidR="00000000" w:rsidRPr="00000000">
        <w:rPr>
          <w:rFonts w:ascii="Open Sans" w:cs="Open Sans" w:eastAsia="Open Sans" w:hAnsi="Open Sans"/>
          <w:b w:val="1"/>
          <w:color w:val="000000"/>
          <w:rtl w:val="0"/>
        </w:rPr>
        <w:t xml:space="preserve">al mes, </w:t>
      </w:r>
      <w:r w:rsidDel="00000000" w:rsidR="00000000" w:rsidRPr="00000000">
        <w:rPr>
          <w:rFonts w:ascii="Open Sans" w:cs="Open Sans" w:eastAsia="Open Sans" w:hAnsi="Open Sans"/>
          <w:color w:val="000000"/>
          <w:rtl w:val="0"/>
        </w:rPr>
        <w:t xml:space="preserve">Baeza con 5,01 €/m</w:t>
      </w:r>
      <w:r w:rsidDel="00000000" w:rsidR="00000000" w:rsidRPr="00000000">
        <w:rPr>
          <w:rFonts w:ascii="Open Sans" w:cs="Open Sans" w:eastAsia="Open Sans" w:hAnsi="Open Sans"/>
          <w:color w:val="000000"/>
          <w:vertAlign w:val="superscript"/>
          <w:rtl w:val="0"/>
        </w:rPr>
        <w:t xml:space="preserve">2 </w:t>
      </w:r>
      <w:r w:rsidDel="00000000" w:rsidR="00000000" w:rsidRPr="00000000">
        <w:rPr>
          <w:rFonts w:ascii="Open Sans" w:cs="Open Sans" w:eastAsia="Open Sans" w:hAnsi="Open Sans"/>
          <w:color w:val="000000"/>
          <w:rtl w:val="0"/>
        </w:rPr>
        <w:t xml:space="preserve">al mes, Andújar con 5,13 €/m</w:t>
      </w:r>
      <w:r w:rsidDel="00000000" w:rsidR="00000000" w:rsidRPr="00000000">
        <w:rPr>
          <w:rFonts w:ascii="Open Sans" w:cs="Open Sans" w:eastAsia="Open Sans" w:hAnsi="Open Sans"/>
          <w:color w:val="000000"/>
          <w:vertAlign w:val="superscript"/>
          <w:rtl w:val="0"/>
        </w:rPr>
        <w:t xml:space="preserve">2 </w:t>
      </w:r>
      <w:r w:rsidDel="00000000" w:rsidR="00000000" w:rsidRPr="00000000">
        <w:rPr>
          <w:rFonts w:ascii="Open Sans" w:cs="Open Sans" w:eastAsia="Open Sans" w:hAnsi="Open Sans"/>
          <w:color w:val="000000"/>
          <w:rtl w:val="0"/>
        </w:rPr>
        <w:t xml:space="preserve">al mes, Almendralejo con 5,15 €/m</w:t>
      </w:r>
      <w:r w:rsidDel="00000000" w:rsidR="00000000" w:rsidRPr="00000000">
        <w:rPr>
          <w:rFonts w:ascii="Open Sans" w:cs="Open Sans" w:eastAsia="Open Sans" w:hAnsi="Open Sans"/>
          <w:color w:val="000000"/>
          <w:vertAlign w:val="superscript"/>
          <w:rtl w:val="0"/>
        </w:rPr>
        <w:t xml:space="preserve">2 </w:t>
      </w:r>
      <w:r w:rsidDel="00000000" w:rsidR="00000000" w:rsidRPr="00000000">
        <w:rPr>
          <w:rFonts w:ascii="Open Sans" w:cs="Open Sans" w:eastAsia="Open Sans" w:hAnsi="Open Sans"/>
          <w:color w:val="000000"/>
          <w:rtl w:val="0"/>
        </w:rPr>
        <w:t xml:space="preserve">al mes, Puertollano con 5,27 €/m</w:t>
      </w:r>
      <w:r w:rsidDel="00000000" w:rsidR="00000000" w:rsidRPr="00000000">
        <w:rPr>
          <w:rFonts w:ascii="Open Sans" w:cs="Open Sans" w:eastAsia="Open Sans" w:hAnsi="Open Sans"/>
          <w:color w:val="000000"/>
          <w:vertAlign w:val="superscript"/>
          <w:rtl w:val="0"/>
        </w:rPr>
        <w:t xml:space="preserve">2 </w:t>
      </w:r>
      <w:r w:rsidDel="00000000" w:rsidR="00000000" w:rsidRPr="00000000">
        <w:rPr>
          <w:rFonts w:ascii="Open Sans" w:cs="Open Sans" w:eastAsia="Open Sans" w:hAnsi="Open Sans"/>
          <w:color w:val="000000"/>
          <w:rtl w:val="0"/>
        </w:rPr>
        <w:t xml:space="preserve">al mes, Valdepeñas con 5,38 €/m</w:t>
      </w:r>
      <w:r w:rsidDel="00000000" w:rsidR="00000000" w:rsidRPr="00000000">
        <w:rPr>
          <w:rFonts w:ascii="Open Sans" w:cs="Open Sans" w:eastAsia="Open Sans" w:hAnsi="Open Sans"/>
          <w:color w:val="000000"/>
          <w:vertAlign w:val="superscript"/>
          <w:rtl w:val="0"/>
        </w:rPr>
        <w:t xml:space="preserve">2 </w:t>
      </w:r>
      <w:r w:rsidDel="00000000" w:rsidR="00000000" w:rsidRPr="00000000">
        <w:rPr>
          <w:rFonts w:ascii="Open Sans" w:cs="Open Sans" w:eastAsia="Open Sans" w:hAnsi="Open Sans"/>
          <w:color w:val="000000"/>
          <w:rtl w:val="0"/>
        </w:rPr>
        <w:t xml:space="preserve">al mes, Albox con 5,68 €/m</w:t>
      </w:r>
      <w:r w:rsidDel="00000000" w:rsidR="00000000" w:rsidRPr="00000000">
        <w:rPr>
          <w:rFonts w:ascii="Open Sans" w:cs="Open Sans" w:eastAsia="Open Sans" w:hAnsi="Open Sans"/>
          <w:color w:val="000000"/>
          <w:vertAlign w:val="superscript"/>
          <w:rtl w:val="0"/>
        </w:rPr>
        <w:t xml:space="preserve">2 </w:t>
      </w:r>
      <w:r w:rsidDel="00000000" w:rsidR="00000000" w:rsidRPr="00000000">
        <w:rPr>
          <w:rFonts w:ascii="Open Sans" w:cs="Open Sans" w:eastAsia="Open Sans" w:hAnsi="Open Sans"/>
          <w:color w:val="000000"/>
          <w:rtl w:val="0"/>
        </w:rPr>
        <w:t xml:space="preserve">al mes, Villena con 5,69 €/m</w:t>
      </w:r>
      <w:r w:rsidDel="00000000" w:rsidR="00000000" w:rsidRPr="00000000">
        <w:rPr>
          <w:rFonts w:ascii="Open Sans" w:cs="Open Sans" w:eastAsia="Open Sans" w:hAnsi="Open Sans"/>
          <w:color w:val="000000"/>
          <w:vertAlign w:val="superscript"/>
          <w:rtl w:val="0"/>
        </w:rPr>
        <w:t xml:space="preserve">2 </w:t>
      </w:r>
      <w:r w:rsidDel="00000000" w:rsidR="00000000" w:rsidRPr="00000000">
        <w:rPr>
          <w:rFonts w:ascii="Open Sans" w:cs="Open Sans" w:eastAsia="Open Sans" w:hAnsi="Open Sans"/>
          <w:color w:val="000000"/>
          <w:rtl w:val="0"/>
        </w:rPr>
        <w:t xml:space="preserve">al mes, Montilla con 5,72 €/m</w:t>
      </w:r>
      <w:r w:rsidDel="00000000" w:rsidR="00000000" w:rsidRPr="00000000">
        <w:rPr>
          <w:rFonts w:ascii="Open Sans" w:cs="Open Sans" w:eastAsia="Open Sans" w:hAnsi="Open Sans"/>
          <w:color w:val="000000"/>
          <w:vertAlign w:val="superscript"/>
          <w:rtl w:val="0"/>
        </w:rPr>
        <w:t xml:space="preserve">2 </w:t>
      </w:r>
      <w:r w:rsidDel="00000000" w:rsidR="00000000" w:rsidRPr="00000000">
        <w:rPr>
          <w:rFonts w:ascii="Open Sans" w:cs="Open Sans" w:eastAsia="Open Sans" w:hAnsi="Open Sans"/>
          <w:color w:val="000000"/>
          <w:rtl w:val="0"/>
        </w:rPr>
        <w:t xml:space="preserve">al mes y Don Benito con 5,79 €/m</w:t>
      </w:r>
      <w:r w:rsidDel="00000000" w:rsidR="00000000" w:rsidRPr="00000000">
        <w:rPr>
          <w:rFonts w:ascii="Open Sans" w:cs="Open Sans" w:eastAsia="Open Sans" w:hAnsi="Open Sans"/>
          <w:color w:val="000000"/>
          <w:vertAlign w:val="superscript"/>
          <w:rtl w:val="0"/>
        </w:rPr>
        <w:t xml:space="preserve">2 </w:t>
      </w:r>
      <w:r w:rsidDel="00000000" w:rsidR="00000000" w:rsidRPr="00000000">
        <w:rPr>
          <w:rFonts w:ascii="Open Sans" w:cs="Open Sans" w:eastAsia="Open Sans" w:hAnsi="Open Sans"/>
          <w:color w:val="000000"/>
          <w:rtl w:val="0"/>
        </w:rPr>
        <w:t xml:space="preserve">al mes.</w:t>
      </w:r>
    </w:p>
    <w:p w:rsidR="00000000" w:rsidDel="00000000" w:rsidP="00000000" w:rsidRDefault="00000000" w:rsidRPr="00000000" w14:paraId="00000293">
      <w:pPr>
        <w:pBdr>
          <w:top w:space="0" w:sz="0" w:val="nil"/>
          <w:left w:space="0" w:sz="0" w:val="nil"/>
          <w:bottom w:space="0" w:sz="0" w:val="nil"/>
          <w:right w:space="0" w:sz="0" w:val="nil"/>
          <w:between w:space="0" w:sz="0" w:val="nil"/>
        </w:pBdr>
        <w:spacing w:after="280" w:before="280" w:line="276" w:lineRule="auto"/>
        <w:jc w:val="both"/>
        <w:rPr>
          <w:rFonts w:ascii="Open Sans" w:cs="Open Sans" w:eastAsia="Open Sans" w:hAnsi="Open Sans"/>
          <w:color w:val="000000"/>
        </w:rPr>
      </w:pPr>
      <w:r w:rsidDel="00000000" w:rsidR="00000000" w:rsidRPr="00000000">
        <w:rPr>
          <w:rFonts w:ascii="Open Sans Light" w:cs="Open Sans Light" w:eastAsia="Open Sans Light" w:hAnsi="Open Sans Light"/>
          <w:b w:val="1"/>
          <w:color w:val="303ab2"/>
          <w:sz w:val="28"/>
          <w:szCs w:val="28"/>
          <w:rtl w:val="0"/>
        </w:rPr>
        <w:t xml:space="preserve">Municipios con mayor incremento interanual</w:t>
      </w:r>
      <w:r w:rsidDel="00000000" w:rsidR="00000000" w:rsidRPr="00000000">
        <w:rPr>
          <w:rtl w:val="0"/>
        </w:rPr>
      </w:r>
    </w:p>
    <w:tbl>
      <w:tblPr>
        <w:tblStyle w:val="Table4"/>
        <w:tblW w:w="8931.0" w:type="dxa"/>
        <w:jc w:val="left"/>
        <w:tblInd w:w="-5.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A0"/>
      </w:tblPr>
      <w:tblGrid>
        <w:gridCol w:w="1701"/>
        <w:gridCol w:w="1985"/>
        <w:gridCol w:w="1984"/>
        <w:gridCol w:w="1560"/>
        <w:gridCol w:w="1701"/>
        <w:tblGridChange w:id="0">
          <w:tblGrid>
            <w:gridCol w:w="1701"/>
            <w:gridCol w:w="1985"/>
            <w:gridCol w:w="1984"/>
            <w:gridCol w:w="1560"/>
            <w:gridCol w:w="1701"/>
          </w:tblGrid>
        </w:tblGridChange>
      </w:tblGrid>
      <w:tr>
        <w:trPr>
          <w:cantSplit w:val="0"/>
          <w:trHeight w:val="212" w:hRule="atLeast"/>
          <w:tblHeader w:val="0"/>
        </w:trPr>
        <w:tc>
          <w:tcPr>
            <w:vAlign w:val="center"/>
          </w:tcPr>
          <w:p w:rsidR="00000000" w:rsidDel="00000000" w:rsidP="00000000" w:rsidRDefault="00000000" w:rsidRPr="00000000" w14:paraId="00000294">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Provincia</w:t>
            </w:r>
            <w:r w:rsidDel="00000000" w:rsidR="00000000" w:rsidRPr="00000000">
              <w:rPr>
                <w:rtl w:val="0"/>
              </w:rPr>
            </w:r>
          </w:p>
        </w:tc>
        <w:tc>
          <w:tcPr>
            <w:vAlign w:val="center"/>
          </w:tcPr>
          <w:p w:rsidR="00000000" w:rsidDel="00000000" w:rsidP="00000000" w:rsidRDefault="00000000" w:rsidRPr="00000000" w14:paraId="00000295">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Municipio</w:t>
            </w:r>
            <w:r w:rsidDel="00000000" w:rsidR="00000000" w:rsidRPr="00000000">
              <w:rPr>
                <w:rtl w:val="0"/>
              </w:rPr>
            </w:r>
          </w:p>
        </w:tc>
        <w:tc>
          <w:tcPr>
            <w:vAlign w:val="center"/>
          </w:tcPr>
          <w:p w:rsidR="00000000" w:rsidDel="00000000" w:rsidP="00000000" w:rsidRDefault="00000000" w:rsidRPr="00000000" w14:paraId="00000296">
            <w:pPr>
              <w:jc w:val="center"/>
              <w:rPr>
                <w:rFonts w:ascii="Open Sans" w:cs="Open Sans" w:eastAsia="Open Sans" w:hAnsi="Open Sans"/>
                <w:sz w:val="22"/>
                <w:szCs w:val="22"/>
              </w:rPr>
            </w:pPr>
            <w:bookmarkStart w:colFirst="0" w:colLast="0" w:name="_heading=h.gjdgxs" w:id="0"/>
            <w:bookmarkEnd w:id="0"/>
            <w:r w:rsidDel="00000000" w:rsidR="00000000" w:rsidRPr="00000000">
              <w:rPr>
                <w:rFonts w:ascii="Open Sans" w:cs="Open Sans" w:eastAsia="Open Sans" w:hAnsi="Open Sans"/>
                <w:b w:val="0"/>
                <w:sz w:val="22"/>
                <w:szCs w:val="22"/>
                <w:rtl w:val="0"/>
              </w:rPr>
              <w:t xml:space="preserve">Noviembre 2024</w:t>
            </w:r>
            <w:r w:rsidDel="00000000" w:rsidR="00000000" w:rsidRPr="00000000">
              <w:rPr>
                <w:rtl w:val="0"/>
              </w:rPr>
            </w:r>
          </w:p>
          <w:p w:rsidR="00000000" w:rsidDel="00000000" w:rsidP="00000000" w:rsidRDefault="00000000" w:rsidRPr="00000000" w14:paraId="00000297">
            <w:pPr>
              <w:jc w:val="cente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(€/m² al mes)</w:t>
            </w:r>
            <w:r w:rsidDel="00000000" w:rsidR="00000000" w:rsidRPr="00000000">
              <w:rPr>
                <w:rtl w:val="0"/>
              </w:rPr>
            </w:r>
          </w:p>
        </w:tc>
        <w:tc>
          <w:tcPr>
            <w:vAlign w:val="center"/>
          </w:tcPr>
          <w:p w:rsidR="00000000" w:rsidDel="00000000" w:rsidP="00000000" w:rsidRDefault="00000000" w:rsidRPr="00000000" w14:paraId="00000298">
            <w:pPr>
              <w:jc w:val="cente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Variación mensual (%)</w:t>
            </w:r>
            <w:r w:rsidDel="00000000" w:rsidR="00000000" w:rsidRPr="00000000">
              <w:rPr>
                <w:rtl w:val="0"/>
              </w:rPr>
            </w:r>
          </w:p>
        </w:tc>
        <w:tc>
          <w:tcPr>
            <w:vAlign w:val="center"/>
          </w:tcPr>
          <w:p w:rsidR="00000000" w:rsidDel="00000000" w:rsidP="00000000" w:rsidRDefault="00000000" w:rsidRPr="00000000" w14:paraId="00000299">
            <w:pPr>
              <w:jc w:val="cente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Variación interanual (%)</w:t>
            </w:r>
            <w:r w:rsidDel="00000000" w:rsidR="00000000" w:rsidRPr="00000000">
              <w:rPr>
                <w:rtl w:val="0"/>
              </w:rPr>
            </w:r>
          </w:p>
        </w:tc>
      </w:tr>
      <w:tr>
        <w:trPr>
          <w:cantSplit w:val="0"/>
          <w:trHeight w:val="212" w:hRule="atLeast"/>
          <w:tblHeader w:val="0"/>
        </w:trPr>
        <w:tc>
          <w:tcPr>
            <w:vAlign w:val="bottom"/>
          </w:tcPr>
          <w:p w:rsidR="00000000" w:rsidDel="00000000" w:rsidP="00000000" w:rsidRDefault="00000000" w:rsidRPr="00000000" w14:paraId="0000029A">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Almería</w:t>
            </w:r>
            <w:r w:rsidDel="00000000" w:rsidR="00000000" w:rsidRPr="00000000">
              <w:rPr>
                <w:rtl w:val="0"/>
              </w:rPr>
            </w:r>
          </w:p>
        </w:tc>
        <w:tc>
          <w:tcPr>
            <w:vAlign w:val="bottom"/>
          </w:tcPr>
          <w:p w:rsidR="00000000" w:rsidDel="00000000" w:rsidP="00000000" w:rsidRDefault="00000000" w:rsidRPr="00000000" w14:paraId="0000029B">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El Ejido</w:t>
            </w:r>
            <w:r w:rsidDel="00000000" w:rsidR="00000000" w:rsidRPr="00000000">
              <w:rPr>
                <w:rtl w:val="0"/>
              </w:rPr>
            </w:r>
          </w:p>
        </w:tc>
        <w:tc>
          <w:tcPr>
            <w:vAlign w:val="bottom"/>
          </w:tcPr>
          <w:p w:rsidR="00000000" w:rsidDel="00000000" w:rsidP="00000000" w:rsidRDefault="00000000" w:rsidRPr="00000000" w14:paraId="0000029C">
            <w:pPr>
              <w:jc w:val="center"/>
              <w:rPr>
                <w:rFonts w:ascii="Open Sans" w:cs="Open Sans" w:eastAsia="Open Sans" w:hAnsi="Open Sans"/>
                <w:color w:val="9c0006"/>
                <w:sz w:val="22"/>
                <w:szCs w:val="22"/>
              </w:rPr>
            </w:pPr>
            <w:r w:rsidDel="00000000" w:rsidR="00000000" w:rsidRPr="00000000">
              <w:rPr>
                <w:rFonts w:ascii="Open Sans" w:cs="Open Sans" w:eastAsia="Open Sans" w:hAnsi="Open Sans"/>
                <w:sz w:val="22"/>
                <w:szCs w:val="22"/>
                <w:rtl w:val="0"/>
              </w:rPr>
              <w:t xml:space="preserve">11,28 €</w:t>
            </w:r>
            <w:r w:rsidDel="00000000" w:rsidR="00000000" w:rsidRPr="00000000">
              <w:rPr>
                <w:rtl w:val="0"/>
              </w:rPr>
            </w:r>
          </w:p>
        </w:tc>
        <w:tc>
          <w:tcPr>
            <w:vAlign w:val="bottom"/>
          </w:tcPr>
          <w:p w:rsidR="00000000" w:rsidDel="00000000" w:rsidP="00000000" w:rsidRDefault="00000000" w:rsidRPr="00000000" w14:paraId="0000029D">
            <w:pPr>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7,0%</w:t>
            </w:r>
          </w:p>
        </w:tc>
        <w:tc>
          <w:tcPr>
            <w:vAlign w:val="bottom"/>
          </w:tcPr>
          <w:p w:rsidR="00000000" w:rsidDel="00000000" w:rsidP="00000000" w:rsidRDefault="00000000" w:rsidRPr="00000000" w14:paraId="0000029E">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sz w:val="22"/>
                <w:szCs w:val="22"/>
                <w:rtl w:val="0"/>
              </w:rPr>
              <w:t xml:space="preserve">43,1%</w:t>
            </w:r>
            <w:r w:rsidDel="00000000" w:rsidR="00000000" w:rsidRPr="00000000">
              <w:rPr>
                <w:rtl w:val="0"/>
              </w:rPr>
            </w:r>
          </w:p>
        </w:tc>
      </w:tr>
      <w:tr>
        <w:trPr>
          <w:cantSplit w:val="0"/>
          <w:trHeight w:val="212" w:hRule="atLeast"/>
          <w:tblHeader w:val="0"/>
        </w:trPr>
        <w:tc>
          <w:tcPr>
            <w:vAlign w:val="bottom"/>
          </w:tcPr>
          <w:p w:rsidR="00000000" w:rsidDel="00000000" w:rsidP="00000000" w:rsidRDefault="00000000" w:rsidRPr="00000000" w14:paraId="0000029F">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Murcia</w:t>
            </w:r>
            <w:r w:rsidDel="00000000" w:rsidR="00000000" w:rsidRPr="00000000">
              <w:rPr>
                <w:rtl w:val="0"/>
              </w:rPr>
            </w:r>
          </w:p>
        </w:tc>
        <w:tc>
          <w:tcPr>
            <w:vAlign w:val="bottom"/>
          </w:tcPr>
          <w:p w:rsidR="00000000" w:rsidDel="00000000" w:rsidP="00000000" w:rsidRDefault="00000000" w:rsidRPr="00000000" w14:paraId="000002A0">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Águilas</w:t>
            </w:r>
            <w:r w:rsidDel="00000000" w:rsidR="00000000" w:rsidRPr="00000000">
              <w:rPr>
                <w:rtl w:val="0"/>
              </w:rPr>
            </w:r>
          </w:p>
        </w:tc>
        <w:tc>
          <w:tcPr>
            <w:vAlign w:val="bottom"/>
          </w:tcPr>
          <w:p w:rsidR="00000000" w:rsidDel="00000000" w:rsidP="00000000" w:rsidRDefault="00000000" w:rsidRPr="00000000" w14:paraId="000002A1">
            <w:pPr>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9,58 €</w:t>
            </w:r>
          </w:p>
        </w:tc>
        <w:tc>
          <w:tcPr>
            <w:vAlign w:val="bottom"/>
          </w:tcPr>
          <w:p w:rsidR="00000000" w:rsidDel="00000000" w:rsidP="00000000" w:rsidRDefault="00000000" w:rsidRPr="00000000" w14:paraId="000002A2">
            <w:pPr>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0,3%</w:t>
            </w:r>
          </w:p>
        </w:tc>
        <w:tc>
          <w:tcPr>
            <w:vAlign w:val="bottom"/>
          </w:tcPr>
          <w:p w:rsidR="00000000" w:rsidDel="00000000" w:rsidP="00000000" w:rsidRDefault="00000000" w:rsidRPr="00000000" w14:paraId="000002A3">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sz w:val="22"/>
                <w:szCs w:val="22"/>
                <w:rtl w:val="0"/>
              </w:rPr>
              <w:t xml:space="preserve">39,0%</w:t>
            </w:r>
            <w:r w:rsidDel="00000000" w:rsidR="00000000" w:rsidRPr="00000000">
              <w:rPr>
                <w:rtl w:val="0"/>
              </w:rPr>
            </w:r>
          </w:p>
        </w:tc>
      </w:tr>
      <w:tr>
        <w:trPr>
          <w:cantSplit w:val="0"/>
          <w:trHeight w:val="212" w:hRule="atLeast"/>
          <w:tblHeader w:val="0"/>
        </w:trPr>
        <w:tc>
          <w:tcPr>
            <w:vAlign w:val="bottom"/>
          </w:tcPr>
          <w:p w:rsidR="00000000" w:rsidDel="00000000" w:rsidP="00000000" w:rsidRDefault="00000000" w:rsidRPr="00000000" w14:paraId="000002A4">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Madrid</w:t>
            </w:r>
            <w:r w:rsidDel="00000000" w:rsidR="00000000" w:rsidRPr="00000000">
              <w:rPr>
                <w:rtl w:val="0"/>
              </w:rPr>
            </w:r>
          </w:p>
        </w:tc>
        <w:tc>
          <w:tcPr>
            <w:vAlign w:val="bottom"/>
          </w:tcPr>
          <w:p w:rsidR="00000000" w:rsidDel="00000000" w:rsidP="00000000" w:rsidRDefault="00000000" w:rsidRPr="00000000" w14:paraId="000002A5">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Getafe</w:t>
            </w:r>
            <w:r w:rsidDel="00000000" w:rsidR="00000000" w:rsidRPr="00000000">
              <w:rPr>
                <w:rtl w:val="0"/>
              </w:rPr>
            </w:r>
          </w:p>
        </w:tc>
        <w:tc>
          <w:tcPr>
            <w:vAlign w:val="bottom"/>
          </w:tcPr>
          <w:p w:rsidR="00000000" w:rsidDel="00000000" w:rsidP="00000000" w:rsidRDefault="00000000" w:rsidRPr="00000000" w14:paraId="000002A6">
            <w:pPr>
              <w:jc w:val="center"/>
              <w:rPr>
                <w:rFonts w:ascii="Open Sans" w:cs="Open Sans" w:eastAsia="Open Sans" w:hAnsi="Open Sans"/>
                <w:color w:val="9c0006"/>
                <w:sz w:val="22"/>
                <w:szCs w:val="22"/>
              </w:rPr>
            </w:pPr>
            <w:r w:rsidDel="00000000" w:rsidR="00000000" w:rsidRPr="00000000">
              <w:rPr>
                <w:rFonts w:ascii="Open Sans" w:cs="Open Sans" w:eastAsia="Open Sans" w:hAnsi="Open Sans"/>
                <w:sz w:val="22"/>
                <w:szCs w:val="22"/>
                <w:rtl w:val="0"/>
              </w:rPr>
              <w:t xml:space="preserve">17,70 €</w:t>
            </w:r>
            <w:r w:rsidDel="00000000" w:rsidR="00000000" w:rsidRPr="00000000">
              <w:rPr>
                <w:rtl w:val="0"/>
              </w:rPr>
            </w:r>
          </w:p>
        </w:tc>
        <w:tc>
          <w:tcPr>
            <w:vAlign w:val="bottom"/>
          </w:tcPr>
          <w:p w:rsidR="00000000" w:rsidDel="00000000" w:rsidP="00000000" w:rsidRDefault="00000000" w:rsidRPr="00000000" w14:paraId="000002A7">
            <w:pPr>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33,1%</w:t>
            </w:r>
          </w:p>
        </w:tc>
        <w:tc>
          <w:tcPr>
            <w:vAlign w:val="bottom"/>
          </w:tcPr>
          <w:p w:rsidR="00000000" w:rsidDel="00000000" w:rsidP="00000000" w:rsidRDefault="00000000" w:rsidRPr="00000000" w14:paraId="000002A8">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sz w:val="22"/>
                <w:szCs w:val="22"/>
                <w:rtl w:val="0"/>
              </w:rPr>
              <w:t xml:space="preserve">34,9%</w:t>
            </w:r>
            <w:r w:rsidDel="00000000" w:rsidR="00000000" w:rsidRPr="00000000">
              <w:rPr>
                <w:rtl w:val="0"/>
              </w:rPr>
            </w:r>
          </w:p>
        </w:tc>
      </w:tr>
      <w:tr>
        <w:trPr>
          <w:cantSplit w:val="0"/>
          <w:trHeight w:val="212" w:hRule="atLeast"/>
          <w:tblHeader w:val="0"/>
        </w:trPr>
        <w:tc>
          <w:tcPr>
            <w:vAlign w:val="bottom"/>
          </w:tcPr>
          <w:p w:rsidR="00000000" w:rsidDel="00000000" w:rsidP="00000000" w:rsidRDefault="00000000" w:rsidRPr="00000000" w14:paraId="000002A9">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Huelva</w:t>
            </w:r>
            <w:r w:rsidDel="00000000" w:rsidR="00000000" w:rsidRPr="00000000">
              <w:rPr>
                <w:rtl w:val="0"/>
              </w:rPr>
            </w:r>
          </w:p>
        </w:tc>
        <w:tc>
          <w:tcPr>
            <w:vAlign w:val="bottom"/>
          </w:tcPr>
          <w:p w:rsidR="00000000" w:rsidDel="00000000" w:rsidP="00000000" w:rsidRDefault="00000000" w:rsidRPr="00000000" w14:paraId="000002AA">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Punta Umbría</w:t>
            </w:r>
            <w:r w:rsidDel="00000000" w:rsidR="00000000" w:rsidRPr="00000000">
              <w:rPr>
                <w:rtl w:val="0"/>
              </w:rPr>
            </w:r>
          </w:p>
        </w:tc>
        <w:tc>
          <w:tcPr>
            <w:vAlign w:val="bottom"/>
          </w:tcPr>
          <w:p w:rsidR="00000000" w:rsidDel="00000000" w:rsidP="00000000" w:rsidRDefault="00000000" w:rsidRPr="00000000" w14:paraId="000002AB">
            <w:pPr>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10,08 €</w:t>
            </w:r>
          </w:p>
        </w:tc>
        <w:tc>
          <w:tcPr>
            <w:vAlign w:val="bottom"/>
          </w:tcPr>
          <w:p w:rsidR="00000000" w:rsidDel="00000000" w:rsidP="00000000" w:rsidRDefault="00000000" w:rsidRPr="00000000" w14:paraId="000002AC">
            <w:pPr>
              <w:jc w:val="center"/>
              <w:rPr>
                <w:rFonts w:ascii="Open Sans" w:cs="Open Sans" w:eastAsia="Open Sans" w:hAnsi="Open Sans"/>
                <w:sz w:val="22"/>
                <w:szCs w:val="22"/>
              </w:rPr>
            </w:pPr>
            <w:r w:rsidDel="00000000" w:rsidR="00000000" w:rsidRPr="00000000">
              <w:rPr>
                <w:rFonts w:ascii="Open Sans" w:cs="Open Sans" w:eastAsia="Open Sans" w:hAnsi="Open Sans"/>
                <w:color w:val="9c0006"/>
                <w:sz w:val="22"/>
                <w:szCs w:val="22"/>
                <w:rtl w:val="0"/>
              </w:rPr>
              <w:t xml:space="preserve">-2,0%</w:t>
            </w:r>
            <w:r w:rsidDel="00000000" w:rsidR="00000000" w:rsidRPr="00000000">
              <w:rPr>
                <w:rtl w:val="0"/>
              </w:rPr>
            </w:r>
          </w:p>
        </w:tc>
        <w:tc>
          <w:tcPr>
            <w:vAlign w:val="bottom"/>
          </w:tcPr>
          <w:p w:rsidR="00000000" w:rsidDel="00000000" w:rsidP="00000000" w:rsidRDefault="00000000" w:rsidRPr="00000000" w14:paraId="000002AD">
            <w:pPr>
              <w:jc w:val="center"/>
              <w:rPr>
                <w:rFonts w:ascii="Open Sans" w:cs="Open Sans" w:eastAsia="Open Sans" w:hAnsi="Open Sans"/>
                <w:b w:val="1"/>
                <w:color w:val="9c0006"/>
                <w:sz w:val="22"/>
                <w:szCs w:val="22"/>
              </w:rPr>
            </w:pPr>
            <w:r w:rsidDel="00000000" w:rsidR="00000000" w:rsidRPr="00000000">
              <w:rPr>
                <w:rFonts w:ascii="Open Sans" w:cs="Open Sans" w:eastAsia="Open Sans" w:hAnsi="Open Sans"/>
                <w:sz w:val="22"/>
                <w:szCs w:val="22"/>
                <w:rtl w:val="0"/>
              </w:rPr>
              <w:t xml:space="preserve">31,6%</w:t>
            </w:r>
            <w:r w:rsidDel="00000000" w:rsidR="00000000" w:rsidRPr="00000000">
              <w:rPr>
                <w:rtl w:val="0"/>
              </w:rPr>
            </w:r>
          </w:p>
        </w:tc>
      </w:tr>
      <w:tr>
        <w:trPr>
          <w:cantSplit w:val="0"/>
          <w:trHeight w:val="212" w:hRule="atLeast"/>
          <w:tblHeader w:val="0"/>
        </w:trPr>
        <w:tc>
          <w:tcPr>
            <w:vAlign w:val="bottom"/>
          </w:tcPr>
          <w:p w:rsidR="00000000" w:rsidDel="00000000" w:rsidP="00000000" w:rsidRDefault="00000000" w:rsidRPr="00000000" w14:paraId="000002AE">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Ciudad Real</w:t>
            </w:r>
            <w:r w:rsidDel="00000000" w:rsidR="00000000" w:rsidRPr="00000000">
              <w:rPr>
                <w:rtl w:val="0"/>
              </w:rPr>
            </w:r>
          </w:p>
        </w:tc>
        <w:tc>
          <w:tcPr>
            <w:vAlign w:val="bottom"/>
          </w:tcPr>
          <w:p w:rsidR="00000000" w:rsidDel="00000000" w:rsidP="00000000" w:rsidRDefault="00000000" w:rsidRPr="00000000" w14:paraId="000002AF">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Ciudad Real capital</w:t>
            </w:r>
            <w:r w:rsidDel="00000000" w:rsidR="00000000" w:rsidRPr="00000000">
              <w:rPr>
                <w:rtl w:val="0"/>
              </w:rPr>
            </w:r>
          </w:p>
        </w:tc>
        <w:tc>
          <w:tcPr>
            <w:vAlign w:val="bottom"/>
          </w:tcPr>
          <w:p w:rsidR="00000000" w:rsidDel="00000000" w:rsidP="00000000" w:rsidRDefault="00000000" w:rsidRPr="00000000" w14:paraId="000002B0">
            <w:pPr>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7,59 €</w:t>
            </w:r>
          </w:p>
        </w:tc>
        <w:tc>
          <w:tcPr>
            <w:vAlign w:val="bottom"/>
          </w:tcPr>
          <w:p w:rsidR="00000000" w:rsidDel="00000000" w:rsidP="00000000" w:rsidRDefault="00000000" w:rsidRPr="00000000" w14:paraId="000002B1">
            <w:pPr>
              <w:jc w:val="center"/>
              <w:rPr>
                <w:rFonts w:ascii="Open Sans" w:cs="Open Sans" w:eastAsia="Open Sans" w:hAnsi="Open Sans"/>
                <w:sz w:val="22"/>
                <w:szCs w:val="22"/>
              </w:rPr>
            </w:pPr>
            <w:r w:rsidDel="00000000" w:rsidR="00000000" w:rsidRPr="00000000">
              <w:rPr>
                <w:rFonts w:ascii="Open Sans" w:cs="Open Sans" w:eastAsia="Open Sans" w:hAnsi="Open Sans"/>
                <w:color w:val="9c0006"/>
                <w:sz w:val="22"/>
                <w:szCs w:val="22"/>
                <w:rtl w:val="0"/>
              </w:rPr>
              <w:t xml:space="preserve">-1,0%</w:t>
            </w:r>
            <w:r w:rsidDel="00000000" w:rsidR="00000000" w:rsidRPr="00000000">
              <w:rPr>
                <w:rtl w:val="0"/>
              </w:rPr>
            </w:r>
          </w:p>
        </w:tc>
        <w:tc>
          <w:tcPr>
            <w:vAlign w:val="bottom"/>
          </w:tcPr>
          <w:p w:rsidR="00000000" w:rsidDel="00000000" w:rsidP="00000000" w:rsidRDefault="00000000" w:rsidRPr="00000000" w14:paraId="000002B2">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sz w:val="22"/>
                <w:szCs w:val="22"/>
                <w:rtl w:val="0"/>
              </w:rPr>
              <w:t xml:space="preserve">31,5%</w:t>
            </w:r>
            <w:r w:rsidDel="00000000" w:rsidR="00000000" w:rsidRPr="00000000">
              <w:rPr>
                <w:rtl w:val="0"/>
              </w:rPr>
            </w:r>
          </w:p>
        </w:tc>
      </w:tr>
      <w:tr>
        <w:trPr>
          <w:cantSplit w:val="0"/>
          <w:trHeight w:val="212" w:hRule="atLeast"/>
          <w:tblHeader w:val="0"/>
        </w:trPr>
        <w:tc>
          <w:tcPr>
            <w:vAlign w:val="bottom"/>
          </w:tcPr>
          <w:p w:rsidR="00000000" w:rsidDel="00000000" w:rsidP="00000000" w:rsidRDefault="00000000" w:rsidRPr="00000000" w14:paraId="000002B3">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Barcelona</w:t>
            </w:r>
            <w:r w:rsidDel="00000000" w:rsidR="00000000" w:rsidRPr="00000000">
              <w:rPr>
                <w:rtl w:val="0"/>
              </w:rPr>
            </w:r>
          </w:p>
        </w:tc>
        <w:tc>
          <w:tcPr>
            <w:vAlign w:val="bottom"/>
          </w:tcPr>
          <w:p w:rsidR="00000000" w:rsidDel="00000000" w:rsidP="00000000" w:rsidRDefault="00000000" w:rsidRPr="00000000" w14:paraId="000002B4">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Terrassa</w:t>
            </w:r>
            <w:r w:rsidDel="00000000" w:rsidR="00000000" w:rsidRPr="00000000">
              <w:rPr>
                <w:rtl w:val="0"/>
              </w:rPr>
            </w:r>
          </w:p>
        </w:tc>
        <w:tc>
          <w:tcPr>
            <w:vAlign w:val="bottom"/>
          </w:tcPr>
          <w:p w:rsidR="00000000" w:rsidDel="00000000" w:rsidP="00000000" w:rsidRDefault="00000000" w:rsidRPr="00000000" w14:paraId="000002B5">
            <w:pPr>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15,01 €</w:t>
            </w:r>
          </w:p>
        </w:tc>
        <w:tc>
          <w:tcPr>
            <w:vAlign w:val="bottom"/>
          </w:tcPr>
          <w:p w:rsidR="00000000" w:rsidDel="00000000" w:rsidP="00000000" w:rsidRDefault="00000000" w:rsidRPr="00000000" w14:paraId="000002B6">
            <w:pPr>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14,5%</w:t>
            </w:r>
          </w:p>
        </w:tc>
        <w:tc>
          <w:tcPr>
            <w:vAlign w:val="bottom"/>
          </w:tcPr>
          <w:p w:rsidR="00000000" w:rsidDel="00000000" w:rsidP="00000000" w:rsidRDefault="00000000" w:rsidRPr="00000000" w14:paraId="000002B7">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sz w:val="22"/>
                <w:szCs w:val="22"/>
                <w:rtl w:val="0"/>
              </w:rPr>
              <w:t xml:space="preserve">29,5%</w:t>
            </w:r>
            <w:r w:rsidDel="00000000" w:rsidR="00000000" w:rsidRPr="00000000">
              <w:rPr>
                <w:rtl w:val="0"/>
              </w:rPr>
            </w:r>
          </w:p>
        </w:tc>
      </w:tr>
      <w:tr>
        <w:trPr>
          <w:cantSplit w:val="0"/>
          <w:trHeight w:val="212" w:hRule="atLeast"/>
          <w:tblHeader w:val="0"/>
        </w:trPr>
        <w:tc>
          <w:tcPr>
            <w:vAlign w:val="bottom"/>
          </w:tcPr>
          <w:p w:rsidR="00000000" w:rsidDel="00000000" w:rsidP="00000000" w:rsidRDefault="00000000" w:rsidRPr="00000000" w14:paraId="000002B8">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Asturias</w:t>
            </w:r>
            <w:r w:rsidDel="00000000" w:rsidR="00000000" w:rsidRPr="00000000">
              <w:rPr>
                <w:rtl w:val="0"/>
              </w:rPr>
            </w:r>
          </w:p>
        </w:tc>
        <w:tc>
          <w:tcPr>
            <w:vAlign w:val="bottom"/>
          </w:tcPr>
          <w:p w:rsidR="00000000" w:rsidDel="00000000" w:rsidP="00000000" w:rsidRDefault="00000000" w:rsidRPr="00000000" w14:paraId="000002B9">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Avilés</w:t>
            </w:r>
            <w:r w:rsidDel="00000000" w:rsidR="00000000" w:rsidRPr="00000000">
              <w:rPr>
                <w:rtl w:val="0"/>
              </w:rPr>
            </w:r>
          </w:p>
        </w:tc>
        <w:tc>
          <w:tcPr>
            <w:vAlign w:val="bottom"/>
          </w:tcPr>
          <w:p w:rsidR="00000000" w:rsidDel="00000000" w:rsidP="00000000" w:rsidRDefault="00000000" w:rsidRPr="00000000" w14:paraId="000002BA">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10,06 €</w:t>
            </w:r>
            <w:r w:rsidDel="00000000" w:rsidR="00000000" w:rsidRPr="00000000">
              <w:rPr>
                <w:rtl w:val="0"/>
              </w:rPr>
            </w:r>
          </w:p>
        </w:tc>
        <w:tc>
          <w:tcPr>
            <w:vAlign w:val="bottom"/>
          </w:tcPr>
          <w:p w:rsidR="00000000" w:rsidDel="00000000" w:rsidP="00000000" w:rsidRDefault="00000000" w:rsidRPr="00000000" w14:paraId="000002BB">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6,9%</w:t>
            </w:r>
            <w:r w:rsidDel="00000000" w:rsidR="00000000" w:rsidRPr="00000000">
              <w:rPr>
                <w:rtl w:val="0"/>
              </w:rPr>
            </w:r>
          </w:p>
        </w:tc>
        <w:tc>
          <w:tcPr>
            <w:vAlign w:val="bottom"/>
          </w:tcPr>
          <w:p w:rsidR="00000000" w:rsidDel="00000000" w:rsidP="00000000" w:rsidRDefault="00000000" w:rsidRPr="00000000" w14:paraId="000002BC">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sz w:val="22"/>
                <w:szCs w:val="22"/>
                <w:rtl w:val="0"/>
              </w:rPr>
              <w:t xml:space="preserve">26,9%</w:t>
            </w:r>
            <w:r w:rsidDel="00000000" w:rsidR="00000000" w:rsidRPr="00000000">
              <w:rPr>
                <w:rtl w:val="0"/>
              </w:rPr>
            </w:r>
          </w:p>
        </w:tc>
      </w:tr>
      <w:tr>
        <w:trPr>
          <w:cantSplit w:val="0"/>
          <w:trHeight w:val="212" w:hRule="atLeast"/>
          <w:tblHeader w:val="0"/>
        </w:trPr>
        <w:tc>
          <w:tcPr>
            <w:vAlign w:val="bottom"/>
          </w:tcPr>
          <w:p w:rsidR="00000000" w:rsidDel="00000000" w:rsidP="00000000" w:rsidRDefault="00000000" w:rsidRPr="00000000" w14:paraId="000002BD">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Valencia</w:t>
            </w:r>
            <w:r w:rsidDel="00000000" w:rsidR="00000000" w:rsidRPr="00000000">
              <w:rPr>
                <w:rtl w:val="0"/>
              </w:rPr>
            </w:r>
          </w:p>
        </w:tc>
        <w:tc>
          <w:tcPr>
            <w:vAlign w:val="bottom"/>
          </w:tcPr>
          <w:p w:rsidR="00000000" w:rsidDel="00000000" w:rsidP="00000000" w:rsidRDefault="00000000" w:rsidRPr="00000000" w14:paraId="000002BE">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Sagunto / Sagunt</w:t>
            </w:r>
            <w:r w:rsidDel="00000000" w:rsidR="00000000" w:rsidRPr="00000000">
              <w:rPr>
                <w:rtl w:val="0"/>
              </w:rPr>
            </w:r>
          </w:p>
        </w:tc>
        <w:tc>
          <w:tcPr>
            <w:vAlign w:val="bottom"/>
          </w:tcPr>
          <w:p w:rsidR="00000000" w:rsidDel="00000000" w:rsidP="00000000" w:rsidRDefault="00000000" w:rsidRPr="00000000" w14:paraId="000002BF">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10,87 €</w:t>
            </w:r>
            <w:r w:rsidDel="00000000" w:rsidR="00000000" w:rsidRPr="00000000">
              <w:rPr>
                <w:rtl w:val="0"/>
              </w:rPr>
            </w:r>
          </w:p>
        </w:tc>
        <w:tc>
          <w:tcPr>
            <w:vAlign w:val="bottom"/>
          </w:tcPr>
          <w:p w:rsidR="00000000" w:rsidDel="00000000" w:rsidP="00000000" w:rsidRDefault="00000000" w:rsidRPr="00000000" w14:paraId="000002C0">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12,4%</w:t>
            </w:r>
            <w:r w:rsidDel="00000000" w:rsidR="00000000" w:rsidRPr="00000000">
              <w:rPr>
                <w:rtl w:val="0"/>
              </w:rPr>
            </w:r>
          </w:p>
        </w:tc>
        <w:tc>
          <w:tcPr>
            <w:vAlign w:val="bottom"/>
          </w:tcPr>
          <w:p w:rsidR="00000000" w:rsidDel="00000000" w:rsidP="00000000" w:rsidRDefault="00000000" w:rsidRPr="00000000" w14:paraId="000002C1">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sz w:val="22"/>
                <w:szCs w:val="22"/>
                <w:rtl w:val="0"/>
              </w:rPr>
              <w:t xml:space="preserve">25,8%</w:t>
            </w:r>
            <w:r w:rsidDel="00000000" w:rsidR="00000000" w:rsidRPr="00000000">
              <w:rPr>
                <w:rtl w:val="0"/>
              </w:rPr>
            </w:r>
          </w:p>
        </w:tc>
      </w:tr>
      <w:tr>
        <w:trPr>
          <w:cantSplit w:val="0"/>
          <w:trHeight w:val="212" w:hRule="atLeast"/>
          <w:tblHeader w:val="0"/>
        </w:trPr>
        <w:tc>
          <w:tcPr>
            <w:vAlign w:val="bottom"/>
          </w:tcPr>
          <w:p w:rsidR="00000000" w:rsidDel="00000000" w:rsidP="00000000" w:rsidRDefault="00000000" w:rsidRPr="00000000" w14:paraId="000002C2">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Zamora</w:t>
            </w:r>
            <w:r w:rsidDel="00000000" w:rsidR="00000000" w:rsidRPr="00000000">
              <w:rPr>
                <w:rtl w:val="0"/>
              </w:rPr>
            </w:r>
          </w:p>
        </w:tc>
        <w:tc>
          <w:tcPr>
            <w:vAlign w:val="bottom"/>
          </w:tcPr>
          <w:p w:rsidR="00000000" w:rsidDel="00000000" w:rsidP="00000000" w:rsidRDefault="00000000" w:rsidRPr="00000000" w14:paraId="000002C3">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Zamora capital</w:t>
            </w:r>
            <w:r w:rsidDel="00000000" w:rsidR="00000000" w:rsidRPr="00000000">
              <w:rPr>
                <w:rtl w:val="0"/>
              </w:rPr>
            </w:r>
          </w:p>
        </w:tc>
        <w:tc>
          <w:tcPr>
            <w:vAlign w:val="bottom"/>
          </w:tcPr>
          <w:p w:rsidR="00000000" w:rsidDel="00000000" w:rsidP="00000000" w:rsidRDefault="00000000" w:rsidRPr="00000000" w14:paraId="000002C4">
            <w:pPr>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7,69 €</w:t>
            </w:r>
          </w:p>
        </w:tc>
        <w:tc>
          <w:tcPr>
            <w:vAlign w:val="bottom"/>
          </w:tcPr>
          <w:p w:rsidR="00000000" w:rsidDel="00000000" w:rsidP="00000000" w:rsidRDefault="00000000" w:rsidRPr="00000000" w14:paraId="000002C5">
            <w:pPr>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1,5%</w:t>
            </w:r>
          </w:p>
        </w:tc>
        <w:tc>
          <w:tcPr>
            <w:vAlign w:val="bottom"/>
          </w:tcPr>
          <w:p w:rsidR="00000000" w:rsidDel="00000000" w:rsidP="00000000" w:rsidRDefault="00000000" w:rsidRPr="00000000" w14:paraId="000002C6">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sz w:val="22"/>
                <w:szCs w:val="22"/>
                <w:rtl w:val="0"/>
              </w:rPr>
              <w:t xml:space="preserve">23,2%</w:t>
            </w:r>
            <w:r w:rsidDel="00000000" w:rsidR="00000000" w:rsidRPr="00000000">
              <w:rPr>
                <w:rtl w:val="0"/>
              </w:rPr>
            </w:r>
          </w:p>
        </w:tc>
      </w:tr>
      <w:tr>
        <w:trPr>
          <w:cantSplit w:val="0"/>
          <w:trHeight w:val="212" w:hRule="atLeast"/>
          <w:tblHeader w:val="0"/>
        </w:trPr>
        <w:tc>
          <w:tcPr>
            <w:vAlign w:val="bottom"/>
          </w:tcPr>
          <w:p w:rsidR="00000000" w:rsidDel="00000000" w:rsidP="00000000" w:rsidRDefault="00000000" w:rsidRPr="00000000" w14:paraId="000002C7">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Pontevedra</w:t>
            </w:r>
            <w:r w:rsidDel="00000000" w:rsidR="00000000" w:rsidRPr="00000000">
              <w:rPr>
                <w:rtl w:val="0"/>
              </w:rPr>
            </w:r>
          </w:p>
        </w:tc>
        <w:tc>
          <w:tcPr>
            <w:vAlign w:val="bottom"/>
          </w:tcPr>
          <w:p w:rsidR="00000000" w:rsidDel="00000000" w:rsidP="00000000" w:rsidRDefault="00000000" w:rsidRPr="00000000" w14:paraId="000002C8">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Sanxenxo</w:t>
            </w:r>
            <w:r w:rsidDel="00000000" w:rsidR="00000000" w:rsidRPr="00000000">
              <w:rPr>
                <w:rtl w:val="0"/>
              </w:rPr>
            </w:r>
          </w:p>
        </w:tc>
        <w:tc>
          <w:tcPr>
            <w:vAlign w:val="bottom"/>
          </w:tcPr>
          <w:p w:rsidR="00000000" w:rsidDel="00000000" w:rsidP="00000000" w:rsidRDefault="00000000" w:rsidRPr="00000000" w14:paraId="000002C9">
            <w:pPr>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17,05 €</w:t>
            </w:r>
          </w:p>
        </w:tc>
        <w:tc>
          <w:tcPr>
            <w:vAlign w:val="bottom"/>
          </w:tcPr>
          <w:p w:rsidR="00000000" w:rsidDel="00000000" w:rsidP="00000000" w:rsidRDefault="00000000" w:rsidRPr="00000000" w14:paraId="000002CA">
            <w:pPr>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6,0%</w:t>
            </w:r>
          </w:p>
        </w:tc>
        <w:tc>
          <w:tcPr>
            <w:vAlign w:val="bottom"/>
          </w:tcPr>
          <w:p w:rsidR="00000000" w:rsidDel="00000000" w:rsidP="00000000" w:rsidRDefault="00000000" w:rsidRPr="00000000" w14:paraId="000002CB">
            <w:pPr>
              <w:jc w:val="center"/>
              <w:rPr>
                <w:rFonts w:ascii="Open Sans" w:cs="Open Sans" w:eastAsia="Open Sans" w:hAnsi="Open Sans"/>
                <w:b w:val="1"/>
                <w:color w:val="9c0006"/>
                <w:sz w:val="22"/>
                <w:szCs w:val="22"/>
              </w:rPr>
            </w:pPr>
            <w:r w:rsidDel="00000000" w:rsidR="00000000" w:rsidRPr="00000000">
              <w:rPr>
                <w:rFonts w:ascii="Open Sans" w:cs="Open Sans" w:eastAsia="Open Sans" w:hAnsi="Open Sans"/>
                <w:sz w:val="22"/>
                <w:szCs w:val="22"/>
                <w:rtl w:val="0"/>
              </w:rPr>
              <w:t xml:space="preserve">22,6%</w:t>
            </w:r>
            <w:r w:rsidDel="00000000" w:rsidR="00000000" w:rsidRPr="00000000">
              <w:rPr>
                <w:rtl w:val="0"/>
              </w:rPr>
            </w:r>
          </w:p>
        </w:tc>
      </w:tr>
    </w:tbl>
    <w:p w:rsidR="00000000" w:rsidDel="00000000" w:rsidP="00000000" w:rsidRDefault="00000000" w:rsidRPr="00000000" w14:paraId="000002CC">
      <w:pPr>
        <w:pBdr>
          <w:top w:space="0" w:sz="0" w:val="nil"/>
          <w:left w:space="0" w:sz="0" w:val="nil"/>
          <w:bottom w:space="0" w:sz="0" w:val="nil"/>
          <w:right w:space="0" w:sz="0" w:val="nil"/>
          <w:between w:space="0" w:sz="0" w:val="nil"/>
        </w:pBdr>
        <w:spacing w:after="280" w:before="280" w:line="276" w:lineRule="auto"/>
        <w:jc w:val="both"/>
        <w:rPr>
          <w:rFonts w:ascii="Open Sans" w:cs="Open Sans" w:eastAsia="Open Sans" w:hAnsi="Open Sans"/>
          <w:color w:val="000000"/>
        </w:rPr>
      </w:pPr>
      <w:r w:rsidDel="00000000" w:rsidR="00000000" w:rsidRPr="00000000">
        <w:rPr>
          <w:rFonts w:ascii="Open Sans Light" w:cs="Open Sans Light" w:eastAsia="Open Sans Light" w:hAnsi="Open Sans Light"/>
          <w:b w:val="1"/>
          <w:color w:val="303ab2"/>
          <w:sz w:val="28"/>
          <w:szCs w:val="28"/>
          <w:rtl w:val="0"/>
        </w:rPr>
        <w:t xml:space="preserve">Municipios con descenso y menor incremento interanual</w:t>
      </w:r>
      <w:r w:rsidDel="00000000" w:rsidR="00000000" w:rsidRPr="00000000">
        <w:rPr>
          <w:rtl w:val="0"/>
        </w:rPr>
      </w:r>
    </w:p>
    <w:tbl>
      <w:tblPr>
        <w:tblStyle w:val="Table5"/>
        <w:tblW w:w="8931.0" w:type="dxa"/>
        <w:jc w:val="left"/>
        <w:tblInd w:w="-5.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A0"/>
      </w:tblPr>
      <w:tblGrid>
        <w:gridCol w:w="1701"/>
        <w:gridCol w:w="1985"/>
        <w:gridCol w:w="1984"/>
        <w:gridCol w:w="1560"/>
        <w:gridCol w:w="1701"/>
        <w:tblGridChange w:id="0">
          <w:tblGrid>
            <w:gridCol w:w="1701"/>
            <w:gridCol w:w="1985"/>
            <w:gridCol w:w="1984"/>
            <w:gridCol w:w="1560"/>
            <w:gridCol w:w="1701"/>
          </w:tblGrid>
        </w:tblGridChange>
      </w:tblGrid>
      <w:tr>
        <w:trPr>
          <w:cantSplit w:val="0"/>
          <w:trHeight w:val="212" w:hRule="atLeast"/>
          <w:tblHeader w:val="0"/>
        </w:trPr>
        <w:tc>
          <w:tcPr>
            <w:vAlign w:val="center"/>
          </w:tcPr>
          <w:p w:rsidR="00000000" w:rsidDel="00000000" w:rsidP="00000000" w:rsidRDefault="00000000" w:rsidRPr="00000000" w14:paraId="000002CD">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Provincia</w:t>
            </w:r>
            <w:r w:rsidDel="00000000" w:rsidR="00000000" w:rsidRPr="00000000">
              <w:rPr>
                <w:rtl w:val="0"/>
              </w:rPr>
            </w:r>
          </w:p>
        </w:tc>
        <w:tc>
          <w:tcPr>
            <w:vAlign w:val="center"/>
          </w:tcPr>
          <w:p w:rsidR="00000000" w:rsidDel="00000000" w:rsidP="00000000" w:rsidRDefault="00000000" w:rsidRPr="00000000" w14:paraId="000002CE">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Municipio</w:t>
            </w:r>
            <w:r w:rsidDel="00000000" w:rsidR="00000000" w:rsidRPr="00000000">
              <w:rPr>
                <w:rtl w:val="0"/>
              </w:rPr>
            </w:r>
          </w:p>
        </w:tc>
        <w:tc>
          <w:tcPr>
            <w:vAlign w:val="center"/>
          </w:tcPr>
          <w:p w:rsidR="00000000" w:rsidDel="00000000" w:rsidP="00000000" w:rsidRDefault="00000000" w:rsidRPr="00000000" w14:paraId="000002CF">
            <w:pPr>
              <w:jc w:val="cente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Noviembre 2024</w:t>
            </w:r>
            <w:r w:rsidDel="00000000" w:rsidR="00000000" w:rsidRPr="00000000">
              <w:rPr>
                <w:rtl w:val="0"/>
              </w:rPr>
            </w:r>
          </w:p>
          <w:p w:rsidR="00000000" w:rsidDel="00000000" w:rsidP="00000000" w:rsidRDefault="00000000" w:rsidRPr="00000000" w14:paraId="000002D0">
            <w:pPr>
              <w:jc w:val="cente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(€/m² al mes)</w:t>
            </w:r>
            <w:r w:rsidDel="00000000" w:rsidR="00000000" w:rsidRPr="00000000">
              <w:rPr>
                <w:rtl w:val="0"/>
              </w:rPr>
            </w:r>
          </w:p>
        </w:tc>
        <w:tc>
          <w:tcPr>
            <w:vAlign w:val="center"/>
          </w:tcPr>
          <w:p w:rsidR="00000000" w:rsidDel="00000000" w:rsidP="00000000" w:rsidRDefault="00000000" w:rsidRPr="00000000" w14:paraId="000002D1">
            <w:pPr>
              <w:jc w:val="cente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Variación mensual (%)</w:t>
            </w:r>
            <w:r w:rsidDel="00000000" w:rsidR="00000000" w:rsidRPr="00000000">
              <w:rPr>
                <w:rtl w:val="0"/>
              </w:rPr>
            </w:r>
          </w:p>
        </w:tc>
        <w:tc>
          <w:tcPr>
            <w:vAlign w:val="center"/>
          </w:tcPr>
          <w:p w:rsidR="00000000" w:rsidDel="00000000" w:rsidP="00000000" w:rsidRDefault="00000000" w:rsidRPr="00000000" w14:paraId="000002D2">
            <w:pPr>
              <w:jc w:val="cente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Variación interanual (%)</w:t>
            </w:r>
            <w:r w:rsidDel="00000000" w:rsidR="00000000" w:rsidRPr="00000000">
              <w:rPr>
                <w:rtl w:val="0"/>
              </w:rPr>
            </w:r>
          </w:p>
        </w:tc>
      </w:tr>
      <w:tr>
        <w:trPr>
          <w:cantSplit w:val="0"/>
          <w:trHeight w:val="212" w:hRule="atLeast"/>
          <w:tblHeader w:val="0"/>
        </w:trPr>
        <w:tc>
          <w:tcPr>
            <w:vAlign w:val="bottom"/>
          </w:tcPr>
          <w:p w:rsidR="00000000" w:rsidDel="00000000" w:rsidP="00000000" w:rsidRDefault="00000000" w:rsidRPr="00000000" w14:paraId="000002D3">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Cantabria</w:t>
            </w:r>
            <w:r w:rsidDel="00000000" w:rsidR="00000000" w:rsidRPr="00000000">
              <w:rPr>
                <w:rtl w:val="0"/>
              </w:rPr>
            </w:r>
          </w:p>
        </w:tc>
        <w:tc>
          <w:tcPr>
            <w:vAlign w:val="bottom"/>
          </w:tcPr>
          <w:p w:rsidR="00000000" w:rsidDel="00000000" w:rsidP="00000000" w:rsidRDefault="00000000" w:rsidRPr="00000000" w14:paraId="000002D4">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Laredo</w:t>
            </w:r>
            <w:r w:rsidDel="00000000" w:rsidR="00000000" w:rsidRPr="00000000">
              <w:rPr>
                <w:rtl w:val="0"/>
              </w:rPr>
            </w:r>
          </w:p>
        </w:tc>
        <w:tc>
          <w:tcPr>
            <w:vAlign w:val="bottom"/>
          </w:tcPr>
          <w:p w:rsidR="00000000" w:rsidDel="00000000" w:rsidP="00000000" w:rsidRDefault="00000000" w:rsidRPr="00000000" w14:paraId="000002D5">
            <w:pPr>
              <w:jc w:val="center"/>
              <w:rPr>
                <w:rFonts w:ascii="Open Sans" w:cs="Open Sans" w:eastAsia="Open Sans" w:hAnsi="Open Sans"/>
                <w:color w:val="9c0006"/>
                <w:sz w:val="22"/>
                <w:szCs w:val="22"/>
              </w:rPr>
            </w:pPr>
            <w:r w:rsidDel="00000000" w:rsidR="00000000" w:rsidRPr="00000000">
              <w:rPr>
                <w:rFonts w:ascii="Open Sans" w:cs="Open Sans" w:eastAsia="Open Sans" w:hAnsi="Open Sans"/>
                <w:sz w:val="22"/>
                <w:szCs w:val="22"/>
                <w:rtl w:val="0"/>
              </w:rPr>
              <w:t xml:space="preserve">11,83 €</w:t>
            </w:r>
            <w:r w:rsidDel="00000000" w:rsidR="00000000" w:rsidRPr="00000000">
              <w:rPr>
                <w:rtl w:val="0"/>
              </w:rPr>
            </w:r>
          </w:p>
        </w:tc>
        <w:tc>
          <w:tcPr>
            <w:vAlign w:val="bottom"/>
          </w:tcPr>
          <w:p w:rsidR="00000000" w:rsidDel="00000000" w:rsidP="00000000" w:rsidRDefault="00000000" w:rsidRPr="00000000" w14:paraId="000002D6">
            <w:pPr>
              <w:jc w:val="center"/>
              <w:rPr>
                <w:rFonts w:ascii="Open Sans" w:cs="Open Sans" w:eastAsia="Open Sans" w:hAnsi="Open Sans"/>
                <w:sz w:val="22"/>
                <w:szCs w:val="22"/>
              </w:rPr>
            </w:pPr>
            <w:r w:rsidDel="00000000" w:rsidR="00000000" w:rsidRPr="00000000">
              <w:rPr>
                <w:rFonts w:ascii="Open Sans" w:cs="Open Sans" w:eastAsia="Open Sans" w:hAnsi="Open Sans"/>
                <w:color w:val="9c0006"/>
                <w:sz w:val="22"/>
                <w:szCs w:val="22"/>
                <w:rtl w:val="0"/>
              </w:rPr>
              <w:t xml:space="preserve">-8,6%</w:t>
            </w:r>
            <w:r w:rsidDel="00000000" w:rsidR="00000000" w:rsidRPr="00000000">
              <w:rPr>
                <w:rtl w:val="0"/>
              </w:rPr>
            </w:r>
          </w:p>
        </w:tc>
        <w:tc>
          <w:tcPr>
            <w:vAlign w:val="bottom"/>
          </w:tcPr>
          <w:p w:rsidR="00000000" w:rsidDel="00000000" w:rsidP="00000000" w:rsidRDefault="00000000" w:rsidRPr="00000000" w14:paraId="000002D7">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color w:val="9c0006"/>
                <w:sz w:val="22"/>
                <w:szCs w:val="22"/>
                <w:rtl w:val="0"/>
              </w:rPr>
              <w:t xml:space="preserve">-35,1%</w:t>
            </w:r>
            <w:r w:rsidDel="00000000" w:rsidR="00000000" w:rsidRPr="00000000">
              <w:rPr>
                <w:rtl w:val="0"/>
              </w:rPr>
            </w:r>
          </w:p>
        </w:tc>
      </w:tr>
      <w:tr>
        <w:trPr>
          <w:cantSplit w:val="0"/>
          <w:trHeight w:val="212" w:hRule="atLeast"/>
          <w:tblHeader w:val="0"/>
        </w:trPr>
        <w:tc>
          <w:tcPr>
            <w:vAlign w:val="bottom"/>
          </w:tcPr>
          <w:p w:rsidR="00000000" w:rsidDel="00000000" w:rsidP="00000000" w:rsidRDefault="00000000" w:rsidRPr="00000000" w14:paraId="000002D8">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Valencia</w:t>
            </w:r>
            <w:r w:rsidDel="00000000" w:rsidR="00000000" w:rsidRPr="00000000">
              <w:rPr>
                <w:rtl w:val="0"/>
              </w:rPr>
            </w:r>
          </w:p>
        </w:tc>
        <w:tc>
          <w:tcPr>
            <w:vAlign w:val="bottom"/>
          </w:tcPr>
          <w:p w:rsidR="00000000" w:rsidDel="00000000" w:rsidP="00000000" w:rsidRDefault="00000000" w:rsidRPr="00000000" w14:paraId="000002D9">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Canet d'En Berenguer</w:t>
            </w:r>
            <w:r w:rsidDel="00000000" w:rsidR="00000000" w:rsidRPr="00000000">
              <w:rPr>
                <w:rtl w:val="0"/>
              </w:rPr>
            </w:r>
          </w:p>
        </w:tc>
        <w:tc>
          <w:tcPr>
            <w:vAlign w:val="bottom"/>
          </w:tcPr>
          <w:p w:rsidR="00000000" w:rsidDel="00000000" w:rsidP="00000000" w:rsidRDefault="00000000" w:rsidRPr="00000000" w14:paraId="000002DA">
            <w:pPr>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12,07 €</w:t>
            </w:r>
          </w:p>
        </w:tc>
        <w:tc>
          <w:tcPr>
            <w:vAlign w:val="bottom"/>
          </w:tcPr>
          <w:p w:rsidR="00000000" w:rsidDel="00000000" w:rsidP="00000000" w:rsidRDefault="00000000" w:rsidRPr="00000000" w14:paraId="000002DB">
            <w:pPr>
              <w:jc w:val="center"/>
              <w:rPr>
                <w:rFonts w:ascii="Open Sans" w:cs="Open Sans" w:eastAsia="Open Sans" w:hAnsi="Open Sans"/>
                <w:sz w:val="22"/>
                <w:szCs w:val="22"/>
              </w:rPr>
            </w:pPr>
            <w:r w:rsidDel="00000000" w:rsidR="00000000" w:rsidRPr="00000000">
              <w:rPr>
                <w:rFonts w:ascii="Open Sans" w:cs="Open Sans" w:eastAsia="Open Sans" w:hAnsi="Open Sans"/>
                <w:color w:val="9c0006"/>
                <w:sz w:val="22"/>
                <w:szCs w:val="22"/>
                <w:rtl w:val="0"/>
              </w:rPr>
              <w:t xml:space="preserve">-2,7%</w:t>
            </w:r>
            <w:r w:rsidDel="00000000" w:rsidR="00000000" w:rsidRPr="00000000">
              <w:rPr>
                <w:rtl w:val="0"/>
              </w:rPr>
            </w:r>
          </w:p>
        </w:tc>
        <w:tc>
          <w:tcPr>
            <w:vAlign w:val="bottom"/>
          </w:tcPr>
          <w:p w:rsidR="00000000" w:rsidDel="00000000" w:rsidP="00000000" w:rsidRDefault="00000000" w:rsidRPr="00000000" w14:paraId="000002DC">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color w:val="9c0006"/>
                <w:sz w:val="22"/>
                <w:szCs w:val="22"/>
                <w:rtl w:val="0"/>
              </w:rPr>
              <w:t xml:space="preserve">-22,8%</w:t>
            </w:r>
            <w:r w:rsidDel="00000000" w:rsidR="00000000" w:rsidRPr="00000000">
              <w:rPr>
                <w:rtl w:val="0"/>
              </w:rPr>
            </w:r>
          </w:p>
        </w:tc>
      </w:tr>
      <w:tr>
        <w:trPr>
          <w:cantSplit w:val="0"/>
          <w:trHeight w:val="262" w:hRule="atLeast"/>
          <w:tblHeader w:val="0"/>
        </w:trPr>
        <w:tc>
          <w:tcPr>
            <w:vAlign w:val="bottom"/>
          </w:tcPr>
          <w:p w:rsidR="00000000" w:rsidDel="00000000" w:rsidP="00000000" w:rsidRDefault="00000000" w:rsidRPr="00000000" w14:paraId="000002DD">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Córdoba</w:t>
            </w:r>
            <w:r w:rsidDel="00000000" w:rsidR="00000000" w:rsidRPr="00000000">
              <w:rPr>
                <w:rtl w:val="0"/>
              </w:rPr>
            </w:r>
          </w:p>
        </w:tc>
        <w:tc>
          <w:tcPr>
            <w:vAlign w:val="bottom"/>
          </w:tcPr>
          <w:p w:rsidR="00000000" w:rsidDel="00000000" w:rsidP="00000000" w:rsidRDefault="00000000" w:rsidRPr="00000000" w14:paraId="000002DE">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Lucena</w:t>
            </w:r>
            <w:r w:rsidDel="00000000" w:rsidR="00000000" w:rsidRPr="00000000">
              <w:rPr>
                <w:rtl w:val="0"/>
              </w:rPr>
            </w:r>
          </w:p>
        </w:tc>
        <w:tc>
          <w:tcPr>
            <w:vAlign w:val="bottom"/>
          </w:tcPr>
          <w:p w:rsidR="00000000" w:rsidDel="00000000" w:rsidP="00000000" w:rsidRDefault="00000000" w:rsidRPr="00000000" w14:paraId="000002DF">
            <w:pPr>
              <w:jc w:val="center"/>
              <w:rPr>
                <w:rFonts w:ascii="Open Sans" w:cs="Open Sans" w:eastAsia="Open Sans" w:hAnsi="Open Sans"/>
                <w:color w:val="9c0006"/>
                <w:sz w:val="22"/>
                <w:szCs w:val="22"/>
              </w:rPr>
            </w:pPr>
            <w:r w:rsidDel="00000000" w:rsidR="00000000" w:rsidRPr="00000000">
              <w:rPr>
                <w:rFonts w:ascii="Open Sans" w:cs="Open Sans" w:eastAsia="Open Sans" w:hAnsi="Open Sans"/>
                <w:sz w:val="22"/>
                <w:szCs w:val="22"/>
                <w:rtl w:val="0"/>
              </w:rPr>
              <w:t xml:space="preserve">5,88 €</w:t>
            </w:r>
            <w:r w:rsidDel="00000000" w:rsidR="00000000" w:rsidRPr="00000000">
              <w:rPr>
                <w:rtl w:val="0"/>
              </w:rPr>
            </w:r>
          </w:p>
        </w:tc>
        <w:tc>
          <w:tcPr>
            <w:vAlign w:val="bottom"/>
          </w:tcPr>
          <w:p w:rsidR="00000000" w:rsidDel="00000000" w:rsidP="00000000" w:rsidRDefault="00000000" w:rsidRPr="00000000" w14:paraId="000002E0">
            <w:pPr>
              <w:jc w:val="center"/>
              <w:rPr>
                <w:rFonts w:ascii="Open Sans" w:cs="Open Sans" w:eastAsia="Open Sans" w:hAnsi="Open Sans"/>
                <w:sz w:val="22"/>
                <w:szCs w:val="22"/>
              </w:rPr>
            </w:pPr>
            <w:r w:rsidDel="00000000" w:rsidR="00000000" w:rsidRPr="00000000">
              <w:rPr>
                <w:rFonts w:ascii="Open Sans" w:cs="Open Sans" w:eastAsia="Open Sans" w:hAnsi="Open Sans"/>
                <w:color w:val="9c0006"/>
                <w:sz w:val="22"/>
                <w:szCs w:val="22"/>
                <w:rtl w:val="0"/>
              </w:rPr>
              <w:t xml:space="preserve">-6,1%</w:t>
            </w:r>
            <w:r w:rsidDel="00000000" w:rsidR="00000000" w:rsidRPr="00000000">
              <w:rPr>
                <w:rtl w:val="0"/>
              </w:rPr>
            </w:r>
          </w:p>
        </w:tc>
        <w:tc>
          <w:tcPr>
            <w:vAlign w:val="bottom"/>
          </w:tcPr>
          <w:p w:rsidR="00000000" w:rsidDel="00000000" w:rsidP="00000000" w:rsidRDefault="00000000" w:rsidRPr="00000000" w14:paraId="000002E1">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color w:val="9c0006"/>
                <w:sz w:val="22"/>
                <w:szCs w:val="22"/>
                <w:rtl w:val="0"/>
              </w:rPr>
              <w:t xml:space="preserve">-20,3%</w:t>
            </w:r>
            <w:r w:rsidDel="00000000" w:rsidR="00000000" w:rsidRPr="00000000">
              <w:rPr>
                <w:rtl w:val="0"/>
              </w:rPr>
            </w:r>
          </w:p>
        </w:tc>
      </w:tr>
      <w:tr>
        <w:trPr>
          <w:cantSplit w:val="0"/>
          <w:trHeight w:val="212" w:hRule="atLeast"/>
          <w:tblHeader w:val="0"/>
        </w:trPr>
        <w:tc>
          <w:tcPr>
            <w:vAlign w:val="bottom"/>
          </w:tcPr>
          <w:p w:rsidR="00000000" w:rsidDel="00000000" w:rsidP="00000000" w:rsidRDefault="00000000" w:rsidRPr="00000000" w14:paraId="000002E2">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Araba - Álava</w:t>
            </w:r>
            <w:r w:rsidDel="00000000" w:rsidR="00000000" w:rsidRPr="00000000">
              <w:rPr>
                <w:rtl w:val="0"/>
              </w:rPr>
            </w:r>
          </w:p>
        </w:tc>
        <w:tc>
          <w:tcPr>
            <w:vAlign w:val="bottom"/>
          </w:tcPr>
          <w:p w:rsidR="00000000" w:rsidDel="00000000" w:rsidP="00000000" w:rsidRDefault="00000000" w:rsidRPr="00000000" w14:paraId="000002E3">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Vitoria - Gasteiz</w:t>
            </w:r>
            <w:r w:rsidDel="00000000" w:rsidR="00000000" w:rsidRPr="00000000">
              <w:rPr>
                <w:rtl w:val="0"/>
              </w:rPr>
            </w:r>
          </w:p>
        </w:tc>
        <w:tc>
          <w:tcPr>
            <w:vAlign w:val="bottom"/>
          </w:tcPr>
          <w:p w:rsidR="00000000" w:rsidDel="00000000" w:rsidP="00000000" w:rsidRDefault="00000000" w:rsidRPr="00000000" w14:paraId="000002E4">
            <w:pPr>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11,14 €</w:t>
            </w:r>
          </w:p>
        </w:tc>
        <w:tc>
          <w:tcPr>
            <w:vAlign w:val="bottom"/>
          </w:tcPr>
          <w:p w:rsidR="00000000" w:rsidDel="00000000" w:rsidP="00000000" w:rsidRDefault="00000000" w:rsidRPr="00000000" w14:paraId="000002E5">
            <w:pPr>
              <w:jc w:val="center"/>
              <w:rPr>
                <w:rFonts w:ascii="Open Sans" w:cs="Open Sans" w:eastAsia="Open Sans" w:hAnsi="Open Sans"/>
                <w:sz w:val="22"/>
                <w:szCs w:val="22"/>
              </w:rPr>
            </w:pPr>
            <w:r w:rsidDel="00000000" w:rsidR="00000000" w:rsidRPr="00000000">
              <w:rPr>
                <w:rFonts w:ascii="Open Sans" w:cs="Open Sans" w:eastAsia="Open Sans" w:hAnsi="Open Sans"/>
                <w:color w:val="9c0006"/>
                <w:sz w:val="22"/>
                <w:szCs w:val="22"/>
                <w:rtl w:val="0"/>
              </w:rPr>
              <w:t xml:space="preserve">-12,3%</w:t>
            </w:r>
            <w:r w:rsidDel="00000000" w:rsidR="00000000" w:rsidRPr="00000000">
              <w:rPr>
                <w:rtl w:val="0"/>
              </w:rPr>
            </w:r>
          </w:p>
        </w:tc>
        <w:tc>
          <w:tcPr>
            <w:vAlign w:val="bottom"/>
          </w:tcPr>
          <w:p w:rsidR="00000000" w:rsidDel="00000000" w:rsidP="00000000" w:rsidRDefault="00000000" w:rsidRPr="00000000" w14:paraId="000002E6">
            <w:pPr>
              <w:jc w:val="center"/>
              <w:rPr>
                <w:rFonts w:ascii="Open Sans" w:cs="Open Sans" w:eastAsia="Open Sans" w:hAnsi="Open Sans"/>
                <w:b w:val="1"/>
                <w:color w:val="9c0006"/>
                <w:sz w:val="22"/>
                <w:szCs w:val="22"/>
              </w:rPr>
            </w:pPr>
            <w:r w:rsidDel="00000000" w:rsidR="00000000" w:rsidRPr="00000000">
              <w:rPr>
                <w:rFonts w:ascii="Open Sans" w:cs="Open Sans" w:eastAsia="Open Sans" w:hAnsi="Open Sans"/>
                <w:color w:val="9c0006"/>
                <w:sz w:val="22"/>
                <w:szCs w:val="22"/>
                <w:rtl w:val="0"/>
              </w:rPr>
              <w:t xml:space="preserve">-11,4%</w:t>
            </w:r>
            <w:r w:rsidDel="00000000" w:rsidR="00000000" w:rsidRPr="00000000">
              <w:rPr>
                <w:rtl w:val="0"/>
              </w:rPr>
            </w:r>
          </w:p>
        </w:tc>
      </w:tr>
      <w:tr>
        <w:trPr>
          <w:cantSplit w:val="0"/>
          <w:trHeight w:val="212" w:hRule="atLeast"/>
          <w:tblHeader w:val="0"/>
        </w:trPr>
        <w:tc>
          <w:tcPr>
            <w:vAlign w:val="bottom"/>
          </w:tcPr>
          <w:p w:rsidR="00000000" w:rsidDel="00000000" w:rsidP="00000000" w:rsidRDefault="00000000" w:rsidRPr="00000000" w14:paraId="000002E7">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Cádiz</w:t>
            </w:r>
            <w:r w:rsidDel="00000000" w:rsidR="00000000" w:rsidRPr="00000000">
              <w:rPr>
                <w:rtl w:val="0"/>
              </w:rPr>
            </w:r>
          </w:p>
        </w:tc>
        <w:tc>
          <w:tcPr>
            <w:vAlign w:val="bottom"/>
          </w:tcPr>
          <w:p w:rsidR="00000000" w:rsidDel="00000000" w:rsidP="00000000" w:rsidRDefault="00000000" w:rsidRPr="00000000" w14:paraId="000002E8">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Chipiona</w:t>
            </w:r>
            <w:r w:rsidDel="00000000" w:rsidR="00000000" w:rsidRPr="00000000">
              <w:rPr>
                <w:rtl w:val="0"/>
              </w:rPr>
            </w:r>
          </w:p>
        </w:tc>
        <w:tc>
          <w:tcPr>
            <w:vAlign w:val="bottom"/>
          </w:tcPr>
          <w:p w:rsidR="00000000" w:rsidDel="00000000" w:rsidP="00000000" w:rsidRDefault="00000000" w:rsidRPr="00000000" w14:paraId="000002E9">
            <w:pPr>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11,99 €</w:t>
            </w:r>
          </w:p>
        </w:tc>
        <w:tc>
          <w:tcPr>
            <w:vAlign w:val="bottom"/>
          </w:tcPr>
          <w:p w:rsidR="00000000" w:rsidDel="00000000" w:rsidP="00000000" w:rsidRDefault="00000000" w:rsidRPr="00000000" w14:paraId="000002EA">
            <w:pPr>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1,2%</w:t>
            </w:r>
          </w:p>
        </w:tc>
        <w:tc>
          <w:tcPr>
            <w:vAlign w:val="bottom"/>
          </w:tcPr>
          <w:p w:rsidR="00000000" w:rsidDel="00000000" w:rsidP="00000000" w:rsidRDefault="00000000" w:rsidRPr="00000000" w14:paraId="000002EB">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color w:val="9c0006"/>
                <w:sz w:val="22"/>
                <w:szCs w:val="22"/>
                <w:rtl w:val="0"/>
              </w:rPr>
              <w:t xml:space="preserve">-9,2%</w:t>
            </w:r>
            <w:r w:rsidDel="00000000" w:rsidR="00000000" w:rsidRPr="00000000">
              <w:rPr>
                <w:rtl w:val="0"/>
              </w:rPr>
            </w:r>
          </w:p>
        </w:tc>
      </w:tr>
      <w:tr>
        <w:trPr>
          <w:cantSplit w:val="0"/>
          <w:trHeight w:val="212" w:hRule="atLeast"/>
          <w:tblHeader w:val="0"/>
        </w:trPr>
        <w:tc>
          <w:tcPr>
            <w:vAlign w:val="bottom"/>
          </w:tcPr>
          <w:p w:rsidR="00000000" w:rsidDel="00000000" w:rsidP="00000000" w:rsidRDefault="00000000" w:rsidRPr="00000000" w14:paraId="000002EC">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Castellón</w:t>
            </w:r>
            <w:r w:rsidDel="00000000" w:rsidR="00000000" w:rsidRPr="00000000">
              <w:rPr>
                <w:rtl w:val="0"/>
              </w:rPr>
            </w:r>
          </w:p>
        </w:tc>
        <w:tc>
          <w:tcPr>
            <w:vAlign w:val="bottom"/>
          </w:tcPr>
          <w:p w:rsidR="00000000" w:rsidDel="00000000" w:rsidP="00000000" w:rsidRDefault="00000000" w:rsidRPr="00000000" w14:paraId="000002ED">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Burriana / Borriana</w:t>
            </w:r>
            <w:r w:rsidDel="00000000" w:rsidR="00000000" w:rsidRPr="00000000">
              <w:rPr>
                <w:rtl w:val="0"/>
              </w:rPr>
            </w:r>
          </w:p>
        </w:tc>
        <w:tc>
          <w:tcPr>
            <w:vAlign w:val="bottom"/>
          </w:tcPr>
          <w:p w:rsidR="00000000" w:rsidDel="00000000" w:rsidP="00000000" w:rsidRDefault="00000000" w:rsidRPr="00000000" w14:paraId="000002EE">
            <w:pPr>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6,62 €</w:t>
            </w:r>
          </w:p>
        </w:tc>
        <w:tc>
          <w:tcPr>
            <w:vAlign w:val="bottom"/>
          </w:tcPr>
          <w:p w:rsidR="00000000" w:rsidDel="00000000" w:rsidP="00000000" w:rsidRDefault="00000000" w:rsidRPr="00000000" w14:paraId="000002EF">
            <w:pPr>
              <w:jc w:val="center"/>
              <w:rPr>
                <w:rFonts w:ascii="Open Sans" w:cs="Open Sans" w:eastAsia="Open Sans" w:hAnsi="Open Sans"/>
                <w:sz w:val="22"/>
                <w:szCs w:val="22"/>
              </w:rPr>
            </w:pPr>
            <w:r w:rsidDel="00000000" w:rsidR="00000000" w:rsidRPr="00000000">
              <w:rPr>
                <w:rFonts w:ascii="Open Sans" w:cs="Open Sans" w:eastAsia="Open Sans" w:hAnsi="Open Sans"/>
                <w:color w:val="9c0006"/>
                <w:sz w:val="22"/>
                <w:szCs w:val="22"/>
                <w:rtl w:val="0"/>
              </w:rPr>
              <w:t xml:space="preserve">-1,6%</w:t>
            </w:r>
            <w:r w:rsidDel="00000000" w:rsidR="00000000" w:rsidRPr="00000000">
              <w:rPr>
                <w:rtl w:val="0"/>
              </w:rPr>
            </w:r>
          </w:p>
        </w:tc>
        <w:tc>
          <w:tcPr>
            <w:vAlign w:val="bottom"/>
          </w:tcPr>
          <w:p w:rsidR="00000000" w:rsidDel="00000000" w:rsidP="00000000" w:rsidRDefault="00000000" w:rsidRPr="00000000" w14:paraId="000002F0">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color w:val="9c0006"/>
                <w:sz w:val="22"/>
                <w:szCs w:val="22"/>
                <w:rtl w:val="0"/>
              </w:rPr>
              <w:t xml:space="preserve">-8,6%</w:t>
            </w:r>
            <w:r w:rsidDel="00000000" w:rsidR="00000000" w:rsidRPr="00000000">
              <w:rPr>
                <w:rtl w:val="0"/>
              </w:rPr>
            </w:r>
          </w:p>
        </w:tc>
      </w:tr>
      <w:tr>
        <w:trPr>
          <w:cantSplit w:val="0"/>
          <w:trHeight w:val="212" w:hRule="atLeast"/>
          <w:tblHeader w:val="0"/>
        </w:trPr>
        <w:tc>
          <w:tcPr>
            <w:vAlign w:val="bottom"/>
          </w:tcPr>
          <w:p w:rsidR="00000000" w:rsidDel="00000000" w:rsidP="00000000" w:rsidRDefault="00000000" w:rsidRPr="00000000" w14:paraId="000002F1">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Tarragona</w:t>
            </w:r>
            <w:r w:rsidDel="00000000" w:rsidR="00000000" w:rsidRPr="00000000">
              <w:rPr>
                <w:rtl w:val="0"/>
              </w:rPr>
            </w:r>
          </w:p>
        </w:tc>
        <w:tc>
          <w:tcPr>
            <w:vAlign w:val="bottom"/>
          </w:tcPr>
          <w:p w:rsidR="00000000" w:rsidDel="00000000" w:rsidP="00000000" w:rsidRDefault="00000000" w:rsidRPr="00000000" w14:paraId="000002F2">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Reus</w:t>
            </w:r>
            <w:r w:rsidDel="00000000" w:rsidR="00000000" w:rsidRPr="00000000">
              <w:rPr>
                <w:rtl w:val="0"/>
              </w:rPr>
            </w:r>
          </w:p>
        </w:tc>
        <w:tc>
          <w:tcPr>
            <w:vAlign w:val="bottom"/>
          </w:tcPr>
          <w:p w:rsidR="00000000" w:rsidDel="00000000" w:rsidP="00000000" w:rsidRDefault="00000000" w:rsidRPr="00000000" w14:paraId="000002F3">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8,17 €</w:t>
            </w:r>
            <w:r w:rsidDel="00000000" w:rsidR="00000000" w:rsidRPr="00000000">
              <w:rPr>
                <w:rtl w:val="0"/>
              </w:rPr>
            </w:r>
          </w:p>
        </w:tc>
        <w:tc>
          <w:tcPr>
            <w:vAlign w:val="bottom"/>
          </w:tcPr>
          <w:p w:rsidR="00000000" w:rsidDel="00000000" w:rsidP="00000000" w:rsidRDefault="00000000" w:rsidRPr="00000000" w14:paraId="000002F4">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9c0006"/>
                <w:sz w:val="22"/>
                <w:szCs w:val="22"/>
                <w:rtl w:val="0"/>
              </w:rPr>
              <w:t xml:space="preserve">-8,4%</w:t>
            </w:r>
            <w:r w:rsidDel="00000000" w:rsidR="00000000" w:rsidRPr="00000000">
              <w:rPr>
                <w:rtl w:val="0"/>
              </w:rPr>
            </w:r>
          </w:p>
        </w:tc>
        <w:tc>
          <w:tcPr>
            <w:vAlign w:val="bottom"/>
          </w:tcPr>
          <w:p w:rsidR="00000000" w:rsidDel="00000000" w:rsidP="00000000" w:rsidRDefault="00000000" w:rsidRPr="00000000" w14:paraId="000002F5">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color w:val="9c0006"/>
                <w:sz w:val="22"/>
                <w:szCs w:val="22"/>
                <w:rtl w:val="0"/>
              </w:rPr>
              <w:t xml:space="preserve">-8,3%</w:t>
            </w:r>
            <w:r w:rsidDel="00000000" w:rsidR="00000000" w:rsidRPr="00000000">
              <w:rPr>
                <w:rtl w:val="0"/>
              </w:rPr>
            </w:r>
          </w:p>
        </w:tc>
      </w:tr>
      <w:tr>
        <w:trPr>
          <w:cantSplit w:val="0"/>
          <w:trHeight w:val="212" w:hRule="atLeast"/>
          <w:tblHeader w:val="0"/>
        </w:trPr>
        <w:tc>
          <w:tcPr>
            <w:vAlign w:val="bottom"/>
          </w:tcPr>
          <w:p w:rsidR="00000000" w:rsidDel="00000000" w:rsidP="00000000" w:rsidRDefault="00000000" w:rsidRPr="00000000" w14:paraId="000002F6">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Málaga</w:t>
            </w:r>
            <w:r w:rsidDel="00000000" w:rsidR="00000000" w:rsidRPr="00000000">
              <w:rPr>
                <w:rtl w:val="0"/>
              </w:rPr>
            </w:r>
          </w:p>
        </w:tc>
        <w:tc>
          <w:tcPr>
            <w:vAlign w:val="bottom"/>
          </w:tcPr>
          <w:p w:rsidR="00000000" w:rsidDel="00000000" w:rsidP="00000000" w:rsidRDefault="00000000" w:rsidRPr="00000000" w14:paraId="000002F7">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Torrox</w:t>
            </w:r>
            <w:r w:rsidDel="00000000" w:rsidR="00000000" w:rsidRPr="00000000">
              <w:rPr>
                <w:rtl w:val="0"/>
              </w:rPr>
            </w:r>
          </w:p>
        </w:tc>
        <w:tc>
          <w:tcPr>
            <w:vAlign w:val="bottom"/>
          </w:tcPr>
          <w:p w:rsidR="00000000" w:rsidDel="00000000" w:rsidP="00000000" w:rsidRDefault="00000000" w:rsidRPr="00000000" w14:paraId="000002F8">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11,02 €</w:t>
            </w:r>
            <w:r w:rsidDel="00000000" w:rsidR="00000000" w:rsidRPr="00000000">
              <w:rPr>
                <w:rtl w:val="0"/>
              </w:rPr>
            </w:r>
          </w:p>
        </w:tc>
        <w:tc>
          <w:tcPr>
            <w:vAlign w:val="bottom"/>
          </w:tcPr>
          <w:p w:rsidR="00000000" w:rsidDel="00000000" w:rsidP="00000000" w:rsidRDefault="00000000" w:rsidRPr="00000000" w14:paraId="000002F9">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3,3%</w:t>
            </w:r>
            <w:r w:rsidDel="00000000" w:rsidR="00000000" w:rsidRPr="00000000">
              <w:rPr>
                <w:rtl w:val="0"/>
              </w:rPr>
            </w:r>
          </w:p>
        </w:tc>
        <w:tc>
          <w:tcPr>
            <w:vAlign w:val="bottom"/>
          </w:tcPr>
          <w:p w:rsidR="00000000" w:rsidDel="00000000" w:rsidP="00000000" w:rsidRDefault="00000000" w:rsidRPr="00000000" w14:paraId="000002FA">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color w:val="9c0006"/>
                <w:sz w:val="22"/>
                <w:szCs w:val="22"/>
                <w:rtl w:val="0"/>
              </w:rPr>
              <w:t xml:space="preserve">-4,5%</w:t>
            </w:r>
            <w:r w:rsidDel="00000000" w:rsidR="00000000" w:rsidRPr="00000000">
              <w:rPr>
                <w:rtl w:val="0"/>
              </w:rPr>
            </w:r>
          </w:p>
        </w:tc>
      </w:tr>
      <w:tr>
        <w:trPr>
          <w:cantSplit w:val="0"/>
          <w:trHeight w:val="212" w:hRule="atLeast"/>
          <w:tblHeader w:val="0"/>
        </w:trPr>
        <w:tc>
          <w:tcPr>
            <w:vAlign w:val="bottom"/>
          </w:tcPr>
          <w:p w:rsidR="00000000" w:rsidDel="00000000" w:rsidP="00000000" w:rsidRDefault="00000000" w:rsidRPr="00000000" w14:paraId="000002FB">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Castellón</w:t>
            </w:r>
            <w:r w:rsidDel="00000000" w:rsidR="00000000" w:rsidRPr="00000000">
              <w:rPr>
                <w:rtl w:val="0"/>
              </w:rPr>
            </w:r>
          </w:p>
        </w:tc>
        <w:tc>
          <w:tcPr>
            <w:vAlign w:val="bottom"/>
          </w:tcPr>
          <w:p w:rsidR="00000000" w:rsidDel="00000000" w:rsidP="00000000" w:rsidRDefault="00000000" w:rsidRPr="00000000" w14:paraId="000002FC">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Peñíscola / Peníscola</w:t>
            </w:r>
            <w:r w:rsidDel="00000000" w:rsidR="00000000" w:rsidRPr="00000000">
              <w:rPr>
                <w:rtl w:val="0"/>
              </w:rPr>
            </w:r>
          </w:p>
        </w:tc>
        <w:tc>
          <w:tcPr>
            <w:vAlign w:val="bottom"/>
          </w:tcPr>
          <w:p w:rsidR="00000000" w:rsidDel="00000000" w:rsidP="00000000" w:rsidRDefault="00000000" w:rsidRPr="00000000" w14:paraId="000002FD">
            <w:pPr>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8,63 €</w:t>
            </w:r>
          </w:p>
        </w:tc>
        <w:tc>
          <w:tcPr>
            <w:vAlign w:val="bottom"/>
          </w:tcPr>
          <w:p w:rsidR="00000000" w:rsidDel="00000000" w:rsidP="00000000" w:rsidRDefault="00000000" w:rsidRPr="00000000" w14:paraId="000002FE">
            <w:pPr>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0,5%</w:t>
            </w:r>
          </w:p>
        </w:tc>
        <w:tc>
          <w:tcPr>
            <w:vAlign w:val="bottom"/>
          </w:tcPr>
          <w:p w:rsidR="00000000" w:rsidDel="00000000" w:rsidP="00000000" w:rsidRDefault="00000000" w:rsidRPr="00000000" w14:paraId="000002FF">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color w:val="9c0006"/>
                <w:sz w:val="22"/>
                <w:szCs w:val="22"/>
                <w:rtl w:val="0"/>
              </w:rPr>
              <w:t xml:space="preserve">-2,7%</w:t>
            </w:r>
            <w:r w:rsidDel="00000000" w:rsidR="00000000" w:rsidRPr="00000000">
              <w:rPr>
                <w:rtl w:val="0"/>
              </w:rPr>
            </w:r>
          </w:p>
        </w:tc>
      </w:tr>
      <w:tr>
        <w:trPr>
          <w:cantSplit w:val="0"/>
          <w:trHeight w:val="212" w:hRule="atLeast"/>
          <w:tblHeader w:val="0"/>
        </w:trPr>
        <w:tc>
          <w:tcPr>
            <w:vAlign w:val="bottom"/>
          </w:tcPr>
          <w:p w:rsidR="00000000" w:rsidDel="00000000" w:rsidP="00000000" w:rsidRDefault="00000000" w:rsidRPr="00000000" w14:paraId="00000300">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Pontevedra</w:t>
            </w:r>
            <w:r w:rsidDel="00000000" w:rsidR="00000000" w:rsidRPr="00000000">
              <w:rPr>
                <w:rtl w:val="0"/>
              </w:rPr>
            </w:r>
          </w:p>
        </w:tc>
        <w:tc>
          <w:tcPr>
            <w:vAlign w:val="bottom"/>
          </w:tcPr>
          <w:p w:rsidR="00000000" w:rsidDel="00000000" w:rsidP="00000000" w:rsidRDefault="00000000" w:rsidRPr="00000000" w14:paraId="00000301">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Pontevedra capital</w:t>
            </w:r>
            <w:r w:rsidDel="00000000" w:rsidR="00000000" w:rsidRPr="00000000">
              <w:rPr>
                <w:rtl w:val="0"/>
              </w:rPr>
            </w:r>
          </w:p>
        </w:tc>
        <w:tc>
          <w:tcPr>
            <w:vAlign w:val="bottom"/>
          </w:tcPr>
          <w:p w:rsidR="00000000" w:rsidDel="00000000" w:rsidP="00000000" w:rsidRDefault="00000000" w:rsidRPr="00000000" w14:paraId="00000302">
            <w:pPr>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8,51 €</w:t>
            </w:r>
          </w:p>
        </w:tc>
        <w:tc>
          <w:tcPr>
            <w:vAlign w:val="bottom"/>
          </w:tcPr>
          <w:p w:rsidR="00000000" w:rsidDel="00000000" w:rsidP="00000000" w:rsidRDefault="00000000" w:rsidRPr="00000000" w14:paraId="00000303">
            <w:pPr>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2,0%</w:t>
            </w:r>
          </w:p>
        </w:tc>
        <w:tc>
          <w:tcPr>
            <w:vAlign w:val="bottom"/>
          </w:tcPr>
          <w:p w:rsidR="00000000" w:rsidDel="00000000" w:rsidP="00000000" w:rsidRDefault="00000000" w:rsidRPr="00000000" w14:paraId="00000304">
            <w:pPr>
              <w:jc w:val="center"/>
              <w:rPr>
                <w:rFonts w:ascii="Open Sans" w:cs="Open Sans" w:eastAsia="Open Sans" w:hAnsi="Open Sans"/>
                <w:b w:val="1"/>
                <w:color w:val="9c0006"/>
                <w:sz w:val="22"/>
                <w:szCs w:val="22"/>
              </w:rPr>
            </w:pPr>
            <w:r w:rsidDel="00000000" w:rsidR="00000000" w:rsidRPr="00000000">
              <w:rPr>
                <w:rFonts w:ascii="Open Sans" w:cs="Open Sans" w:eastAsia="Open Sans" w:hAnsi="Open Sans"/>
                <w:color w:val="9c0006"/>
                <w:sz w:val="22"/>
                <w:szCs w:val="22"/>
                <w:rtl w:val="0"/>
              </w:rPr>
              <w:t xml:space="preserve">-0,8%</w:t>
            </w:r>
            <w:r w:rsidDel="00000000" w:rsidR="00000000" w:rsidRPr="00000000">
              <w:rPr>
                <w:rtl w:val="0"/>
              </w:rPr>
            </w:r>
          </w:p>
        </w:tc>
      </w:tr>
    </w:tbl>
    <w:p w:rsidR="00000000" w:rsidDel="00000000" w:rsidP="00000000" w:rsidRDefault="00000000" w:rsidRPr="00000000" w14:paraId="00000305">
      <w:pPr>
        <w:pBdr>
          <w:top w:space="0" w:sz="0" w:val="nil"/>
          <w:left w:space="0" w:sz="0" w:val="nil"/>
          <w:bottom w:space="0" w:sz="0" w:val="nil"/>
          <w:right w:space="0" w:sz="0" w:val="nil"/>
          <w:between w:space="0" w:sz="0" w:val="nil"/>
        </w:pBdr>
        <w:spacing w:after="280" w:before="280" w:line="276" w:lineRule="auto"/>
        <w:jc w:val="both"/>
        <w:rPr>
          <w:rFonts w:ascii="Open Sans Light" w:cs="Open Sans Light" w:eastAsia="Open Sans Light" w:hAnsi="Open Sans Light"/>
          <w:b w:val="1"/>
          <w:color w:val="303ab2"/>
          <w:sz w:val="28"/>
          <w:szCs w:val="28"/>
        </w:rPr>
      </w:pPr>
      <w:r w:rsidDel="00000000" w:rsidR="00000000" w:rsidRPr="00000000">
        <w:rPr>
          <w:rFonts w:ascii="Open Sans Light" w:cs="Open Sans Light" w:eastAsia="Open Sans Light" w:hAnsi="Open Sans Light"/>
          <w:b w:val="1"/>
          <w:color w:val="303ab2"/>
          <w:sz w:val="28"/>
          <w:szCs w:val="28"/>
          <w:rtl w:val="0"/>
        </w:rPr>
        <w:t xml:space="preserve">Municipios con mayor precio </w:t>
      </w:r>
    </w:p>
    <w:tbl>
      <w:tblPr>
        <w:tblStyle w:val="Table6"/>
        <w:tblW w:w="8931.0" w:type="dxa"/>
        <w:jc w:val="left"/>
        <w:tblInd w:w="-5.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A0"/>
      </w:tblPr>
      <w:tblGrid>
        <w:gridCol w:w="1560"/>
        <w:gridCol w:w="1984"/>
        <w:gridCol w:w="1985"/>
        <w:gridCol w:w="1701"/>
        <w:gridCol w:w="1701"/>
        <w:tblGridChange w:id="0">
          <w:tblGrid>
            <w:gridCol w:w="1560"/>
            <w:gridCol w:w="1984"/>
            <w:gridCol w:w="1985"/>
            <w:gridCol w:w="1701"/>
            <w:gridCol w:w="1701"/>
          </w:tblGrid>
        </w:tblGridChange>
      </w:tblGrid>
      <w:tr>
        <w:trPr>
          <w:cantSplit w:val="0"/>
          <w:trHeight w:val="534" w:hRule="atLeast"/>
          <w:tblHeader w:val="0"/>
        </w:trPr>
        <w:tc>
          <w:tcPr>
            <w:vAlign w:val="center"/>
          </w:tcPr>
          <w:p w:rsidR="00000000" w:rsidDel="00000000" w:rsidP="00000000" w:rsidRDefault="00000000" w:rsidRPr="00000000" w14:paraId="00000306">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Provincia</w:t>
            </w:r>
            <w:r w:rsidDel="00000000" w:rsidR="00000000" w:rsidRPr="00000000">
              <w:rPr>
                <w:rtl w:val="0"/>
              </w:rPr>
            </w:r>
          </w:p>
        </w:tc>
        <w:tc>
          <w:tcPr>
            <w:vAlign w:val="center"/>
          </w:tcPr>
          <w:p w:rsidR="00000000" w:rsidDel="00000000" w:rsidP="00000000" w:rsidRDefault="00000000" w:rsidRPr="00000000" w14:paraId="00000307">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Municipio</w:t>
            </w:r>
            <w:r w:rsidDel="00000000" w:rsidR="00000000" w:rsidRPr="00000000">
              <w:rPr>
                <w:rtl w:val="0"/>
              </w:rPr>
            </w:r>
          </w:p>
        </w:tc>
        <w:tc>
          <w:tcPr>
            <w:vAlign w:val="center"/>
          </w:tcPr>
          <w:p w:rsidR="00000000" w:rsidDel="00000000" w:rsidP="00000000" w:rsidRDefault="00000000" w:rsidRPr="00000000" w14:paraId="00000308">
            <w:pPr>
              <w:jc w:val="cente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Noviembre 2024</w:t>
            </w:r>
            <w:r w:rsidDel="00000000" w:rsidR="00000000" w:rsidRPr="00000000">
              <w:rPr>
                <w:rtl w:val="0"/>
              </w:rPr>
            </w:r>
          </w:p>
          <w:p w:rsidR="00000000" w:rsidDel="00000000" w:rsidP="00000000" w:rsidRDefault="00000000" w:rsidRPr="00000000" w14:paraId="00000309">
            <w:pPr>
              <w:jc w:val="cente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(€/m² al mes)</w:t>
            </w:r>
            <w:r w:rsidDel="00000000" w:rsidR="00000000" w:rsidRPr="00000000">
              <w:rPr>
                <w:rtl w:val="0"/>
              </w:rPr>
            </w:r>
          </w:p>
        </w:tc>
        <w:tc>
          <w:tcPr>
            <w:vAlign w:val="center"/>
          </w:tcPr>
          <w:p w:rsidR="00000000" w:rsidDel="00000000" w:rsidP="00000000" w:rsidRDefault="00000000" w:rsidRPr="00000000" w14:paraId="0000030A">
            <w:pPr>
              <w:jc w:val="cente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Variación mensual (%)</w:t>
            </w:r>
            <w:r w:rsidDel="00000000" w:rsidR="00000000" w:rsidRPr="00000000">
              <w:rPr>
                <w:rtl w:val="0"/>
              </w:rPr>
            </w:r>
          </w:p>
        </w:tc>
        <w:tc>
          <w:tcPr>
            <w:vAlign w:val="center"/>
          </w:tcPr>
          <w:p w:rsidR="00000000" w:rsidDel="00000000" w:rsidP="00000000" w:rsidRDefault="00000000" w:rsidRPr="00000000" w14:paraId="0000030B">
            <w:pPr>
              <w:jc w:val="cente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Variación interanual (%)</w:t>
            </w:r>
            <w:r w:rsidDel="00000000" w:rsidR="00000000" w:rsidRPr="00000000">
              <w:rPr>
                <w:rtl w:val="0"/>
              </w:rPr>
            </w:r>
          </w:p>
        </w:tc>
      </w:tr>
      <w:tr>
        <w:trPr>
          <w:cantSplit w:val="0"/>
          <w:trHeight w:val="212" w:hRule="atLeast"/>
          <w:tblHeader w:val="0"/>
        </w:trPr>
        <w:tc>
          <w:tcPr>
            <w:vAlign w:val="bottom"/>
          </w:tcPr>
          <w:p w:rsidR="00000000" w:rsidDel="00000000" w:rsidP="00000000" w:rsidRDefault="00000000" w:rsidRPr="00000000" w14:paraId="0000030C">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Barcelona</w:t>
            </w:r>
            <w:r w:rsidDel="00000000" w:rsidR="00000000" w:rsidRPr="00000000">
              <w:rPr>
                <w:rtl w:val="0"/>
              </w:rPr>
            </w:r>
          </w:p>
        </w:tc>
        <w:tc>
          <w:tcPr>
            <w:vAlign w:val="bottom"/>
          </w:tcPr>
          <w:p w:rsidR="00000000" w:rsidDel="00000000" w:rsidP="00000000" w:rsidRDefault="00000000" w:rsidRPr="00000000" w14:paraId="0000030D">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Esplugues de Llobregat</w:t>
            </w:r>
            <w:r w:rsidDel="00000000" w:rsidR="00000000" w:rsidRPr="00000000">
              <w:rPr>
                <w:rtl w:val="0"/>
              </w:rPr>
            </w:r>
          </w:p>
        </w:tc>
        <w:tc>
          <w:tcPr>
            <w:vAlign w:val="bottom"/>
          </w:tcPr>
          <w:p w:rsidR="00000000" w:rsidDel="00000000" w:rsidP="00000000" w:rsidRDefault="00000000" w:rsidRPr="00000000" w14:paraId="0000030E">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sz w:val="22"/>
                <w:szCs w:val="22"/>
                <w:rtl w:val="0"/>
              </w:rPr>
              <w:t xml:space="preserve">25,39 €</w:t>
            </w:r>
            <w:r w:rsidDel="00000000" w:rsidR="00000000" w:rsidRPr="00000000">
              <w:rPr>
                <w:rtl w:val="0"/>
              </w:rPr>
            </w:r>
          </w:p>
        </w:tc>
        <w:tc>
          <w:tcPr>
            <w:vAlign w:val="bottom"/>
          </w:tcPr>
          <w:p w:rsidR="00000000" w:rsidDel="00000000" w:rsidP="00000000" w:rsidRDefault="00000000" w:rsidRPr="00000000" w14:paraId="0000030F">
            <w:pPr>
              <w:jc w:val="center"/>
              <w:rPr>
                <w:rFonts w:ascii="Open Sans" w:cs="Open Sans" w:eastAsia="Open Sans" w:hAnsi="Open Sans"/>
                <w:color w:val="9c0006"/>
                <w:sz w:val="22"/>
                <w:szCs w:val="22"/>
              </w:rPr>
            </w:pPr>
            <w:r w:rsidDel="00000000" w:rsidR="00000000" w:rsidRPr="00000000">
              <w:rPr>
                <w:rFonts w:ascii="Open Sans" w:cs="Open Sans" w:eastAsia="Open Sans" w:hAnsi="Open Sans"/>
                <w:color w:val="9c0006"/>
                <w:sz w:val="22"/>
                <w:szCs w:val="22"/>
                <w:rtl w:val="0"/>
              </w:rPr>
              <w:t xml:space="preserve">-5,2%</w:t>
            </w:r>
          </w:p>
        </w:tc>
        <w:tc>
          <w:tcPr>
            <w:vAlign w:val="bottom"/>
          </w:tcPr>
          <w:p w:rsidR="00000000" w:rsidDel="00000000" w:rsidP="00000000" w:rsidRDefault="00000000" w:rsidRPr="00000000" w14:paraId="00000310">
            <w:pPr>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w:t>
            </w:r>
          </w:p>
        </w:tc>
      </w:tr>
      <w:tr>
        <w:trPr>
          <w:cantSplit w:val="0"/>
          <w:trHeight w:val="212" w:hRule="atLeast"/>
          <w:tblHeader w:val="0"/>
        </w:trPr>
        <w:tc>
          <w:tcPr>
            <w:vAlign w:val="bottom"/>
          </w:tcPr>
          <w:p w:rsidR="00000000" w:rsidDel="00000000" w:rsidP="00000000" w:rsidRDefault="00000000" w:rsidRPr="00000000" w14:paraId="00000311">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Barcelona</w:t>
            </w:r>
            <w:r w:rsidDel="00000000" w:rsidR="00000000" w:rsidRPr="00000000">
              <w:rPr>
                <w:rtl w:val="0"/>
              </w:rPr>
            </w:r>
          </w:p>
        </w:tc>
        <w:tc>
          <w:tcPr>
            <w:vAlign w:val="bottom"/>
          </w:tcPr>
          <w:p w:rsidR="00000000" w:rsidDel="00000000" w:rsidP="00000000" w:rsidRDefault="00000000" w:rsidRPr="00000000" w14:paraId="00000312">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Barcelona capital</w:t>
            </w:r>
            <w:r w:rsidDel="00000000" w:rsidR="00000000" w:rsidRPr="00000000">
              <w:rPr>
                <w:rtl w:val="0"/>
              </w:rPr>
            </w:r>
          </w:p>
        </w:tc>
        <w:tc>
          <w:tcPr>
            <w:vAlign w:val="bottom"/>
          </w:tcPr>
          <w:p w:rsidR="00000000" w:rsidDel="00000000" w:rsidP="00000000" w:rsidRDefault="00000000" w:rsidRPr="00000000" w14:paraId="00000313">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sz w:val="22"/>
                <w:szCs w:val="22"/>
                <w:rtl w:val="0"/>
              </w:rPr>
              <w:t xml:space="preserve">22,82 €</w:t>
            </w:r>
            <w:r w:rsidDel="00000000" w:rsidR="00000000" w:rsidRPr="00000000">
              <w:rPr>
                <w:rtl w:val="0"/>
              </w:rPr>
            </w:r>
          </w:p>
        </w:tc>
        <w:tc>
          <w:tcPr>
            <w:vAlign w:val="bottom"/>
          </w:tcPr>
          <w:p w:rsidR="00000000" w:rsidDel="00000000" w:rsidP="00000000" w:rsidRDefault="00000000" w:rsidRPr="00000000" w14:paraId="00000314">
            <w:pPr>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2,2%</w:t>
            </w:r>
          </w:p>
        </w:tc>
        <w:tc>
          <w:tcPr>
            <w:vAlign w:val="bottom"/>
          </w:tcPr>
          <w:p w:rsidR="00000000" w:rsidDel="00000000" w:rsidP="00000000" w:rsidRDefault="00000000" w:rsidRPr="00000000" w14:paraId="00000315">
            <w:pPr>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8,0%</w:t>
            </w:r>
          </w:p>
        </w:tc>
      </w:tr>
      <w:tr>
        <w:trPr>
          <w:cantSplit w:val="0"/>
          <w:trHeight w:val="212" w:hRule="atLeast"/>
          <w:tblHeader w:val="0"/>
        </w:trPr>
        <w:tc>
          <w:tcPr>
            <w:vAlign w:val="bottom"/>
          </w:tcPr>
          <w:p w:rsidR="00000000" w:rsidDel="00000000" w:rsidP="00000000" w:rsidRDefault="00000000" w:rsidRPr="00000000" w14:paraId="00000316">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Illes Balears</w:t>
            </w:r>
            <w:r w:rsidDel="00000000" w:rsidR="00000000" w:rsidRPr="00000000">
              <w:rPr>
                <w:rtl w:val="0"/>
              </w:rPr>
            </w:r>
          </w:p>
        </w:tc>
        <w:tc>
          <w:tcPr>
            <w:vAlign w:val="bottom"/>
          </w:tcPr>
          <w:p w:rsidR="00000000" w:rsidDel="00000000" w:rsidP="00000000" w:rsidRDefault="00000000" w:rsidRPr="00000000" w14:paraId="00000317">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Calvià</w:t>
            </w:r>
            <w:r w:rsidDel="00000000" w:rsidR="00000000" w:rsidRPr="00000000">
              <w:rPr>
                <w:rtl w:val="0"/>
              </w:rPr>
            </w:r>
          </w:p>
        </w:tc>
        <w:tc>
          <w:tcPr>
            <w:vAlign w:val="bottom"/>
          </w:tcPr>
          <w:p w:rsidR="00000000" w:rsidDel="00000000" w:rsidP="00000000" w:rsidRDefault="00000000" w:rsidRPr="00000000" w14:paraId="00000318">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sz w:val="22"/>
                <w:szCs w:val="22"/>
                <w:rtl w:val="0"/>
              </w:rPr>
              <w:t xml:space="preserve">22,82 €</w:t>
            </w:r>
            <w:r w:rsidDel="00000000" w:rsidR="00000000" w:rsidRPr="00000000">
              <w:rPr>
                <w:rtl w:val="0"/>
              </w:rPr>
            </w:r>
          </w:p>
        </w:tc>
        <w:tc>
          <w:tcPr>
            <w:vAlign w:val="bottom"/>
          </w:tcPr>
          <w:p w:rsidR="00000000" w:rsidDel="00000000" w:rsidP="00000000" w:rsidRDefault="00000000" w:rsidRPr="00000000" w14:paraId="00000319">
            <w:pPr>
              <w:jc w:val="center"/>
              <w:rPr>
                <w:rFonts w:ascii="Open Sans" w:cs="Open Sans" w:eastAsia="Open Sans" w:hAnsi="Open Sans"/>
                <w:color w:val="9c0006"/>
                <w:sz w:val="22"/>
                <w:szCs w:val="22"/>
              </w:rPr>
            </w:pPr>
            <w:r w:rsidDel="00000000" w:rsidR="00000000" w:rsidRPr="00000000">
              <w:rPr>
                <w:rFonts w:ascii="Open Sans" w:cs="Open Sans" w:eastAsia="Open Sans" w:hAnsi="Open Sans"/>
                <w:sz w:val="22"/>
                <w:szCs w:val="22"/>
                <w:rtl w:val="0"/>
              </w:rPr>
              <w:t xml:space="preserve">6,2%</w:t>
            </w:r>
            <w:r w:rsidDel="00000000" w:rsidR="00000000" w:rsidRPr="00000000">
              <w:rPr>
                <w:rtl w:val="0"/>
              </w:rPr>
            </w:r>
          </w:p>
        </w:tc>
        <w:tc>
          <w:tcPr>
            <w:vAlign w:val="bottom"/>
          </w:tcPr>
          <w:p w:rsidR="00000000" w:rsidDel="00000000" w:rsidP="00000000" w:rsidRDefault="00000000" w:rsidRPr="00000000" w14:paraId="0000031A">
            <w:pPr>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11,3%</w:t>
            </w:r>
          </w:p>
        </w:tc>
      </w:tr>
      <w:tr>
        <w:trPr>
          <w:cantSplit w:val="0"/>
          <w:trHeight w:val="212" w:hRule="atLeast"/>
          <w:tblHeader w:val="0"/>
        </w:trPr>
        <w:tc>
          <w:tcPr>
            <w:vAlign w:val="bottom"/>
          </w:tcPr>
          <w:p w:rsidR="00000000" w:rsidDel="00000000" w:rsidP="00000000" w:rsidRDefault="00000000" w:rsidRPr="00000000" w14:paraId="0000031B">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Madrid</w:t>
            </w:r>
            <w:r w:rsidDel="00000000" w:rsidR="00000000" w:rsidRPr="00000000">
              <w:rPr>
                <w:rtl w:val="0"/>
              </w:rPr>
            </w:r>
          </w:p>
        </w:tc>
        <w:tc>
          <w:tcPr>
            <w:vAlign w:val="bottom"/>
          </w:tcPr>
          <w:p w:rsidR="00000000" w:rsidDel="00000000" w:rsidP="00000000" w:rsidRDefault="00000000" w:rsidRPr="00000000" w14:paraId="0000031C">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Madrid capital</w:t>
            </w:r>
            <w:r w:rsidDel="00000000" w:rsidR="00000000" w:rsidRPr="00000000">
              <w:rPr>
                <w:rtl w:val="0"/>
              </w:rPr>
            </w:r>
          </w:p>
        </w:tc>
        <w:tc>
          <w:tcPr>
            <w:vAlign w:val="bottom"/>
          </w:tcPr>
          <w:p w:rsidR="00000000" w:rsidDel="00000000" w:rsidP="00000000" w:rsidRDefault="00000000" w:rsidRPr="00000000" w14:paraId="0000031D">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sz w:val="22"/>
                <w:szCs w:val="22"/>
                <w:rtl w:val="0"/>
              </w:rPr>
              <w:t xml:space="preserve">21,83 €</w:t>
            </w:r>
            <w:r w:rsidDel="00000000" w:rsidR="00000000" w:rsidRPr="00000000">
              <w:rPr>
                <w:rtl w:val="0"/>
              </w:rPr>
            </w:r>
          </w:p>
        </w:tc>
        <w:tc>
          <w:tcPr>
            <w:vAlign w:val="bottom"/>
          </w:tcPr>
          <w:p w:rsidR="00000000" w:rsidDel="00000000" w:rsidP="00000000" w:rsidRDefault="00000000" w:rsidRPr="00000000" w14:paraId="0000031E">
            <w:pPr>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3,0%</w:t>
            </w:r>
          </w:p>
        </w:tc>
        <w:tc>
          <w:tcPr>
            <w:vAlign w:val="bottom"/>
          </w:tcPr>
          <w:p w:rsidR="00000000" w:rsidDel="00000000" w:rsidP="00000000" w:rsidRDefault="00000000" w:rsidRPr="00000000" w14:paraId="0000031F">
            <w:pPr>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16,2%</w:t>
            </w:r>
          </w:p>
        </w:tc>
      </w:tr>
      <w:tr>
        <w:trPr>
          <w:cantSplit w:val="0"/>
          <w:trHeight w:val="212" w:hRule="atLeast"/>
          <w:tblHeader w:val="0"/>
        </w:trPr>
        <w:tc>
          <w:tcPr>
            <w:vAlign w:val="bottom"/>
          </w:tcPr>
          <w:p w:rsidR="00000000" w:rsidDel="00000000" w:rsidP="00000000" w:rsidRDefault="00000000" w:rsidRPr="00000000" w14:paraId="00000320">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Illes Balears</w:t>
            </w:r>
            <w:r w:rsidDel="00000000" w:rsidR="00000000" w:rsidRPr="00000000">
              <w:rPr>
                <w:rtl w:val="0"/>
              </w:rPr>
            </w:r>
          </w:p>
        </w:tc>
        <w:tc>
          <w:tcPr>
            <w:vAlign w:val="bottom"/>
          </w:tcPr>
          <w:p w:rsidR="00000000" w:rsidDel="00000000" w:rsidP="00000000" w:rsidRDefault="00000000" w:rsidRPr="00000000" w14:paraId="00000321">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Santa Eulària des Riu</w:t>
            </w:r>
            <w:r w:rsidDel="00000000" w:rsidR="00000000" w:rsidRPr="00000000">
              <w:rPr>
                <w:rtl w:val="0"/>
              </w:rPr>
            </w:r>
          </w:p>
        </w:tc>
        <w:tc>
          <w:tcPr>
            <w:vAlign w:val="bottom"/>
          </w:tcPr>
          <w:p w:rsidR="00000000" w:rsidDel="00000000" w:rsidP="00000000" w:rsidRDefault="00000000" w:rsidRPr="00000000" w14:paraId="00000322">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sz w:val="22"/>
                <w:szCs w:val="22"/>
                <w:rtl w:val="0"/>
              </w:rPr>
              <w:t xml:space="preserve">20,86 €</w:t>
            </w:r>
            <w:r w:rsidDel="00000000" w:rsidR="00000000" w:rsidRPr="00000000">
              <w:rPr>
                <w:rtl w:val="0"/>
              </w:rPr>
            </w:r>
          </w:p>
        </w:tc>
        <w:tc>
          <w:tcPr>
            <w:vAlign w:val="bottom"/>
          </w:tcPr>
          <w:p w:rsidR="00000000" w:rsidDel="00000000" w:rsidP="00000000" w:rsidRDefault="00000000" w:rsidRPr="00000000" w14:paraId="00000323">
            <w:pPr>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8,8%</w:t>
            </w:r>
          </w:p>
        </w:tc>
        <w:tc>
          <w:tcPr/>
          <w:p w:rsidR="00000000" w:rsidDel="00000000" w:rsidP="00000000" w:rsidRDefault="00000000" w:rsidRPr="00000000" w14:paraId="00000324">
            <w:pPr>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w:t>
            </w:r>
          </w:p>
        </w:tc>
      </w:tr>
      <w:tr>
        <w:trPr>
          <w:cantSplit w:val="0"/>
          <w:trHeight w:val="212" w:hRule="atLeast"/>
          <w:tblHeader w:val="0"/>
        </w:trPr>
        <w:tc>
          <w:tcPr>
            <w:vAlign w:val="bottom"/>
          </w:tcPr>
          <w:p w:rsidR="00000000" w:rsidDel="00000000" w:rsidP="00000000" w:rsidRDefault="00000000" w:rsidRPr="00000000" w14:paraId="00000325">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Las Palmas</w:t>
            </w:r>
            <w:r w:rsidDel="00000000" w:rsidR="00000000" w:rsidRPr="00000000">
              <w:rPr>
                <w:rtl w:val="0"/>
              </w:rPr>
            </w:r>
          </w:p>
        </w:tc>
        <w:tc>
          <w:tcPr>
            <w:vAlign w:val="bottom"/>
          </w:tcPr>
          <w:p w:rsidR="00000000" w:rsidDel="00000000" w:rsidP="00000000" w:rsidRDefault="00000000" w:rsidRPr="00000000" w14:paraId="00000326">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San Bartolomé de Tirajana</w:t>
            </w:r>
            <w:r w:rsidDel="00000000" w:rsidR="00000000" w:rsidRPr="00000000">
              <w:rPr>
                <w:rtl w:val="0"/>
              </w:rPr>
            </w:r>
          </w:p>
        </w:tc>
        <w:tc>
          <w:tcPr>
            <w:vAlign w:val="bottom"/>
          </w:tcPr>
          <w:p w:rsidR="00000000" w:rsidDel="00000000" w:rsidP="00000000" w:rsidRDefault="00000000" w:rsidRPr="00000000" w14:paraId="00000327">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sz w:val="22"/>
                <w:szCs w:val="22"/>
                <w:rtl w:val="0"/>
              </w:rPr>
              <w:t xml:space="preserve">20,73 €</w:t>
            </w:r>
            <w:r w:rsidDel="00000000" w:rsidR="00000000" w:rsidRPr="00000000">
              <w:rPr>
                <w:rtl w:val="0"/>
              </w:rPr>
            </w:r>
          </w:p>
        </w:tc>
        <w:tc>
          <w:tcPr>
            <w:vAlign w:val="bottom"/>
          </w:tcPr>
          <w:p w:rsidR="00000000" w:rsidDel="00000000" w:rsidP="00000000" w:rsidRDefault="00000000" w:rsidRPr="00000000" w14:paraId="00000328">
            <w:pPr>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4,8%</w:t>
            </w:r>
          </w:p>
        </w:tc>
        <w:tc>
          <w:tcPr/>
          <w:p w:rsidR="00000000" w:rsidDel="00000000" w:rsidP="00000000" w:rsidRDefault="00000000" w:rsidRPr="00000000" w14:paraId="00000329">
            <w:pPr>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w:t>
            </w:r>
          </w:p>
        </w:tc>
      </w:tr>
      <w:tr>
        <w:trPr>
          <w:cantSplit w:val="0"/>
          <w:trHeight w:val="212" w:hRule="atLeast"/>
          <w:tblHeader w:val="0"/>
        </w:trPr>
        <w:tc>
          <w:tcPr>
            <w:vAlign w:val="bottom"/>
          </w:tcPr>
          <w:p w:rsidR="00000000" w:rsidDel="00000000" w:rsidP="00000000" w:rsidRDefault="00000000" w:rsidRPr="00000000" w14:paraId="0000032A">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Barcelona</w:t>
            </w:r>
            <w:r w:rsidDel="00000000" w:rsidR="00000000" w:rsidRPr="00000000">
              <w:rPr>
                <w:rtl w:val="0"/>
              </w:rPr>
            </w:r>
          </w:p>
        </w:tc>
        <w:tc>
          <w:tcPr>
            <w:vAlign w:val="bottom"/>
          </w:tcPr>
          <w:p w:rsidR="00000000" w:rsidDel="00000000" w:rsidP="00000000" w:rsidRDefault="00000000" w:rsidRPr="00000000" w14:paraId="0000032B">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Gavà</w:t>
            </w:r>
            <w:r w:rsidDel="00000000" w:rsidR="00000000" w:rsidRPr="00000000">
              <w:rPr>
                <w:rtl w:val="0"/>
              </w:rPr>
            </w:r>
          </w:p>
        </w:tc>
        <w:tc>
          <w:tcPr>
            <w:vAlign w:val="bottom"/>
          </w:tcPr>
          <w:p w:rsidR="00000000" w:rsidDel="00000000" w:rsidP="00000000" w:rsidRDefault="00000000" w:rsidRPr="00000000" w14:paraId="0000032C">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sz w:val="22"/>
                <w:szCs w:val="22"/>
                <w:rtl w:val="0"/>
              </w:rPr>
              <w:t xml:space="preserve">20,67 €</w:t>
            </w:r>
            <w:r w:rsidDel="00000000" w:rsidR="00000000" w:rsidRPr="00000000">
              <w:rPr>
                <w:rtl w:val="0"/>
              </w:rPr>
            </w:r>
          </w:p>
        </w:tc>
        <w:tc>
          <w:tcPr>
            <w:vAlign w:val="bottom"/>
          </w:tcPr>
          <w:p w:rsidR="00000000" w:rsidDel="00000000" w:rsidP="00000000" w:rsidRDefault="00000000" w:rsidRPr="00000000" w14:paraId="0000032D">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1,0%</w:t>
            </w:r>
            <w:r w:rsidDel="00000000" w:rsidR="00000000" w:rsidRPr="00000000">
              <w:rPr>
                <w:rtl w:val="0"/>
              </w:rPr>
            </w:r>
          </w:p>
        </w:tc>
        <w:tc>
          <w:tcPr/>
          <w:p w:rsidR="00000000" w:rsidDel="00000000" w:rsidP="00000000" w:rsidRDefault="00000000" w:rsidRPr="00000000" w14:paraId="0000032E">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w:t>
            </w:r>
            <w:r w:rsidDel="00000000" w:rsidR="00000000" w:rsidRPr="00000000">
              <w:rPr>
                <w:rtl w:val="0"/>
              </w:rPr>
            </w:r>
          </w:p>
        </w:tc>
      </w:tr>
      <w:tr>
        <w:trPr>
          <w:cantSplit w:val="0"/>
          <w:trHeight w:val="212" w:hRule="atLeast"/>
          <w:tblHeader w:val="0"/>
        </w:trPr>
        <w:tc>
          <w:tcPr>
            <w:vAlign w:val="bottom"/>
          </w:tcPr>
          <w:p w:rsidR="00000000" w:rsidDel="00000000" w:rsidP="00000000" w:rsidRDefault="00000000" w:rsidRPr="00000000" w14:paraId="0000032F">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Gipuzkoa</w:t>
            </w:r>
            <w:r w:rsidDel="00000000" w:rsidR="00000000" w:rsidRPr="00000000">
              <w:rPr>
                <w:rtl w:val="0"/>
              </w:rPr>
            </w:r>
          </w:p>
        </w:tc>
        <w:tc>
          <w:tcPr>
            <w:vAlign w:val="bottom"/>
          </w:tcPr>
          <w:p w:rsidR="00000000" w:rsidDel="00000000" w:rsidP="00000000" w:rsidRDefault="00000000" w:rsidRPr="00000000" w14:paraId="00000330">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Donostia - San Sebastián</w:t>
            </w:r>
            <w:r w:rsidDel="00000000" w:rsidR="00000000" w:rsidRPr="00000000">
              <w:rPr>
                <w:rtl w:val="0"/>
              </w:rPr>
            </w:r>
          </w:p>
        </w:tc>
        <w:tc>
          <w:tcPr>
            <w:vAlign w:val="bottom"/>
          </w:tcPr>
          <w:p w:rsidR="00000000" w:rsidDel="00000000" w:rsidP="00000000" w:rsidRDefault="00000000" w:rsidRPr="00000000" w14:paraId="00000331">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sz w:val="22"/>
                <w:szCs w:val="22"/>
                <w:rtl w:val="0"/>
              </w:rPr>
              <w:t xml:space="preserve">20,44 €</w:t>
            </w:r>
            <w:r w:rsidDel="00000000" w:rsidR="00000000" w:rsidRPr="00000000">
              <w:rPr>
                <w:rtl w:val="0"/>
              </w:rPr>
            </w:r>
          </w:p>
        </w:tc>
        <w:tc>
          <w:tcPr>
            <w:vAlign w:val="bottom"/>
          </w:tcPr>
          <w:p w:rsidR="00000000" w:rsidDel="00000000" w:rsidP="00000000" w:rsidRDefault="00000000" w:rsidRPr="00000000" w14:paraId="00000332">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5,8%</w:t>
            </w:r>
            <w:r w:rsidDel="00000000" w:rsidR="00000000" w:rsidRPr="00000000">
              <w:rPr>
                <w:rtl w:val="0"/>
              </w:rPr>
            </w:r>
          </w:p>
        </w:tc>
        <w:tc>
          <w:tcPr>
            <w:vAlign w:val="bottom"/>
          </w:tcPr>
          <w:p w:rsidR="00000000" w:rsidDel="00000000" w:rsidP="00000000" w:rsidRDefault="00000000" w:rsidRPr="00000000" w14:paraId="00000333">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5,9%</w:t>
            </w:r>
            <w:r w:rsidDel="00000000" w:rsidR="00000000" w:rsidRPr="00000000">
              <w:rPr>
                <w:rtl w:val="0"/>
              </w:rPr>
            </w:r>
          </w:p>
        </w:tc>
      </w:tr>
      <w:tr>
        <w:trPr>
          <w:cantSplit w:val="0"/>
          <w:trHeight w:val="212" w:hRule="atLeast"/>
          <w:tblHeader w:val="0"/>
        </w:trPr>
        <w:tc>
          <w:tcPr>
            <w:vAlign w:val="bottom"/>
          </w:tcPr>
          <w:p w:rsidR="00000000" w:rsidDel="00000000" w:rsidP="00000000" w:rsidRDefault="00000000" w:rsidRPr="00000000" w14:paraId="00000334">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Barcelona</w:t>
            </w:r>
            <w:r w:rsidDel="00000000" w:rsidR="00000000" w:rsidRPr="00000000">
              <w:rPr>
                <w:rtl w:val="0"/>
              </w:rPr>
            </w:r>
          </w:p>
        </w:tc>
        <w:tc>
          <w:tcPr>
            <w:vAlign w:val="bottom"/>
          </w:tcPr>
          <w:p w:rsidR="00000000" w:rsidDel="00000000" w:rsidP="00000000" w:rsidRDefault="00000000" w:rsidRPr="00000000" w14:paraId="00000335">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L'Hospitalet de Llobregat</w:t>
            </w:r>
            <w:r w:rsidDel="00000000" w:rsidR="00000000" w:rsidRPr="00000000">
              <w:rPr>
                <w:rtl w:val="0"/>
              </w:rPr>
            </w:r>
          </w:p>
        </w:tc>
        <w:tc>
          <w:tcPr>
            <w:vAlign w:val="bottom"/>
          </w:tcPr>
          <w:p w:rsidR="00000000" w:rsidDel="00000000" w:rsidP="00000000" w:rsidRDefault="00000000" w:rsidRPr="00000000" w14:paraId="00000336">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sz w:val="22"/>
                <w:szCs w:val="22"/>
                <w:rtl w:val="0"/>
              </w:rPr>
              <w:t xml:space="preserve">20,23 €</w:t>
            </w:r>
            <w:r w:rsidDel="00000000" w:rsidR="00000000" w:rsidRPr="00000000">
              <w:rPr>
                <w:rtl w:val="0"/>
              </w:rPr>
            </w:r>
          </w:p>
        </w:tc>
        <w:tc>
          <w:tcPr>
            <w:vAlign w:val="bottom"/>
          </w:tcPr>
          <w:p w:rsidR="00000000" w:rsidDel="00000000" w:rsidP="00000000" w:rsidRDefault="00000000" w:rsidRPr="00000000" w14:paraId="00000337">
            <w:pPr>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5,6%</w:t>
            </w:r>
          </w:p>
        </w:tc>
        <w:tc>
          <w:tcPr>
            <w:vAlign w:val="bottom"/>
          </w:tcPr>
          <w:p w:rsidR="00000000" w:rsidDel="00000000" w:rsidP="00000000" w:rsidRDefault="00000000" w:rsidRPr="00000000" w14:paraId="00000338">
            <w:pPr>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8,0%</w:t>
            </w:r>
          </w:p>
        </w:tc>
      </w:tr>
      <w:tr>
        <w:trPr>
          <w:cantSplit w:val="0"/>
          <w:trHeight w:val="212" w:hRule="atLeast"/>
          <w:tblHeader w:val="0"/>
        </w:trPr>
        <w:tc>
          <w:tcPr>
            <w:vAlign w:val="bottom"/>
          </w:tcPr>
          <w:p w:rsidR="00000000" w:rsidDel="00000000" w:rsidP="00000000" w:rsidRDefault="00000000" w:rsidRPr="00000000" w14:paraId="00000339">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Madrid</w:t>
            </w:r>
            <w:r w:rsidDel="00000000" w:rsidR="00000000" w:rsidRPr="00000000">
              <w:rPr>
                <w:rtl w:val="0"/>
              </w:rPr>
            </w:r>
          </w:p>
        </w:tc>
        <w:tc>
          <w:tcPr>
            <w:vAlign w:val="bottom"/>
          </w:tcPr>
          <w:p w:rsidR="00000000" w:rsidDel="00000000" w:rsidP="00000000" w:rsidRDefault="00000000" w:rsidRPr="00000000" w14:paraId="0000033A">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La Moraleja</w:t>
            </w:r>
            <w:r w:rsidDel="00000000" w:rsidR="00000000" w:rsidRPr="00000000">
              <w:rPr>
                <w:rtl w:val="0"/>
              </w:rPr>
            </w:r>
          </w:p>
        </w:tc>
        <w:tc>
          <w:tcPr>
            <w:vAlign w:val="bottom"/>
          </w:tcPr>
          <w:p w:rsidR="00000000" w:rsidDel="00000000" w:rsidP="00000000" w:rsidRDefault="00000000" w:rsidRPr="00000000" w14:paraId="0000033B">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sz w:val="22"/>
                <w:szCs w:val="22"/>
                <w:rtl w:val="0"/>
              </w:rPr>
              <w:t xml:space="preserve">19,91 €</w:t>
            </w:r>
            <w:r w:rsidDel="00000000" w:rsidR="00000000" w:rsidRPr="00000000">
              <w:rPr>
                <w:rtl w:val="0"/>
              </w:rPr>
            </w:r>
          </w:p>
        </w:tc>
        <w:tc>
          <w:tcPr>
            <w:vAlign w:val="bottom"/>
          </w:tcPr>
          <w:p w:rsidR="00000000" w:rsidDel="00000000" w:rsidP="00000000" w:rsidRDefault="00000000" w:rsidRPr="00000000" w14:paraId="0000033C">
            <w:pPr>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6,8%</w:t>
            </w:r>
          </w:p>
        </w:tc>
        <w:tc>
          <w:tcPr>
            <w:vAlign w:val="bottom"/>
          </w:tcPr>
          <w:p w:rsidR="00000000" w:rsidDel="00000000" w:rsidP="00000000" w:rsidRDefault="00000000" w:rsidRPr="00000000" w14:paraId="0000033D">
            <w:pPr>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w:t>
            </w:r>
          </w:p>
        </w:tc>
      </w:tr>
    </w:tbl>
    <w:p w:rsidR="00000000" w:rsidDel="00000000" w:rsidP="00000000" w:rsidRDefault="00000000" w:rsidRPr="00000000" w14:paraId="0000033E">
      <w:pPr>
        <w:pBdr>
          <w:top w:space="0" w:sz="0" w:val="nil"/>
          <w:left w:space="0" w:sz="0" w:val="nil"/>
          <w:bottom w:space="0" w:sz="0" w:val="nil"/>
          <w:right w:space="0" w:sz="0" w:val="nil"/>
          <w:between w:space="0" w:sz="0" w:val="nil"/>
        </w:pBdr>
        <w:spacing w:after="280" w:before="280" w:line="276" w:lineRule="auto"/>
        <w:jc w:val="both"/>
        <w:rPr>
          <w:rFonts w:ascii="Open Sans Light" w:cs="Open Sans Light" w:eastAsia="Open Sans Light" w:hAnsi="Open Sans Light"/>
          <w:b w:val="1"/>
          <w:color w:val="303ab2"/>
          <w:sz w:val="28"/>
          <w:szCs w:val="28"/>
        </w:rPr>
      </w:pPr>
      <w:r w:rsidDel="00000000" w:rsidR="00000000" w:rsidRPr="00000000">
        <w:rPr>
          <w:rFonts w:ascii="Open Sans Light" w:cs="Open Sans Light" w:eastAsia="Open Sans Light" w:hAnsi="Open Sans Light"/>
          <w:b w:val="1"/>
          <w:color w:val="303ab2"/>
          <w:sz w:val="28"/>
          <w:szCs w:val="28"/>
          <w:rtl w:val="0"/>
        </w:rPr>
        <w:t xml:space="preserve">Municipios con menor precio </w:t>
      </w:r>
    </w:p>
    <w:tbl>
      <w:tblPr>
        <w:tblStyle w:val="Table7"/>
        <w:tblW w:w="8931.0" w:type="dxa"/>
        <w:jc w:val="left"/>
        <w:tblInd w:w="-5.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A0"/>
      </w:tblPr>
      <w:tblGrid>
        <w:gridCol w:w="1560"/>
        <w:gridCol w:w="1984"/>
        <w:gridCol w:w="1985"/>
        <w:gridCol w:w="1701"/>
        <w:gridCol w:w="1701"/>
        <w:tblGridChange w:id="0">
          <w:tblGrid>
            <w:gridCol w:w="1560"/>
            <w:gridCol w:w="1984"/>
            <w:gridCol w:w="1985"/>
            <w:gridCol w:w="1701"/>
            <w:gridCol w:w="1701"/>
          </w:tblGrid>
        </w:tblGridChange>
      </w:tblGrid>
      <w:tr>
        <w:trPr>
          <w:cantSplit w:val="0"/>
          <w:trHeight w:val="534" w:hRule="atLeast"/>
          <w:tblHeader w:val="0"/>
        </w:trPr>
        <w:tc>
          <w:tcPr>
            <w:vAlign w:val="center"/>
          </w:tcPr>
          <w:p w:rsidR="00000000" w:rsidDel="00000000" w:rsidP="00000000" w:rsidRDefault="00000000" w:rsidRPr="00000000" w14:paraId="0000033F">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Provincia</w:t>
            </w:r>
            <w:r w:rsidDel="00000000" w:rsidR="00000000" w:rsidRPr="00000000">
              <w:rPr>
                <w:rtl w:val="0"/>
              </w:rPr>
            </w:r>
          </w:p>
        </w:tc>
        <w:tc>
          <w:tcPr>
            <w:vAlign w:val="center"/>
          </w:tcPr>
          <w:p w:rsidR="00000000" w:rsidDel="00000000" w:rsidP="00000000" w:rsidRDefault="00000000" w:rsidRPr="00000000" w14:paraId="00000340">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Municipio</w:t>
            </w:r>
            <w:r w:rsidDel="00000000" w:rsidR="00000000" w:rsidRPr="00000000">
              <w:rPr>
                <w:rtl w:val="0"/>
              </w:rPr>
            </w:r>
          </w:p>
        </w:tc>
        <w:tc>
          <w:tcPr>
            <w:vAlign w:val="center"/>
          </w:tcPr>
          <w:p w:rsidR="00000000" w:rsidDel="00000000" w:rsidP="00000000" w:rsidRDefault="00000000" w:rsidRPr="00000000" w14:paraId="00000341">
            <w:pPr>
              <w:jc w:val="cente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Noviembre 2024</w:t>
            </w:r>
            <w:r w:rsidDel="00000000" w:rsidR="00000000" w:rsidRPr="00000000">
              <w:rPr>
                <w:rtl w:val="0"/>
              </w:rPr>
            </w:r>
          </w:p>
          <w:p w:rsidR="00000000" w:rsidDel="00000000" w:rsidP="00000000" w:rsidRDefault="00000000" w:rsidRPr="00000000" w14:paraId="00000342">
            <w:pPr>
              <w:jc w:val="cente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(€/m² al mes)</w:t>
            </w:r>
            <w:r w:rsidDel="00000000" w:rsidR="00000000" w:rsidRPr="00000000">
              <w:rPr>
                <w:rtl w:val="0"/>
              </w:rPr>
            </w:r>
          </w:p>
        </w:tc>
        <w:tc>
          <w:tcPr>
            <w:vAlign w:val="center"/>
          </w:tcPr>
          <w:p w:rsidR="00000000" w:rsidDel="00000000" w:rsidP="00000000" w:rsidRDefault="00000000" w:rsidRPr="00000000" w14:paraId="00000343">
            <w:pPr>
              <w:jc w:val="cente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Variación mensual (%)</w:t>
            </w:r>
            <w:r w:rsidDel="00000000" w:rsidR="00000000" w:rsidRPr="00000000">
              <w:rPr>
                <w:rtl w:val="0"/>
              </w:rPr>
            </w:r>
          </w:p>
        </w:tc>
        <w:tc>
          <w:tcPr>
            <w:vAlign w:val="center"/>
          </w:tcPr>
          <w:p w:rsidR="00000000" w:rsidDel="00000000" w:rsidP="00000000" w:rsidRDefault="00000000" w:rsidRPr="00000000" w14:paraId="00000344">
            <w:pPr>
              <w:jc w:val="cente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Variación interanual (%)</w:t>
            </w:r>
            <w:r w:rsidDel="00000000" w:rsidR="00000000" w:rsidRPr="00000000">
              <w:rPr>
                <w:rtl w:val="0"/>
              </w:rPr>
            </w:r>
          </w:p>
        </w:tc>
      </w:tr>
      <w:tr>
        <w:trPr>
          <w:cantSplit w:val="0"/>
          <w:trHeight w:val="212" w:hRule="atLeast"/>
          <w:tblHeader w:val="0"/>
        </w:trPr>
        <w:tc>
          <w:tcPr>
            <w:vAlign w:val="bottom"/>
          </w:tcPr>
          <w:p w:rsidR="00000000" w:rsidDel="00000000" w:rsidP="00000000" w:rsidRDefault="00000000" w:rsidRPr="00000000" w14:paraId="00000345">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Jaén</w:t>
            </w:r>
            <w:r w:rsidDel="00000000" w:rsidR="00000000" w:rsidRPr="00000000">
              <w:rPr>
                <w:rtl w:val="0"/>
              </w:rPr>
            </w:r>
          </w:p>
        </w:tc>
        <w:tc>
          <w:tcPr>
            <w:vAlign w:val="bottom"/>
          </w:tcPr>
          <w:p w:rsidR="00000000" w:rsidDel="00000000" w:rsidP="00000000" w:rsidRDefault="00000000" w:rsidRPr="00000000" w14:paraId="00000346">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Martos</w:t>
            </w:r>
            <w:r w:rsidDel="00000000" w:rsidR="00000000" w:rsidRPr="00000000">
              <w:rPr>
                <w:rtl w:val="0"/>
              </w:rPr>
            </w:r>
          </w:p>
        </w:tc>
        <w:tc>
          <w:tcPr>
            <w:vAlign w:val="bottom"/>
          </w:tcPr>
          <w:p w:rsidR="00000000" w:rsidDel="00000000" w:rsidP="00000000" w:rsidRDefault="00000000" w:rsidRPr="00000000" w14:paraId="00000347">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sz w:val="22"/>
                <w:szCs w:val="22"/>
                <w:rtl w:val="0"/>
              </w:rPr>
              <w:t xml:space="preserve">4,85 €</w:t>
            </w:r>
            <w:r w:rsidDel="00000000" w:rsidR="00000000" w:rsidRPr="00000000">
              <w:rPr>
                <w:rtl w:val="0"/>
              </w:rPr>
            </w:r>
          </w:p>
        </w:tc>
        <w:tc>
          <w:tcPr>
            <w:vAlign w:val="bottom"/>
          </w:tcPr>
          <w:p w:rsidR="00000000" w:rsidDel="00000000" w:rsidP="00000000" w:rsidRDefault="00000000" w:rsidRPr="00000000" w14:paraId="00000348">
            <w:pPr>
              <w:jc w:val="center"/>
              <w:rPr>
                <w:rFonts w:ascii="Open Sans" w:cs="Open Sans" w:eastAsia="Open Sans" w:hAnsi="Open Sans"/>
                <w:color w:val="9c0006"/>
                <w:sz w:val="22"/>
                <w:szCs w:val="22"/>
              </w:rPr>
            </w:pPr>
            <w:r w:rsidDel="00000000" w:rsidR="00000000" w:rsidRPr="00000000">
              <w:rPr>
                <w:rFonts w:ascii="Open Sans" w:cs="Open Sans" w:eastAsia="Open Sans" w:hAnsi="Open Sans"/>
                <w:sz w:val="22"/>
                <w:szCs w:val="22"/>
                <w:rtl w:val="0"/>
              </w:rPr>
              <w:t xml:space="preserve">0,6%</w:t>
            </w:r>
            <w:r w:rsidDel="00000000" w:rsidR="00000000" w:rsidRPr="00000000">
              <w:rPr>
                <w:rtl w:val="0"/>
              </w:rPr>
            </w:r>
          </w:p>
        </w:tc>
        <w:tc>
          <w:tcPr>
            <w:vAlign w:val="bottom"/>
          </w:tcPr>
          <w:p w:rsidR="00000000" w:rsidDel="00000000" w:rsidP="00000000" w:rsidRDefault="00000000" w:rsidRPr="00000000" w14:paraId="00000349">
            <w:pPr>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w:t>
            </w:r>
          </w:p>
        </w:tc>
      </w:tr>
      <w:tr>
        <w:trPr>
          <w:cantSplit w:val="0"/>
          <w:trHeight w:val="212" w:hRule="atLeast"/>
          <w:tblHeader w:val="0"/>
        </w:trPr>
        <w:tc>
          <w:tcPr>
            <w:vAlign w:val="bottom"/>
          </w:tcPr>
          <w:p w:rsidR="00000000" w:rsidDel="00000000" w:rsidP="00000000" w:rsidRDefault="00000000" w:rsidRPr="00000000" w14:paraId="0000034A">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Jaén</w:t>
            </w:r>
            <w:r w:rsidDel="00000000" w:rsidR="00000000" w:rsidRPr="00000000">
              <w:rPr>
                <w:rtl w:val="0"/>
              </w:rPr>
            </w:r>
          </w:p>
        </w:tc>
        <w:tc>
          <w:tcPr>
            <w:vAlign w:val="bottom"/>
          </w:tcPr>
          <w:p w:rsidR="00000000" w:rsidDel="00000000" w:rsidP="00000000" w:rsidRDefault="00000000" w:rsidRPr="00000000" w14:paraId="0000034B">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Baeza</w:t>
            </w:r>
            <w:r w:rsidDel="00000000" w:rsidR="00000000" w:rsidRPr="00000000">
              <w:rPr>
                <w:rtl w:val="0"/>
              </w:rPr>
            </w:r>
          </w:p>
        </w:tc>
        <w:tc>
          <w:tcPr>
            <w:vAlign w:val="bottom"/>
          </w:tcPr>
          <w:p w:rsidR="00000000" w:rsidDel="00000000" w:rsidP="00000000" w:rsidRDefault="00000000" w:rsidRPr="00000000" w14:paraId="0000034C">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sz w:val="22"/>
                <w:szCs w:val="22"/>
                <w:rtl w:val="0"/>
              </w:rPr>
              <w:t xml:space="preserve">5,01 €</w:t>
            </w:r>
            <w:r w:rsidDel="00000000" w:rsidR="00000000" w:rsidRPr="00000000">
              <w:rPr>
                <w:rtl w:val="0"/>
              </w:rPr>
            </w:r>
          </w:p>
        </w:tc>
        <w:tc>
          <w:tcPr>
            <w:vAlign w:val="bottom"/>
          </w:tcPr>
          <w:p w:rsidR="00000000" w:rsidDel="00000000" w:rsidP="00000000" w:rsidRDefault="00000000" w:rsidRPr="00000000" w14:paraId="0000034D">
            <w:pPr>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3,5%</w:t>
            </w:r>
          </w:p>
        </w:tc>
        <w:tc>
          <w:tcPr>
            <w:vAlign w:val="bottom"/>
          </w:tcPr>
          <w:p w:rsidR="00000000" w:rsidDel="00000000" w:rsidP="00000000" w:rsidRDefault="00000000" w:rsidRPr="00000000" w14:paraId="0000034E">
            <w:pPr>
              <w:jc w:val="center"/>
              <w:rPr>
                <w:rFonts w:ascii="Open Sans" w:cs="Open Sans" w:eastAsia="Open Sans" w:hAnsi="Open Sans"/>
                <w:b w:val="1"/>
                <w:sz w:val="22"/>
                <w:szCs w:val="22"/>
              </w:rPr>
            </w:pPr>
            <w:r w:rsidDel="00000000" w:rsidR="00000000" w:rsidRPr="00000000">
              <w:rPr>
                <w:rFonts w:ascii="Open Sans" w:cs="Open Sans" w:eastAsia="Open Sans" w:hAnsi="Open Sans"/>
                <w:sz w:val="22"/>
                <w:szCs w:val="22"/>
                <w:rtl w:val="0"/>
              </w:rPr>
              <w:t xml:space="preserve">10,6%</w:t>
            </w:r>
            <w:r w:rsidDel="00000000" w:rsidR="00000000" w:rsidRPr="00000000">
              <w:rPr>
                <w:rtl w:val="0"/>
              </w:rPr>
            </w:r>
          </w:p>
        </w:tc>
      </w:tr>
      <w:tr>
        <w:trPr>
          <w:cantSplit w:val="0"/>
          <w:trHeight w:val="212" w:hRule="atLeast"/>
          <w:tblHeader w:val="0"/>
        </w:trPr>
        <w:tc>
          <w:tcPr>
            <w:vAlign w:val="bottom"/>
          </w:tcPr>
          <w:p w:rsidR="00000000" w:rsidDel="00000000" w:rsidP="00000000" w:rsidRDefault="00000000" w:rsidRPr="00000000" w14:paraId="0000034F">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Jaén</w:t>
            </w:r>
            <w:r w:rsidDel="00000000" w:rsidR="00000000" w:rsidRPr="00000000">
              <w:rPr>
                <w:rtl w:val="0"/>
              </w:rPr>
            </w:r>
          </w:p>
        </w:tc>
        <w:tc>
          <w:tcPr>
            <w:vAlign w:val="bottom"/>
          </w:tcPr>
          <w:p w:rsidR="00000000" w:rsidDel="00000000" w:rsidP="00000000" w:rsidRDefault="00000000" w:rsidRPr="00000000" w14:paraId="00000350">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Andújar</w:t>
            </w:r>
            <w:r w:rsidDel="00000000" w:rsidR="00000000" w:rsidRPr="00000000">
              <w:rPr>
                <w:rtl w:val="0"/>
              </w:rPr>
            </w:r>
          </w:p>
        </w:tc>
        <w:tc>
          <w:tcPr>
            <w:vAlign w:val="bottom"/>
          </w:tcPr>
          <w:p w:rsidR="00000000" w:rsidDel="00000000" w:rsidP="00000000" w:rsidRDefault="00000000" w:rsidRPr="00000000" w14:paraId="00000351">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sz w:val="22"/>
                <w:szCs w:val="22"/>
                <w:rtl w:val="0"/>
              </w:rPr>
              <w:t xml:space="preserve">5,13 €</w:t>
            </w:r>
            <w:r w:rsidDel="00000000" w:rsidR="00000000" w:rsidRPr="00000000">
              <w:rPr>
                <w:rtl w:val="0"/>
              </w:rPr>
            </w:r>
          </w:p>
        </w:tc>
        <w:tc>
          <w:tcPr>
            <w:vAlign w:val="bottom"/>
          </w:tcPr>
          <w:p w:rsidR="00000000" w:rsidDel="00000000" w:rsidP="00000000" w:rsidRDefault="00000000" w:rsidRPr="00000000" w14:paraId="00000352">
            <w:pPr>
              <w:jc w:val="center"/>
              <w:rPr>
                <w:rFonts w:ascii="Open Sans" w:cs="Open Sans" w:eastAsia="Open Sans" w:hAnsi="Open Sans"/>
                <w:color w:val="9c0006"/>
                <w:sz w:val="22"/>
                <w:szCs w:val="22"/>
              </w:rPr>
            </w:pPr>
            <w:r w:rsidDel="00000000" w:rsidR="00000000" w:rsidRPr="00000000">
              <w:rPr>
                <w:rFonts w:ascii="Open Sans" w:cs="Open Sans" w:eastAsia="Open Sans" w:hAnsi="Open Sans"/>
                <w:color w:val="9c0006"/>
                <w:sz w:val="22"/>
                <w:szCs w:val="22"/>
                <w:rtl w:val="0"/>
              </w:rPr>
              <w:t xml:space="preserve">-2,8%</w:t>
            </w:r>
          </w:p>
        </w:tc>
        <w:tc>
          <w:tcPr/>
          <w:p w:rsidR="00000000" w:rsidDel="00000000" w:rsidP="00000000" w:rsidRDefault="00000000" w:rsidRPr="00000000" w14:paraId="00000353">
            <w:pPr>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w:t>
            </w:r>
          </w:p>
        </w:tc>
      </w:tr>
      <w:tr>
        <w:trPr>
          <w:cantSplit w:val="0"/>
          <w:trHeight w:val="212" w:hRule="atLeast"/>
          <w:tblHeader w:val="0"/>
        </w:trPr>
        <w:tc>
          <w:tcPr>
            <w:vAlign w:val="bottom"/>
          </w:tcPr>
          <w:p w:rsidR="00000000" w:rsidDel="00000000" w:rsidP="00000000" w:rsidRDefault="00000000" w:rsidRPr="00000000" w14:paraId="00000354">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Badajoz</w:t>
            </w:r>
            <w:r w:rsidDel="00000000" w:rsidR="00000000" w:rsidRPr="00000000">
              <w:rPr>
                <w:rtl w:val="0"/>
              </w:rPr>
            </w:r>
          </w:p>
        </w:tc>
        <w:tc>
          <w:tcPr>
            <w:vAlign w:val="bottom"/>
          </w:tcPr>
          <w:p w:rsidR="00000000" w:rsidDel="00000000" w:rsidP="00000000" w:rsidRDefault="00000000" w:rsidRPr="00000000" w14:paraId="00000355">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Almendralejo</w:t>
            </w:r>
            <w:r w:rsidDel="00000000" w:rsidR="00000000" w:rsidRPr="00000000">
              <w:rPr>
                <w:rtl w:val="0"/>
              </w:rPr>
            </w:r>
          </w:p>
        </w:tc>
        <w:tc>
          <w:tcPr>
            <w:vAlign w:val="bottom"/>
          </w:tcPr>
          <w:p w:rsidR="00000000" w:rsidDel="00000000" w:rsidP="00000000" w:rsidRDefault="00000000" w:rsidRPr="00000000" w14:paraId="00000356">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sz w:val="22"/>
                <w:szCs w:val="22"/>
                <w:rtl w:val="0"/>
              </w:rPr>
              <w:t xml:space="preserve">5,15 €</w:t>
            </w:r>
            <w:r w:rsidDel="00000000" w:rsidR="00000000" w:rsidRPr="00000000">
              <w:rPr>
                <w:rtl w:val="0"/>
              </w:rPr>
            </w:r>
          </w:p>
        </w:tc>
        <w:tc>
          <w:tcPr>
            <w:vAlign w:val="bottom"/>
          </w:tcPr>
          <w:p w:rsidR="00000000" w:rsidDel="00000000" w:rsidP="00000000" w:rsidRDefault="00000000" w:rsidRPr="00000000" w14:paraId="00000357">
            <w:pPr>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w:t>
            </w:r>
          </w:p>
        </w:tc>
        <w:tc>
          <w:tcPr/>
          <w:p w:rsidR="00000000" w:rsidDel="00000000" w:rsidP="00000000" w:rsidRDefault="00000000" w:rsidRPr="00000000" w14:paraId="00000358">
            <w:pPr>
              <w:jc w:val="center"/>
              <w:rPr>
                <w:rFonts w:ascii="Open Sans" w:cs="Open Sans" w:eastAsia="Open Sans" w:hAnsi="Open Sans"/>
                <w:b w:val="1"/>
                <w:sz w:val="22"/>
                <w:szCs w:val="22"/>
              </w:rPr>
            </w:pPr>
            <w:r w:rsidDel="00000000" w:rsidR="00000000" w:rsidRPr="00000000">
              <w:rPr>
                <w:rFonts w:ascii="Open Sans" w:cs="Open Sans" w:eastAsia="Open Sans" w:hAnsi="Open Sans"/>
                <w:sz w:val="22"/>
                <w:szCs w:val="22"/>
                <w:rtl w:val="0"/>
              </w:rPr>
              <w:t xml:space="preserve">-</w:t>
            </w:r>
            <w:r w:rsidDel="00000000" w:rsidR="00000000" w:rsidRPr="00000000">
              <w:rPr>
                <w:rtl w:val="0"/>
              </w:rPr>
            </w:r>
          </w:p>
        </w:tc>
      </w:tr>
      <w:tr>
        <w:trPr>
          <w:cantSplit w:val="0"/>
          <w:trHeight w:val="212" w:hRule="atLeast"/>
          <w:tblHeader w:val="0"/>
        </w:trPr>
        <w:tc>
          <w:tcPr>
            <w:vAlign w:val="bottom"/>
          </w:tcPr>
          <w:p w:rsidR="00000000" w:rsidDel="00000000" w:rsidP="00000000" w:rsidRDefault="00000000" w:rsidRPr="00000000" w14:paraId="00000359">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Ciudad Real</w:t>
            </w:r>
            <w:r w:rsidDel="00000000" w:rsidR="00000000" w:rsidRPr="00000000">
              <w:rPr>
                <w:rtl w:val="0"/>
              </w:rPr>
            </w:r>
          </w:p>
        </w:tc>
        <w:tc>
          <w:tcPr>
            <w:vAlign w:val="bottom"/>
          </w:tcPr>
          <w:p w:rsidR="00000000" w:rsidDel="00000000" w:rsidP="00000000" w:rsidRDefault="00000000" w:rsidRPr="00000000" w14:paraId="0000035A">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Puertollano</w:t>
            </w:r>
            <w:r w:rsidDel="00000000" w:rsidR="00000000" w:rsidRPr="00000000">
              <w:rPr>
                <w:rtl w:val="0"/>
              </w:rPr>
            </w:r>
          </w:p>
        </w:tc>
        <w:tc>
          <w:tcPr>
            <w:vAlign w:val="bottom"/>
          </w:tcPr>
          <w:p w:rsidR="00000000" w:rsidDel="00000000" w:rsidP="00000000" w:rsidRDefault="00000000" w:rsidRPr="00000000" w14:paraId="0000035B">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sz w:val="22"/>
                <w:szCs w:val="22"/>
                <w:rtl w:val="0"/>
              </w:rPr>
              <w:t xml:space="preserve">5,27 €</w:t>
            </w:r>
            <w:r w:rsidDel="00000000" w:rsidR="00000000" w:rsidRPr="00000000">
              <w:rPr>
                <w:rtl w:val="0"/>
              </w:rPr>
            </w:r>
          </w:p>
        </w:tc>
        <w:tc>
          <w:tcPr>
            <w:vAlign w:val="bottom"/>
          </w:tcPr>
          <w:p w:rsidR="00000000" w:rsidDel="00000000" w:rsidP="00000000" w:rsidRDefault="00000000" w:rsidRPr="00000000" w14:paraId="0000035C">
            <w:pPr>
              <w:jc w:val="center"/>
              <w:rPr>
                <w:rFonts w:ascii="Open Sans" w:cs="Open Sans" w:eastAsia="Open Sans" w:hAnsi="Open Sans"/>
                <w:sz w:val="22"/>
                <w:szCs w:val="22"/>
              </w:rPr>
            </w:pPr>
            <w:r w:rsidDel="00000000" w:rsidR="00000000" w:rsidRPr="00000000">
              <w:rPr>
                <w:rFonts w:ascii="Open Sans" w:cs="Open Sans" w:eastAsia="Open Sans" w:hAnsi="Open Sans"/>
                <w:color w:val="9c0006"/>
                <w:sz w:val="22"/>
                <w:szCs w:val="22"/>
                <w:rtl w:val="0"/>
              </w:rPr>
              <w:t xml:space="preserve">-0,4%</w:t>
            </w:r>
            <w:r w:rsidDel="00000000" w:rsidR="00000000" w:rsidRPr="00000000">
              <w:rPr>
                <w:rtl w:val="0"/>
              </w:rPr>
            </w:r>
          </w:p>
        </w:tc>
        <w:tc>
          <w:tcPr>
            <w:vAlign w:val="bottom"/>
          </w:tcPr>
          <w:p w:rsidR="00000000" w:rsidDel="00000000" w:rsidP="00000000" w:rsidRDefault="00000000" w:rsidRPr="00000000" w14:paraId="0000035D">
            <w:pPr>
              <w:jc w:val="center"/>
              <w:rPr>
                <w:rFonts w:ascii="Open Sans" w:cs="Open Sans" w:eastAsia="Open Sans" w:hAnsi="Open Sans"/>
                <w:b w:val="1"/>
                <w:sz w:val="22"/>
                <w:szCs w:val="22"/>
              </w:rPr>
            </w:pPr>
            <w:r w:rsidDel="00000000" w:rsidR="00000000" w:rsidRPr="00000000">
              <w:rPr>
                <w:rFonts w:ascii="Open Sans" w:cs="Open Sans" w:eastAsia="Open Sans" w:hAnsi="Open Sans"/>
                <w:sz w:val="22"/>
                <w:szCs w:val="22"/>
                <w:rtl w:val="0"/>
              </w:rPr>
              <w:t xml:space="preserve">3,5%</w:t>
            </w:r>
            <w:r w:rsidDel="00000000" w:rsidR="00000000" w:rsidRPr="00000000">
              <w:rPr>
                <w:rtl w:val="0"/>
              </w:rPr>
            </w:r>
          </w:p>
        </w:tc>
      </w:tr>
      <w:tr>
        <w:trPr>
          <w:cantSplit w:val="0"/>
          <w:trHeight w:val="212" w:hRule="atLeast"/>
          <w:tblHeader w:val="0"/>
        </w:trPr>
        <w:tc>
          <w:tcPr>
            <w:vAlign w:val="bottom"/>
          </w:tcPr>
          <w:p w:rsidR="00000000" w:rsidDel="00000000" w:rsidP="00000000" w:rsidRDefault="00000000" w:rsidRPr="00000000" w14:paraId="0000035E">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Ciudad Real</w:t>
            </w:r>
            <w:r w:rsidDel="00000000" w:rsidR="00000000" w:rsidRPr="00000000">
              <w:rPr>
                <w:rtl w:val="0"/>
              </w:rPr>
            </w:r>
          </w:p>
        </w:tc>
        <w:tc>
          <w:tcPr>
            <w:vAlign w:val="bottom"/>
          </w:tcPr>
          <w:p w:rsidR="00000000" w:rsidDel="00000000" w:rsidP="00000000" w:rsidRDefault="00000000" w:rsidRPr="00000000" w14:paraId="0000035F">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Valdepeñas</w:t>
            </w:r>
            <w:r w:rsidDel="00000000" w:rsidR="00000000" w:rsidRPr="00000000">
              <w:rPr>
                <w:rtl w:val="0"/>
              </w:rPr>
            </w:r>
          </w:p>
        </w:tc>
        <w:tc>
          <w:tcPr>
            <w:vAlign w:val="bottom"/>
          </w:tcPr>
          <w:p w:rsidR="00000000" w:rsidDel="00000000" w:rsidP="00000000" w:rsidRDefault="00000000" w:rsidRPr="00000000" w14:paraId="00000360">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sz w:val="22"/>
                <w:szCs w:val="22"/>
                <w:rtl w:val="0"/>
              </w:rPr>
              <w:t xml:space="preserve">5,38 €</w:t>
            </w:r>
            <w:r w:rsidDel="00000000" w:rsidR="00000000" w:rsidRPr="00000000">
              <w:rPr>
                <w:rtl w:val="0"/>
              </w:rPr>
            </w:r>
          </w:p>
        </w:tc>
        <w:tc>
          <w:tcPr/>
          <w:p w:rsidR="00000000" w:rsidDel="00000000" w:rsidP="00000000" w:rsidRDefault="00000000" w:rsidRPr="00000000" w14:paraId="00000361">
            <w:pPr>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w:t>
            </w:r>
          </w:p>
        </w:tc>
        <w:tc>
          <w:tcPr/>
          <w:p w:rsidR="00000000" w:rsidDel="00000000" w:rsidP="00000000" w:rsidRDefault="00000000" w:rsidRPr="00000000" w14:paraId="00000362">
            <w:pPr>
              <w:jc w:val="center"/>
              <w:rPr>
                <w:rFonts w:ascii="Open Sans" w:cs="Open Sans" w:eastAsia="Open Sans" w:hAnsi="Open Sans"/>
                <w:b w:val="1"/>
                <w:sz w:val="22"/>
                <w:szCs w:val="22"/>
              </w:rPr>
            </w:pPr>
            <w:r w:rsidDel="00000000" w:rsidR="00000000" w:rsidRPr="00000000">
              <w:rPr>
                <w:rFonts w:ascii="Open Sans" w:cs="Open Sans" w:eastAsia="Open Sans" w:hAnsi="Open Sans"/>
                <w:sz w:val="22"/>
                <w:szCs w:val="22"/>
                <w:rtl w:val="0"/>
              </w:rPr>
              <w:t xml:space="preserve">-</w:t>
            </w:r>
            <w:r w:rsidDel="00000000" w:rsidR="00000000" w:rsidRPr="00000000">
              <w:rPr>
                <w:rtl w:val="0"/>
              </w:rPr>
            </w:r>
          </w:p>
        </w:tc>
      </w:tr>
      <w:tr>
        <w:trPr>
          <w:cantSplit w:val="0"/>
          <w:trHeight w:val="212" w:hRule="atLeast"/>
          <w:tblHeader w:val="0"/>
        </w:trPr>
        <w:tc>
          <w:tcPr>
            <w:vAlign w:val="bottom"/>
          </w:tcPr>
          <w:p w:rsidR="00000000" w:rsidDel="00000000" w:rsidP="00000000" w:rsidRDefault="00000000" w:rsidRPr="00000000" w14:paraId="00000363">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Almería</w:t>
            </w:r>
            <w:r w:rsidDel="00000000" w:rsidR="00000000" w:rsidRPr="00000000">
              <w:rPr>
                <w:rtl w:val="0"/>
              </w:rPr>
            </w:r>
          </w:p>
        </w:tc>
        <w:tc>
          <w:tcPr>
            <w:vAlign w:val="bottom"/>
          </w:tcPr>
          <w:p w:rsidR="00000000" w:rsidDel="00000000" w:rsidP="00000000" w:rsidRDefault="00000000" w:rsidRPr="00000000" w14:paraId="00000364">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Albox</w:t>
            </w:r>
            <w:r w:rsidDel="00000000" w:rsidR="00000000" w:rsidRPr="00000000">
              <w:rPr>
                <w:rtl w:val="0"/>
              </w:rPr>
            </w:r>
          </w:p>
        </w:tc>
        <w:tc>
          <w:tcPr>
            <w:vAlign w:val="bottom"/>
          </w:tcPr>
          <w:p w:rsidR="00000000" w:rsidDel="00000000" w:rsidP="00000000" w:rsidRDefault="00000000" w:rsidRPr="00000000" w14:paraId="00000365">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sz w:val="22"/>
                <w:szCs w:val="22"/>
                <w:rtl w:val="0"/>
              </w:rPr>
              <w:t xml:space="preserve">5,68 €</w:t>
            </w:r>
            <w:r w:rsidDel="00000000" w:rsidR="00000000" w:rsidRPr="00000000">
              <w:rPr>
                <w:rtl w:val="0"/>
              </w:rPr>
            </w:r>
          </w:p>
        </w:tc>
        <w:tc>
          <w:tcPr/>
          <w:p w:rsidR="00000000" w:rsidDel="00000000" w:rsidP="00000000" w:rsidRDefault="00000000" w:rsidRPr="00000000" w14:paraId="00000366">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w:t>
            </w:r>
            <w:r w:rsidDel="00000000" w:rsidR="00000000" w:rsidRPr="00000000">
              <w:rPr>
                <w:rtl w:val="0"/>
              </w:rPr>
            </w:r>
          </w:p>
        </w:tc>
        <w:tc>
          <w:tcPr/>
          <w:p w:rsidR="00000000" w:rsidDel="00000000" w:rsidP="00000000" w:rsidRDefault="00000000" w:rsidRPr="00000000" w14:paraId="00000367">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sz w:val="22"/>
                <w:szCs w:val="22"/>
                <w:rtl w:val="0"/>
              </w:rPr>
              <w:t xml:space="preserve">-</w:t>
            </w:r>
            <w:r w:rsidDel="00000000" w:rsidR="00000000" w:rsidRPr="00000000">
              <w:rPr>
                <w:rtl w:val="0"/>
              </w:rPr>
            </w:r>
          </w:p>
        </w:tc>
      </w:tr>
      <w:tr>
        <w:trPr>
          <w:cantSplit w:val="0"/>
          <w:trHeight w:val="212" w:hRule="atLeast"/>
          <w:tblHeader w:val="0"/>
        </w:trPr>
        <w:tc>
          <w:tcPr>
            <w:vAlign w:val="bottom"/>
          </w:tcPr>
          <w:p w:rsidR="00000000" w:rsidDel="00000000" w:rsidP="00000000" w:rsidRDefault="00000000" w:rsidRPr="00000000" w14:paraId="00000368">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Alicante</w:t>
            </w:r>
            <w:r w:rsidDel="00000000" w:rsidR="00000000" w:rsidRPr="00000000">
              <w:rPr>
                <w:rtl w:val="0"/>
              </w:rPr>
            </w:r>
          </w:p>
        </w:tc>
        <w:tc>
          <w:tcPr>
            <w:vAlign w:val="bottom"/>
          </w:tcPr>
          <w:p w:rsidR="00000000" w:rsidDel="00000000" w:rsidP="00000000" w:rsidRDefault="00000000" w:rsidRPr="00000000" w14:paraId="00000369">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Villena</w:t>
            </w:r>
            <w:r w:rsidDel="00000000" w:rsidR="00000000" w:rsidRPr="00000000">
              <w:rPr>
                <w:rtl w:val="0"/>
              </w:rPr>
            </w:r>
          </w:p>
        </w:tc>
        <w:tc>
          <w:tcPr>
            <w:vAlign w:val="bottom"/>
          </w:tcPr>
          <w:p w:rsidR="00000000" w:rsidDel="00000000" w:rsidP="00000000" w:rsidRDefault="00000000" w:rsidRPr="00000000" w14:paraId="0000036A">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sz w:val="22"/>
                <w:szCs w:val="22"/>
                <w:rtl w:val="0"/>
              </w:rPr>
              <w:t xml:space="preserve">5,69 €</w:t>
            </w:r>
            <w:r w:rsidDel="00000000" w:rsidR="00000000" w:rsidRPr="00000000">
              <w:rPr>
                <w:rtl w:val="0"/>
              </w:rPr>
            </w:r>
          </w:p>
        </w:tc>
        <w:tc>
          <w:tcPr>
            <w:vAlign w:val="bottom"/>
          </w:tcPr>
          <w:p w:rsidR="00000000" w:rsidDel="00000000" w:rsidP="00000000" w:rsidRDefault="00000000" w:rsidRPr="00000000" w14:paraId="0000036B">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2,3%</w:t>
            </w:r>
            <w:r w:rsidDel="00000000" w:rsidR="00000000" w:rsidRPr="00000000">
              <w:rPr>
                <w:rtl w:val="0"/>
              </w:rPr>
            </w:r>
          </w:p>
        </w:tc>
        <w:tc>
          <w:tcPr/>
          <w:p w:rsidR="00000000" w:rsidDel="00000000" w:rsidP="00000000" w:rsidRDefault="00000000" w:rsidRPr="00000000" w14:paraId="0000036C">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sz w:val="22"/>
                <w:szCs w:val="22"/>
                <w:rtl w:val="0"/>
              </w:rPr>
              <w:t xml:space="preserve">-</w:t>
            </w:r>
            <w:r w:rsidDel="00000000" w:rsidR="00000000" w:rsidRPr="00000000">
              <w:rPr>
                <w:rtl w:val="0"/>
              </w:rPr>
            </w:r>
          </w:p>
        </w:tc>
      </w:tr>
      <w:tr>
        <w:trPr>
          <w:cantSplit w:val="0"/>
          <w:trHeight w:val="212" w:hRule="atLeast"/>
          <w:tblHeader w:val="0"/>
        </w:trPr>
        <w:tc>
          <w:tcPr>
            <w:vAlign w:val="bottom"/>
          </w:tcPr>
          <w:p w:rsidR="00000000" w:rsidDel="00000000" w:rsidP="00000000" w:rsidRDefault="00000000" w:rsidRPr="00000000" w14:paraId="0000036D">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Córdoba</w:t>
            </w:r>
            <w:r w:rsidDel="00000000" w:rsidR="00000000" w:rsidRPr="00000000">
              <w:rPr>
                <w:rtl w:val="0"/>
              </w:rPr>
            </w:r>
          </w:p>
        </w:tc>
        <w:tc>
          <w:tcPr>
            <w:vAlign w:val="bottom"/>
          </w:tcPr>
          <w:p w:rsidR="00000000" w:rsidDel="00000000" w:rsidP="00000000" w:rsidRDefault="00000000" w:rsidRPr="00000000" w14:paraId="0000036E">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Montilla</w:t>
            </w:r>
            <w:r w:rsidDel="00000000" w:rsidR="00000000" w:rsidRPr="00000000">
              <w:rPr>
                <w:rtl w:val="0"/>
              </w:rPr>
            </w:r>
          </w:p>
        </w:tc>
        <w:tc>
          <w:tcPr>
            <w:vAlign w:val="bottom"/>
          </w:tcPr>
          <w:p w:rsidR="00000000" w:rsidDel="00000000" w:rsidP="00000000" w:rsidRDefault="00000000" w:rsidRPr="00000000" w14:paraId="0000036F">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sz w:val="22"/>
                <w:szCs w:val="22"/>
                <w:rtl w:val="0"/>
              </w:rPr>
              <w:t xml:space="preserve">5,72 €</w:t>
            </w:r>
            <w:r w:rsidDel="00000000" w:rsidR="00000000" w:rsidRPr="00000000">
              <w:rPr>
                <w:rtl w:val="0"/>
              </w:rPr>
            </w:r>
          </w:p>
        </w:tc>
        <w:tc>
          <w:tcPr>
            <w:vAlign w:val="bottom"/>
          </w:tcPr>
          <w:p w:rsidR="00000000" w:rsidDel="00000000" w:rsidP="00000000" w:rsidRDefault="00000000" w:rsidRPr="00000000" w14:paraId="00000370">
            <w:pPr>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w:t>
            </w:r>
          </w:p>
        </w:tc>
        <w:tc>
          <w:tcPr/>
          <w:p w:rsidR="00000000" w:rsidDel="00000000" w:rsidP="00000000" w:rsidRDefault="00000000" w:rsidRPr="00000000" w14:paraId="00000371">
            <w:pPr>
              <w:jc w:val="center"/>
              <w:rPr>
                <w:rFonts w:ascii="Open Sans" w:cs="Open Sans" w:eastAsia="Open Sans" w:hAnsi="Open Sans"/>
                <w:b w:val="1"/>
                <w:sz w:val="22"/>
                <w:szCs w:val="22"/>
              </w:rPr>
            </w:pPr>
            <w:r w:rsidDel="00000000" w:rsidR="00000000" w:rsidRPr="00000000">
              <w:rPr>
                <w:rFonts w:ascii="Open Sans" w:cs="Open Sans" w:eastAsia="Open Sans" w:hAnsi="Open Sans"/>
                <w:sz w:val="22"/>
                <w:szCs w:val="22"/>
                <w:rtl w:val="0"/>
              </w:rPr>
              <w:t xml:space="preserve">-</w:t>
            </w:r>
            <w:r w:rsidDel="00000000" w:rsidR="00000000" w:rsidRPr="00000000">
              <w:rPr>
                <w:rtl w:val="0"/>
              </w:rPr>
            </w:r>
          </w:p>
        </w:tc>
      </w:tr>
      <w:tr>
        <w:trPr>
          <w:cantSplit w:val="0"/>
          <w:trHeight w:val="212" w:hRule="atLeast"/>
          <w:tblHeader w:val="0"/>
        </w:trPr>
        <w:tc>
          <w:tcPr>
            <w:vAlign w:val="bottom"/>
          </w:tcPr>
          <w:p w:rsidR="00000000" w:rsidDel="00000000" w:rsidP="00000000" w:rsidRDefault="00000000" w:rsidRPr="00000000" w14:paraId="00000372">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Badajoz</w:t>
            </w:r>
            <w:r w:rsidDel="00000000" w:rsidR="00000000" w:rsidRPr="00000000">
              <w:rPr>
                <w:rtl w:val="0"/>
              </w:rPr>
            </w:r>
          </w:p>
        </w:tc>
        <w:tc>
          <w:tcPr>
            <w:vAlign w:val="bottom"/>
          </w:tcPr>
          <w:p w:rsidR="00000000" w:rsidDel="00000000" w:rsidP="00000000" w:rsidRDefault="00000000" w:rsidRPr="00000000" w14:paraId="00000373">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Don Benito</w:t>
            </w:r>
            <w:r w:rsidDel="00000000" w:rsidR="00000000" w:rsidRPr="00000000">
              <w:rPr>
                <w:rtl w:val="0"/>
              </w:rPr>
            </w:r>
          </w:p>
        </w:tc>
        <w:tc>
          <w:tcPr>
            <w:vAlign w:val="bottom"/>
          </w:tcPr>
          <w:p w:rsidR="00000000" w:rsidDel="00000000" w:rsidP="00000000" w:rsidRDefault="00000000" w:rsidRPr="00000000" w14:paraId="00000374">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sz w:val="22"/>
                <w:szCs w:val="22"/>
                <w:rtl w:val="0"/>
              </w:rPr>
              <w:t xml:space="preserve">5,79 €</w:t>
            </w:r>
            <w:r w:rsidDel="00000000" w:rsidR="00000000" w:rsidRPr="00000000">
              <w:rPr>
                <w:rtl w:val="0"/>
              </w:rPr>
            </w:r>
          </w:p>
        </w:tc>
        <w:tc>
          <w:tcPr>
            <w:vAlign w:val="bottom"/>
          </w:tcPr>
          <w:p w:rsidR="00000000" w:rsidDel="00000000" w:rsidP="00000000" w:rsidRDefault="00000000" w:rsidRPr="00000000" w14:paraId="00000375">
            <w:pPr>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6,2%</w:t>
            </w:r>
          </w:p>
        </w:tc>
        <w:tc>
          <w:tcPr>
            <w:vAlign w:val="bottom"/>
          </w:tcPr>
          <w:p w:rsidR="00000000" w:rsidDel="00000000" w:rsidP="00000000" w:rsidRDefault="00000000" w:rsidRPr="00000000" w14:paraId="00000376">
            <w:pPr>
              <w:jc w:val="center"/>
              <w:rPr>
                <w:rFonts w:ascii="Open Sans" w:cs="Open Sans" w:eastAsia="Open Sans" w:hAnsi="Open Sans"/>
                <w:b w:val="1"/>
                <w:sz w:val="22"/>
                <w:szCs w:val="22"/>
              </w:rPr>
            </w:pPr>
            <w:r w:rsidDel="00000000" w:rsidR="00000000" w:rsidRPr="00000000">
              <w:rPr>
                <w:rFonts w:ascii="Open Sans" w:cs="Open Sans" w:eastAsia="Open Sans" w:hAnsi="Open Sans"/>
                <w:sz w:val="22"/>
                <w:szCs w:val="22"/>
                <w:rtl w:val="0"/>
              </w:rPr>
              <w:t xml:space="preserve">3,6%</w:t>
            </w:r>
            <w:r w:rsidDel="00000000" w:rsidR="00000000" w:rsidRPr="00000000">
              <w:rPr>
                <w:rtl w:val="0"/>
              </w:rPr>
            </w:r>
          </w:p>
        </w:tc>
      </w:tr>
    </w:tbl>
    <w:p w:rsidR="00000000" w:rsidDel="00000000" w:rsidP="00000000" w:rsidRDefault="00000000" w:rsidRPr="00000000" w14:paraId="00000377">
      <w:pPr>
        <w:spacing w:line="276" w:lineRule="auto"/>
        <w:ind w:right="-567"/>
        <w:rPr>
          <w:rFonts w:ascii="Open Sans Light" w:cs="Open Sans Light" w:eastAsia="Open Sans Light" w:hAnsi="Open Sans Light"/>
          <w:b w:val="1"/>
          <w:color w:val="303ab2"/>
          <w:sz w:val="28"/>
          <w:szCs w:val="28"/>
        </w:rPr>
      </w:pPr>
      <w:r w:rsidDel="00000000" w:rsidR="00000000" w:rsidRPr="00000000">
        <w:rPr>
          <w:rtl w:val="0"/>
        </w:rPr>
      </w:r>
    </w:p>
    <w:p w:rsidR="00000000" w:rsidDel="00000000" w:rsidP="00000000" w:rsidRDefault="00000000" w:rsidRPr="00000000" w14:paraId="00000378">
      <w:pPr>
        <w:spacing w:line="276" w:lineRule="auto"/>
        <w:ind w:right="-567"/>
        <w:rPr>
          <w:rFonts w:ascii="Open Sans Light" w:cs="Open Sans Light" w:eastAsia="Open Sans Light" w:hAnsi="Open Sans Light"/>
          <w:b w:val="1"/>
          <w:color w:val="303ab2"/>
          <w:sz w:val="28"/>
          <w:szCs w:val="28"/>
        </w:rPr>
      </w:pPr>
      <w:r w:rsidDel="00000000" w:rsidR="00000000" w:rsidRPr="00000000">
        <w:rPr>
          <w:rFonts w:ascii="Open Sans Light" w:cs="Open Sans Light" w:eastAsia="Open Sans Light" w:hAnsi="Open Sans Light"/>
          <w:b w:val="1"/>
          <w:color w:val="303ab2"/>
          <w:sz w:val="28"/>
          <w:szCs w:val="28"/>
          <w:rtl w:val="0"/>
        </w:rPr>
        <w:t xml:space="preserve">Distritos de Madrid </w:t>
      </w:r>
    </w:p>
    <w:p w:rsidR="00000000" w:rsidDel="00000000" w:rsidP="00000000" w:rsidRDefault="00000000" w:rsidRPr="00000000" w14:paraId="00000379">
      <w:pPr>
        <w:spacing w:line="276" w:lineRule="auto"/>
        <w:ind w:right="-567"/>
        <w:rPr>
          <w:rFonts w:ascii="Open Sans Light" w:cs="Open Sans Light" w:eastAsia="Open Sans Light" w:hAnsi="Open Sans Light"/>
          <w:b w:val="1"/>
          <w:color w:val="303ab2"/>
          <w:sz w:val="16"/>
          <w:szCs w:val="16"/>
        </w:rPr>
      </w:pPr>
      <w:r w:rsidDel="00000000" w:rsidR="00000000" w:rsidRPr="00000000">
        <w:rPr>
          <w:rtl w:val="0"/>
        </w:rPr>
      </w:r>
    </w:p>
    <w:p w:rsidR="00000000" w:rsidDel="00000000" w:rsidP="00000000" w:rsidRDefault="00000000" w:rsidRPr="00000000" w14:paraId="0000037A">
      <w:pPr>
        <w:spacing w:line="276" w:lineRule="auto"/>
        <w:ind w:right="-567"/>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El precio del alquiler sube en noviembre 18 distritos analizados con variación interanual y son: Usera (51,7%), Villaverde (35,9%), Puente de Vallecas (32,0%), Vicálvaro (23,8%), Latina (23,6%), Carabanchel (22,5%), Arganzuela (19,3%), Ciudad Lineal (18,1%), Fuencarral - El Pardo (17,1%), Tetuán (14,4%), Chamartín (14,0%), Hortaleza (13,9%), Chamberí (13,7%), San Blas (12,2%), Moncloa - Aravaca (12,1%), Barrio de Salamanca (8,6%), Retiro (8,4%) y Centro (7,9%).</w:t>
      </w:r>
    </w:p>
    <w:p w:rsidR="00000000" w:rsidDel="00000000" w:rsidP="00000000" w:rsidRDefault="00000000" w:rsidRPr="00000000" w14:paraId="0000037B">
      <w:pPr>
        <w:spacing w:line="276" w:lineRule="auto"/>
        <w:ind w:right="-567"/>
        <w:jc w:val="both"/>
        <w:rPr>
          <w:rFonts w:ascii="Open Sans" w:cs="Open Sans" w:eastAsia="Open Sans" w:hAnsi="Open Sans"/>
          <w:color w:val="000000"/>
        </w:rPr>
      </w:pPr>
      <w:r w:rsidDel="00000000" w:rsidR="00000000" w:rsidRPr="00000000">
        <w:rPr>
          <w:rtl w:val="0"/>
        </w:rPr>
      </w:r>
    </w:p>
    <w:p w:rsidR="00000000" w:rsidDel="00000000" w:rsidP="00000000" w:rsidRDefault="00000000" w:rsidRPr="00000000" w14:paraId="0000037C">
      <w:pPr>
        <w:spacing w:line="276" w:lineRule="auto"/>
        <w:ind w:right="-567"/>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En cuanto al precio por metro cuadrado, nueve distritos analizados tienen un precio por encima de los 20,00 €/m</w:t>
      </w:r>
      <w:r w:rsidDel="00000000" w:rsidR="00000000" w:rsidRPr="00000000">
        <w:rPr>
          <w:rFonts w:ascii="Open Sans" w:cs="Open Sans" w:eastAsia="Open Sans" w:hAnsi="Open Sans"/>
          <w:color w:val="000000"/>
          <w:vertAlign w:val="superscript"/>
          <w:rtl w:val="0"/>
        </w:rPr>
        <w:t xml:space="preserve">2 </w:t>
      </w:r>
      <w:r w:rsidDel="00000000" w:rsidR="00000000" w:rsidRPr="00000000">
        <w:rPr>
          <w:rFonts w:ascii="Open Sans" w:cs="Open Sans" w:eastAsia="Open Sans" w:hAnsi="Open Sans"/>
          <w:color w:val="000000"/>
          <w:rtl w:val="0"/>
        </w:rPr>
        <w:t xml:space="preserve">al mes. </w:t>
      </w:r>
      <w:r w:rsidDel="00000000" w:rsidR="00000000" w:rsidRPr="00000000">
        <w:rPr>
          <w:rFonts w:ascii="Open Sans" w:cs="Open Sans" w:eastAsia="Open Sans" w:hAnsi="Open Sans"/>
          <w:b w:val="1"/>
          <w:color w:val="000000"/>
          <w:rtl w:val="0"/>
        </w:rPr>
        <w:t xml:space="preserve">El distrito más caro para vivir en alquiler es Centro con 24,06 €/m</w:t>
      </w:r>
      <w:r w:rsidDel="00000000" w:rsidR="00000000" w:rsidRPr="00000000">
        <w:rPr>
          <w:rFonts w:ascii="Open Sans" w:cs="Open Sans" w:eastAsia="Open Sans" w:hAnsi="Open Sans"/>
          <w:b w:val="1"/>
          <w:color w:val="000000"/>
          <w:vertAlign w:val="superscript"/>
          <w:rtl w:val="0"/>
        </w:rPr>
        <w:t xml:space="preserve">2 </w:t>
      </w:r>
      <w:r w:rsidDel="00000000" w:rsidR="00000000" w:rsidRPr="00000000">
        <w:rPr>
          <w:rFonts w:ascii="Open Sans" w:cs="Open Sans" w:eastAsia="Open Sans" w:hAnsi="Open Sans"/>
          <w:b w:val="1"/>
          <w:color w:val="000000"/>
          <w:rtl w:val="0"/>
        </w:rPr>
        <w:t xml:space="preserve">al mes</w:t>
      </w:r>
      <w:r w:rsidDel="00000000" w:rsidR="00000000" w:rsidRPr="00000000">
        <w:rPr>
          <w:rFonts w:ascii="Open Sans" w:cs="Open Sans" w:eastAsia="Open Sans" w:hAnsi="Open Sans"/>
          <w:color w:val="000000"/>
          <w:rtl w:val="0"/>
        </w:rPr>
        <w:t xml:space="preserve">, seguido de Chamberí con 24,02 €/m</w:t>
      </w:r>
      <w:r w:rsidDel="00000000" w:rsidR="00000000" w:rsidRPr="00000000">
        <w:rPr>
          <w:rFonts w:ascii="Open Sans" w:cs="Open Sans" w:eastAsia="Open Sans" w:hAnsi="Open Sans"/>
          <w:color w:val="000000"/>
          <w:vertAlign w:val="superscript"/>
          <w:rtl w:val="0"/>
        </w:rPr>
        <w:t xml:space="preserve">2 </w:t>
      </w:r>
      <w:r w:rsidDel="00000000" w:rsidR="00000000" w:rsidRPr="00000000">
        <w:rPr>
          <w:rFonts w:ascii="Open Sans" w:cs="Open Sans" w:eastAsia="Open Sans" w:hAnsi="Open Sans"/>
          <w:color w:val="000000"/>
          <w:rtl w:val="0"/>
        </w:rPr>
        <w:t xml:space="preserve">al mes, Barrio de Salamanca con 23,37 €/m</w:t>
      </w:r>
      <w:r w:rsidDel="00000000" w:rsidR="00000000" w:rsidRPr="00000000">
        <w:rPr>
          <w:rFonts w:ascii="Open Sans" w:cs="Open Sans" w:eastAsia="Open Sans" w:hAnsi="Open Sans"/>
          <w:color w:val="000000"/>
          <w:vertAlign w:val="superscript"/>
          <w:rtl w:val="0"/>
        </w:rPr>
        <w:t xml:space="preserve">2 </w:t>
      </w:r>
      <w:r w:rsidDel="00000000" w:rsidR="00000000" w:rsidRPr="00000000">
        <w:rPr>
          <w:rFonts w:ascii="Open Sans" w:cs="Open Sans" w:eastAsia="Open Sans" w:hAnsi="Open Sans"/>
          <w:color w:val="000000"/>
          <w:rtl w:val="0"/>
        </w:rPr>
        <w:t xml:space="preserve">al mes, Arganzuela con 22,42 €/m</w:t>
      </w:r>
      <w:r w:rsidDel="00000000" w:rsidR="00000000" w:rsidRPr="00000000">
        <w:rPr>
          <w:rFonts w:ascii="Open Sans" w:cs="Open Sans" w:eastAsia="Open Sans" w:hAnsi="Open Sans"/>
          <w:color w:val="000000"/>
          <w:vertAlign w:val="superscript"/>
          <w:rtl w:val="0"/>
        </w:rPr>
        <w:t xml:space="preserve">2 </w:t>
      </w:r>
      <w:r w:rsidDel="00000000" w:rsidR="00000000" w:rsidRPr="00000000">
        <w:rPr>
          <w:rFonts w:ascii="Open Sans" w:cs="Open Sans" w:eastAsia="Open Sans" w:hAnsi="Open Sans"/>
          <w:color w:val="000000"/>
          <w:rtl w:val="0"/>
        </w:rPr>
        <w:t xml:space="preserve">al mes, Tetuán con 22,21 €/m</w:t>
      </w:r>
      <w:r w:rsidDel="00000000" w:rsidR="00000000" w:rsidRPr="00000000">
        <w:rPr>
          <w:rFonts w:ascii="Open Sans" w:cs="Open Sans" w:eastAsia="Open Sans" w:hAnsi="Open Sans"/>
          <w:color w:val="000000"/>
          <w:vertAlign w:val="superscript"/>
          <w:rtl w:val="0"/>
        </w:rPr>
        <w:t xml:space="preserve">2 </w:t>
      </w:r>
      <w:r w:rsidDel="00000000" w:rsidR="00000000" w:rsidRPr="00000000">
        <w:rPr>
          <w:rFonts w:ascii="Open Sans" w:cs="Open Sans" w:eastAsia="Open Sans" w:hAnsi="Open Sans"/>
          <w:color w:val="000000"/>
          <w:rtl w:val="0"/>
        </w:rPr>
        <w:t xml:space="preserve">al mes, Chamartín con 21,79 €/m</w:t>
      </w:r>
      <w:r w:rsidDel="00000000" w:rsidR="00000000" w:rsidRPr="00000000">
        <w:rPr>
          <w:rFonts w:ascii="Open Sans" w:cs="Open Sans" w:eastAsia="Open Sans" w:hAnsi="Open Sans"/>
          <w:color w:val="000000"/>
          <w:vertAlign w:val="superscript"/>
          <w:rtl w:val="0"/>
        </w:rPr>
        <w:t xml:space="preserve">2 </w:t>
      </w:r>
      <w:r w:rsidDel="00000000" w:rsidR="00000000" w:rsidRPr="00000000">
        <w:rPr>
          <w:rFonts w:ascii="Open Sans" w:cs="Open Sans" w:eastAsia="Open Sans" w:hAnsi="Open Sans"/>
          <w:color w:val="000000"/>
          <w:rtl w:val="0"/>
        </w:rPr>
        <w:t xml:space="preserve">al mes, Retiro con 21,60 €/m</w:t>
      </w:r>
      <w:r w:rsidDel="00000000" w:rsidR="00000000" w:rsidRPr="00000000">
        <w:rPr>
          <w:rFonts w:ascii="Open Sans" w:cs="Open Sans" w:eastAsia="Open Sans" w:hAnsi="Open Sans"/>
          <w:color w:val="000000"/>
          <w:vertAlign w:val="superscript"/>
          <w:rtl w:val="0"/>
        </w:rPr>
        <w:t xml:space="preserve">2 </w:t>
      </w:r>
      <w:r w:rsidDel="00000000" w:rsidR="00000000" w:rsidRPr="00000000">
        <w:rPr>
          <w:rFonts w:ascii="Open Sans" w:cs="Open Sans" w:eastAsia="Open Sans" w:hAnsi="Open Sans"/>
          <w:color w:val="000000"/>
          <w:rtl w:val="0"/>
        </w:rPr>
        <w:t xml:space="preserve">al mes, Moncloa - Aravaca con 21,25 €/m</w:t>
      </w:r>
      <w:r w:rsidDel="00000000" w:rsidR="00000000" w:rsidRPr="00000000">
        <w:rPr>
          <w:rFonts w:ascii="Open Sans" w:cs="Open Sans" w:eastAsia="Open Sans" w:hAnsi="Open Sans"/>
          <w:color w:val="000000"/>
          <w:vertAlign w:val="superscript"/>
          <w:rtl w:val="0"/>
        </w:rPr>
        <w:t xml:space="preserve">2 </w:t>
      </w:r>
      <w:r w:rsidDel="00000000" w:rsidR="00000000" w:rsidRPr="00000000">
        <w:rPr>
          <w:rFonts w:ascii="Open Sans" w:cs="Open Sans" w:eastAsia="Open Sans" w:hAnsi="Open Sans"/>
          <w:color w:val="000000"/>
          <w:rtl w:val="0"/>
        </w:rPr>
        <w:t xml:space="preserve">al mes y Usera con 20,41 €/m</w:t>
      </w:r>
      <w:r w:rsidDel="00000000" w:rsidR="00000000" w:rsidRPr="00000000">
        <w:rPr>
          <w:rFonts w:ascii="Open Sans" w:cs="Open Sans" w:eastAsia="Open Sans" w:hAnsi="Open Sans"/>
          <w:color w:val="000000"/>
          <w:vertAlign w:val="superscript"/>
          <w:rtl w:val="0"/>
        </w:rPr>
        <w:t xml:space="preserve">2 </w:t>
      </w:r>
      <w:r w:rsidDel="00000000" w:rsidR="00000000" w:rsidRPr="00000000">
        <w:rPr>
          <w:rFonts w:ascii="Open Sans" w:cs="Open Sans" w:eastAsia="Open Sans" w:hAnsi="Open Sans"/>
          <w:color w:val="000000"/>
          <w:rtl w:val="0"/>
        </w:rPr>
        <w:t xml:space="preserve">al mes. Por otro lado, el distrito en donde el precio del alquiler es más económico, son Moratalaz con 15,76 €/m</w:t>
      </w:r>
      <w:r w:rsidDel="00000000" w:rsidR="00000000" w:rsidRPr="00000000">
        <w:rPr>
          <w:rFonts w:ascii="Open Sans" w:cs="Open Sans" w:eastAsia="Open Sans" w:hAnsi="Open Sans"/>
          <w:color w:val="000000"/>
          <w:vertAlign w:val="superscript"/>
          <w:rtl w:val="0"/>
        </w:rPr>
        <w:t xml:space="preserve">2 </w:t>
      </w:r>
      <w:r w:rsidDel="00000000" w:rsidR="00000000" w:rsidRPr="00000000">
        <w:rPr>
          <w:rFonts w:ascii="Open Sans" w:cs="Open Sans" w:eastAsia="Open Sans" w:hAnsi="Open Sans"/>
          <w:color w:val="000000"/>
          <w:rtl w:val="0"/>
        </w:rPr>
        <w:t xml:space="preserve">al mes y San Blas con 16,64 €/m</w:t>
      </w:r>
      <w:r w:rsidDel="00000000" w:rsidR="00000000" w:rsidRPr="00000000">
        <w:rPr>
          <w:rFonts w:ascii="Open Sans" w:cs="Open Sans" w:eastAsia="Open Sans" w:hAnsi="Open Sans"/>
          <w:color w:val="000000"/>
          <w:vertAlign w:val="superscript"/>
          <w:rtl w:val="0"/>
        </w:rPr>
        <w:t xml:space="preserve">2 </w:t>
      </w:r>
      <w:r w:rsidDel="00000000" w:rsidR="00000000" w:rsidRPr="00000000">
        <w:rPr>
          <w:rFonts w:ascii="Open Sans" w:cs="Open Sans" w:eastAsia="Open Sans" w:hAnsi="Open Sans"/>
          <w:color w:val="000000"/>
          <w:rtl w:val="0"/>
        </w:rPr>
        <w:t xml:space="preserve">al mes.</w:t>
      </w:r>
    </w:p>
    <w:p w:rsidR="00000000" w:rsidDel="00000000" w:rsidP="00000000" w:rsidRDefault="00000000" w:rsidRPr="00000000" w14:paraId="0000037D">
      <w:pPr>
        <w:spacing w:line="276" w:lineRule="auto"/>
        <w:ind w:right="-567"/>
        <w:jc w:val="both"/>
        <w:rPr>
          <w:rFonts w:ascii="Open Sans" w:cs="Open Sans" w:eastAsia="Open Sans" w:hAnsi="Open Sans"/>
          <w:color w:val="000000"/>
        </w:rPr>
      </w:pPr>
      <w:r w:rsidDel="00000000" w:rsidR="00000000" w:rsidRPr="00000000">
        <w:rPr>
          <w:rtl w:val="0"/>
        </w:rPr>
      </w:r>
    </w:p>
    <w:p w:rsidR="00000000" w:rsidDel="00000000" w:rsidP="00000000" w:rsidRDefault="00000000" w:rsidRPr="00000000" w14:paraId="0000037E">
      <w:pPr>
        <w:spacing w:line="276" w:lineRule="auto"/>
        <w:ind w:right="-567"/>
        <w:jc w:val="both"/>
        <w:rPr>
          <w:rFonts w:ascii="Open Sans Light" w:cs="Open Sans Light" w:eastAsia="Open Sans Light" w:hAnsi="Open Sans Light"/>
          <w:b w:val="1"/>
          <w:color w:val="303ab2"/>
          <w:sz w:val="28"/>
          <w:szCs w:val="28"/>
        </w:rPr>
      </w:pPr>
      <w:r w:rsidDel="00000000" w:rsidR="00000000" w:rsidRPr="00000000">
        <w:rPr>
          <w:rtl w:val="0"/>
        </w:rPr>
      </w:r>
    </w:p>
    <w:p w:rsidR="00000000" w:rsidDel="00000000" w:rsidP="00000000" w:rsidRDefault="00000000" w:rsidRPr="00000000" w14:paraId="0000037F">
      <w:pPr>
        <w:spacing w:line="276" w:lineRule="auto"/>
        <w:ind w:right="-567"/>
        <w:jc w:val="both"/>
        <w:rPr>
          <w:rFonts w:ascii="Open Sans Light" w:cs="Open Sans Light" w:eastAsia="Open Sans Light" w:hAnsi="Open Sans Light"/>
          <w:b w:val="1"/>
          <w:color w:val="303ab2"/>
          <w:sz w:val="28"/>
          <w:szCs w:val="28"/>
        </w:rPr>
      </w:pPr>
      <w:r w:rsidDel="00000000" w:rsidR="00000000" w:rsidRPr="00000000">
        <w:rPr>
          <w:rtl w:val="0"/>
        </w:rPr>
      </w:r>
    </w:p>
    <w:p w:rsidR="00000000" w:rsidDel="00000000" w:rsidP="00000000" w:rsidRDefault="00000000" w:rsidRPr="00000000" w14:paraId="00000380">
      <w:pPr>
        <w:spacing w:line="276" w:lineRule="auto"/>
        <w:ind w:right="-567"/>
        <w:jc w:val="both"/>
        <w:rPr>
          <w:rFonts w:ascii="Open Sans Light" w:cs="Open Sans Light" w:eastAsia="Open Sans Light" w:hAnsi="Open Sans Light"/>
          <w:b w:val="1"/>
          <w:color w:val="303ab2"/>
          <w:sz w:val="28"/>
          <w:szCs w:val="28"/>
        </w:rPr>
      </w:pPr>
      <w:r w:rsidDel="00000000" w:rsidR="00000000" w:rsidRPr="00000000">
        <w:rPr>
          <w:rFonts w:ascii="Open Sans Light" w:cs="Open Sans Light" w:eastAsia="Open Sans Light" w:hAnsi="Open Sans Light"/>
          <w:b w:val="1"/>
          <w:color w:val="303ab2"/>
          <w:sz w:val="28"/>
          <w:szCs w:val="28"/>
          <w:rtl w:val="0"/>
        </w:rPr>
        <w:t xml:space="preserve">Distritos con precio, variación mensual e interanual</w:t>
      </w:r>
    </w:p>
    <w:p w:rsidR="00000000" w:rsidDel="00000000" w:rsidP="00000000" w:rsidRDefault="00000000" w:rsidRPr="00000000" w14:paraId="00000381">
      <w:pPr>
        <w:spacing w:line="276" w:lineRule="auto"/>
        <w:ind w:right="-567"/>
        <w:jc w:val="both"/>
        <w:rPr>
          <w:rFonts w:ascii="Open Sans Light" w:cs="Open Sans Light" w:eastAsia="Open Sans Light" w:hAnsi="Open Sans Light"/>
          <w:b w:val="1"/>
          <w:color w:val="303ab2"/>
          <w:sz w:val="16"/>
          <w:szCs w:val="16"/>
        </w:rPr>
      </w:pPr>
      <w:r w:rsidDel="00000000" w:rsidR="00000000" w:rsidRPr="00000000">
        <w:rPr>
          <w:rtl w:val="0"/>
        </w:rPr>
      </w:r>
    </w:p>
    <w:tbl>
      <w:tblPr>
        <w:tblStyle w:val="Table8"/>
        <w:tblW w:w="9051.0" w:type="dxa"/>
        <w:jc w:val="left"/>
        <w:tblInd w:w="-5.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A0"/>
      </w:tblPr>
      <w:tblGrid>
        <w:gridCol w:w="2835"/>
        <w:gridCol w:w="2268"/>
        <w:gridCol w:w="1985"/>
        <w:gridCol w:w="1963"/>
        <w:tblGridChange w:id="0">
          <w:tblGrid>
            <w:gridCol w:w="2835"/>
            <w:gridCol w:w="2268"/>
            <w:gridCol w:w="1985"/>
            <w:gridCol w:w="1963"/>
          </w:tblGrid>
        </w:tblGridChange>
      </w:tblGrid>
      <w:tr>
        <w:trPr>
          <w:cantSplit w:val="0"/>
          <w:trHeight w:val="175" w:hRule="atLeast"/>
          <w:tblHeader w:val="0"/>
        </w:trPr>
        <w:tc>
          <w:tcPr>
            <w:tcBorders>
              <w:bottom w:color="ffffff" w:space="0" w:sz="4" w:val="single"/>
            </w:tcBorders>
            <w:vAlign w:val="center"/>
          </w:tcPr>
          <w:p w:rsidR="00000000" w:rsidDel="00000000" w:rsidP="00000000" w:rsidRDefault="00000000" w:rsidRPr="00000000" w14:paraId="00000382">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Distrito</w:t>
            </w:r>
            <w:r w:rsidDel="00000000" w:rsidR="00000000" w:rsidRPr="00000000">
              <w:rPr>
                <w:rtl w:val="0"/>
              </w:rPr>
            </w:r>
          </w:p>
        </w:tc>
        <w:tc>
          <w:tcPr>
            <w:tcBorders>
              <w:bottom w:color="ffffff" w:space="0" w:sz="4" w:val="single"/>
            </w:tcBorders>
            <w:vAlign w:val="center"/>
          </w:tcPr>
          <w:p w:rsidR="00000000" w:rsidDel="00000000" w:rsidP="00000000" w:rsidRDefault="00000000" w:rsidRPr="00000000" w14:paraId="00000383">
            <w:pPr>
              <w:jc w:val="cente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Noviembre 2024</w:t>
            </w:r>
            <w:r w:rsidDel="00000000" w:rsidR="00000000" w:rsidRPr="00000000">
              <w:rPr>
                <w:rtl w:val="0"/>
              </w:rPr>
            </w:r>
          </w:p>
          <w:p w:rsidR="00000000" w:rsidDel="00000000" w:rsidP="00000000" w:rsidRDefault="00000000" w:rsidRPr="00000000" w14:paraId="00000384">
            <w:pPr>
              <w:jc w:val="cente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(€/m² al mes)</w:t>
            </w:r>
            <w:r w:rsidDel="00000000" w:rsidR="00000000" w:rsidRPr="00000000">
              <w:rPr>
                <w:rtl w:val="0"/>
              </w:rPr>
            </w:r>
          </w:p>
        </w:tc>
        <w:tc>
          <w:tcPr>
            <w:tcBorders>
              <w:bottom w:color="ffffff" w:space="0" w:sz="4" w:val="single"/>
            </w:tcBorders>
            <w:vAlign w:val="center"/>
          </w:tcPr>
          <w:p w:rsidR="00000000" w:rsidDel="00000000" w:rsidP="00000000" w:rsidRDefault="00000000" w:rsidRPr="00000000" w14:paraId="00000385">
            <w:pPr>
              <w:jc w:val="cente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Variación mensual (%)</w:t>
            </w:r>
            <w:r w:rsidDel="00000000" w:rsidR="00000000" w:rsidRPr="00000000">
              <w:rPr>
                <w:rtl w:val="0"/>
              </w:rPr>
            </w:r>
          </w:p>
        </w:tc>
        <w:tc>
          <w:tcPr>
            <w:tcBorders>
              <w:bottom w:color="ffffff" w:space="0" w:sz="4" w:val="single"/>
            </w:tcBorders>
            <w:vAlign w:val="center"/>
          </w:tcPr>
          <w:p w:rsidR="00000000" w:rsidDel="00000000" w:rsidP="00000000" w:rsidRDefault="00000000" w:rsidRPr="00000000" w14:paraId="00000386">
            <w:pPr>
              <w:jc w:val="cente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Variación interanual (%)</w:t>
            </w:r>
            <w:r w:rsidDel="00000000" w:rsidR="00000000" w:rsidRPr="00000000">
              <w:rPr>
                <w:rtl w:val="0"/>
              </w:rPr>
            </w:r>
          </w:p>
        </w:tc>
      </w:tr>
      <w:tr>
        <w:trPr>
          <w:cantSplit w:val="0"/>
          <w:trHeight w:val="175" w:hRule="atLeast"/>
          <w:tblHeader w:val="0"/>
        </w:trPr>
        <w:tc>
          <w:tcPr>
            <w:tcBorders>
              <w:top w:color="ffffff" w:space="0" w:sz="4" w:val="single"/>
              <w:bottom w:color="ffffff" w:space="0" w:sz="4" w:val="single"/>
              <w:right w:color="ffffff" w:space="0" w:sz="4" w:val="single"/>
            </w:tcBorders>
            <w:vAlign w:val="bottom"/>
          </w:tcPr>
          <w:p w:rsidR="00000000" w:rsidDel="00000000" w:rsidP="00000000" w:rsidRDefault="00000000" w:rsidRPr="00000000" w14:paraId="00000387">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Usera</w:t>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88">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20,41 € </w:t>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89">
            <w:pPr>
              <w:jc w:val="center"/>
              <w:rPr>
                <w:rFonts w:ascii="Open Sans" w:cs="Open Sans" w:eastAsia="Open Sans" w:hAnsi="Open Sans"/>
                <w:color w:val="9c0006"/>
                <w:sz w:val="22"/>
                <w:szCs w:val="22"/>
              </w:rPr>
            </w:pPr>
            <w:r w:rsidDel="00000000" w:rsidR="00000000" w:rsidRPr="00000000">
              <w:rPr>
                <w:rFonts w:ascii="Open Sans" w:cs="Open Sans" w:eastAsia="Open Sans" w:hAnsi="Open Sans"/>
                <w:color w:val="000000"/>
                <w:sz w:val="22"/>
                <w:szCs w:val="22"/>
                <w:rtl w:val="0"/>
              </w:rPr>
              <w:t xml:space="preserve">11,3%</w:t>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8A">
            <w:pPr>
              <w:jc w:val="center"/>
              <w:rPr>
                <w:rFonts w:ascii="Open Sans" w:cs="Open Sans" w:eastAsia="Open Sans" w:hAnsi="Open Sans"/>
                <w:b w:val="1"/>
                <w:color w:val="9c0006"/>
                <w:sz w:val="22"/>
                <w:szCs w:val="22"/>
              </w:rPr>
            </w:pPr>
            <w:r w:rsidDel="00000000" w:rsidR="00000000" w:rsidRPr="00000000">
              <w:rPr>
                <w:rFonts w:ascii="Open Sans" w:cs="Open Sans" w:eastAsia="Open Sans" w:hAnsi="Open Sans"/>
                <w:color w:val="000000"/>
                <w:sz w:val="22"/>
                <w:szCs w:val="22"/>
                <w:rtl w:val="0"/>
              </w:rPr>
              <w:t xml:space="preserve">51,7%</w:t>
            </w:r>
            <w:r w:rsidDel="00000000" w:rsidR="00000000" w:rsidRPr="00000000">
              <w:rPr>
                <w:rtl w:val="0"/>
              </w:rPr>
            </w:r>
          </w:p>
        </w:tc>
      </w:tr>
      <w:tr>
        <w:trPr>
          <w:cantSplit w:val="0"/>
          <w:trHeight w:val="175" w:hRule="atLeast"/>
          <w:tblHeader w:val="0"/>
        </w:trPr>
        <w:tc>
          <w:tcPr>
            <w:tcBorders>
              <w:top w:color="ffffff" w:space="0" w:sz="4" w:val="single"/>
              <w:bottom w:color="ffffff" w:space="0" w:sz="4" w:val="single"/>
              <w:right w:color="ffffff" w:space="0" w:sz="4" w:val="single"/>
            </w:tcBorders>
            <w:vAlign w:val="bottom"/>
          </w:tcPr>
          <w:p w:rsidR="00000000" w:rsidDel="00000000" w:rsidP="00000000" w:rsidRDefault="00000000" w:rsidRPr="00000000" w14:paraId="0000038B">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Villaverde</w:t>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8C">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19,10 € </w:t>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8D">
            <w:pPr>
              <w:jc w:val="center"/>
              <w:rPr>
                <w:rFonts w:ascii="Open Sans" w:cs="Open Sans" w:eastAsia="Open Sans" w:hAnsi="Open Sans"/>
                <w:color w:val="9c0006"/>
                <w:sz w:val="22"/>
                <w:szCs w:val="22"/>
              </w:rPr>
            </w:pPr>
            <w:r w:rsidDel="00000000" w:rsidR="00000000" w:rsidRPr="00000000">
              <w:rPr>
                <w:rFonts w:ascii="Open Sans" w:cs="Open Sans" w:eastAsia="Open Sans" w:hAnsi="Open Sans"/>
                <w:color w:val="000000"/>
                <w:sz w:val="22"/>
                <w:szCs w:val="22"/>
                <w:rtl w:val="0"/>
              </w:rPr>
              <w:t xml:space="preserve">19,2%</w:t>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8E">
            <w:pPr>
              <w:jc w:val="center"/>
              <w:rPr>
                <w:rFonts w:ascii="Open Sans" w:cs="Open Sans" w:eastAsia="Open Sans" w:hAnsi="Open Sans"/>
                <w:b w:val="1"/>
                <w:color w:val="9c0006"/>
                <w:sz w:val="22"/>
                <w:szCs w:val="22"/>
              </w:rPr>
            </w:pPr>
            <w:r w:rsidDel="00000000" w:rsidR="00000000" w:rsidRPr="00000000">
              <w:rPr>
                <w:rFonts w:ascii="Open Sans" w:cs="Open Sans" w:eastAsia="Open Sans" w:hAnsi="Open Sans"/>
                <w:color w:val="000000"/>
                <w:sz w:val="22"/>
                <w:szCs w:val="22"/>
                <w:rtl w:val="0"/>
              </w:rPr>
              <w:t xml:space="preserve">35,9%</w:t>
            </w:r>
            <w:r w:rsidDel="00000000" w:rsidR="00000000" w:rsidRPr="00000000">
              <w:rPr>
                <w:rtl w:val="0"/>
              </w:rPr>
            </w:r>
          </w:p>
        </w:tc>
      </w:tr>
      <w:tr>
        <w:trPr>
          <w:cantSplit w:val="0"/>
          <w:trHeight w:val="175" w:hRule="atLeast"/>
          <w:tblHeader w:val="0"/>
        </w:trPr>
        <w:tc>
          <w:tcPr>
            <w:tcBorders>
              <w:top w:color="ffffff" w:space="0" w:sz="4" w:val="single"/>
              <w:bottom w:color="ffffff" w:space="0" w:sz="4" w:val="single"/>
              <w:right w:color="ffffff" w:space="0" w:sz="4" w:val="single"/>
            </w:tcBorders>
            <w:vAlign w:val="bottom"/>
          </w:tcPr>
          <w:p w:rsidR="00000000" w:rsidDel="00000000" w:rsidP="00000000" w:rsidRDefault="00000000" w:rsidRPr="00000000" w14:paraId="0000038F">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Puente de Vallecas</w:t>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90">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19,45 € </w:t>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91">
            <w:pPr>
              <w:jc w:val="center"/>
              <w:rPr>
                <w:rFonts w:ascii="Open Sans" w:cs="Open Sans" w:eastAsia="Open Sans" w:hAnsi="Open Sans"/>
                <w:color w:val="9c0006"/>
                <w:sz w:val="22"/>
                <w:szCs w:val="22"/>
              </w:rPr>
            </w:pPr>
            <w:r w:rsidDel="00000000" w:rsidR="00000000" w:rsidRPr="00000000">
              <w:rPr>
                <w:rFonts w:ascii="Open Sans" w:cs="Open Sans" w:eastAsia="Open Sans" w:hAnsi="Open Sans"/>
                <w:color w:val="000000"/>
                <w:sz w:val="22"/>
                <w:szCs w:val="22"/>
                <w:rtl w:val="0"/>
              </w:rPr>
              <w:t xml:space="preserve">4,7%</w:t>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92">
            <w:pPr>
              <w:jc w:val="center"/>
              <w:rPr>
                <w:rFonts w:ascii="Open Sans" w:cs="Open Sans" w:eastAsia="Open Sans" w:hAnsi="Open Sans"/>
                <w:b w:val="1"/>
                <w:color w:val="9c0006"/>
                <w:sz w:val="22"/>
                <w:szCs w:val="22"/>
              </w:rPr>
            </w:pPr>
            <w:r w:rsidDel="00000000" w:rsidR="00000000" w:rsidRPr="00000000">
              <w:rPr>
                <w:rFonts w:ascii="Open Sans" w:cs="Open Sans" w:eastAsia="Open Sans" w:hAnsi="Open Sans"/>
                <w:color w:val="000000"/>
                <w:sz w:val="22"/>
                <w:szCs w:val="22"/>
                <w:rtl w:val="0"/>
              </w:rPr>
              <w:t xml:space="preserve">32,0%</w:t>
            </w:r>
            <w:r w:rsidDel="00000000" w:rsidR="00000000" w:rsidRPr="00000000">
              <w:rPr>
                <w:rtl w:val="0"/>
              </w:rPr>
            </w:r>
          </w:p>
        </w:tc>
      </w:tr>
      <w:tr>
        <w:trPr>
          <w:cantSplit w:val="0"/>
          <w:trHeight w:val="175" w:hRule="atLeast"/>
          <w:tblHeader w:val="0"/>
        </w:trPr>
        <w:tc>
          <w:tcPr>
            <w:tcBorders>
              <w:top w:color="ffffff" w:space="0" w:sz="4" w:val="single"/>
              <w:bottom w:color="ffffff" w:space="0" w:sz="4" w:val="single"/>
              <w:right w:color="ffffff" w:space="0" w:sz="4" w:val="single"/>
            </w:tcBorders>
            <w:vAlign w:val="bottom"/>
          </w:tcPr>
          <w:p w:rsidR="00000000" w:rsidDel="00000000" w:rsidP="00000000" w:rsidRDefault="00000000" w:rsidRPr="00000000" w14:paraId="00000393">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Vicálvaro</w:t>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94">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17,55 € </w:t>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95">
            <w:pPr>
              <w:jc w:val="center"/>
              <w:rPr>
                <w:rFonts w:ascii="Open Sans" w:cs="Open Sans" w:eastAsia="Open Sans" w:hAnsi="Open Sans"/>
                <w:color w:val="9c0006"/>
                <w:sz w:val="22"/>
                <w:szCs w:val="22"/>
              </w:rPr>
            </w:pPr>
            <w:r w:rsidDel="00000000" w:rsidR="00000000" w:rsidRPr="00000000">
              <w:rPr>
                <w:rFonts w:ascii="Open Sans" w:cs="Open Sans" w:eastAsia="Open Sans" w:hAnsi="Open Sans"/>
                <w:color w:val="000000"/>
                <w:sz w:val="22"/>
                <w:szCs w:val="22"/>
                <w:rtl w:val="0"/>
              </w:rPr>
              <w:t xml:space="preserve">4,0%</w:t>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96">
            <w:pPr>
              <w:jc w:val="center"/>
              <w:rPr>
                <w:rFonts w:ascii="Open Sans" w:cs="Open Sans" w:eastAsia="Open Sans" w:hAnsi="Open Sans"/>
                <w:b w:val="1"/>
                <w:color w:val="9c0006"/>
                <w:sz w:val="22"/>
                <w:szCs w:val="22"/>
              </w:rPr>
            </w:pPr>
            <w:r w:rsidDel="00000000" w:rsidR="00000000" w:rsidRPr="00000000">
              <w:rPr>
                <w:rFonts w:ascii="Open Sans" w:cs="Open Sans" w:eastAsia="Open Sans" w:hAnsi="Open Sans"/>
                <w:color w:val="000000"/>
                <w:sz w:val="22"/>
                <w:szCs w:val="22"/>
                <w:rtl w:val="0"/>
              </w:rPr>
              <w:t xml:space="preserve">23,8%</w:t>
            </w:r>
            <w:r w:rsidDel="00000000" w:rsidR="00000000" w:rsidRPr="00000000">
              <w:rPr>
                <w:rtl w:val="0"/>
              </w:rPr>
            </w:r>
          </w:p>
        </w:tc>
      </w:tr>
      <w:tr>
        <w:trPr>
          <w:cantSplit w:val="0"/>
          <w:trHeight w:val="175" w:hRule="atLeast"/>
          <w:tblHeader w:val="0"/>
        </w:trPr>
        <w:tc>
          <w:tcPr>
            <w:tcBorders>
              <w:top w:color="ffffff" w:space="0" w:sz="4" w:val="single"/>
              <w:bottom w:color="ffffff" w:space="0" w:sz="4" w:val="single"/>
              <w:right w:color="ffffff" w:space="0" w:sz="4" w:val="single"/>
            </w:tcBorders>
            <w:vAlign w:val="bottom"/>
          </w:tcPr>
          <w:p w:rsidR="00000000" w:rsidDel="00000000" w:rsidP="00000000" w:rsidRDefault="00000000" w:rsidRPr="00000000" w14:paraId="00000397">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Latina</w:t>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98">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19,66 € </w:t>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99">
            <w:pPr>
              <w:jc w:val="center"/>
              <w:rPr>
                <w:rFonts w:ascii="Open Sans" w:cs="Open Sans" w:eastAsia="Open Sans" w:hAnsi="Open Sans"/>
                <w:color w:val="9c0006"/>
                <w:sz w:val="22"/>
                <w:szCs w:val="22"/>
              </w:rPr>
            </w:pPr>
            <w:r w:rsidDel="00000000" w:rsidR="00000000" w:rsidRPr="00000000">
              <w:rPr>
                <w:rFonts w:ascii="Open Sans" w:cs="Open Sans" w:eastAsia="Open Sans" w:hAnsi="Open Sans"/>
                <w:color w:val="000000"/>
                <w:sz w:val="22"/>
                <w:szCs w:val="22"/>
                <w:rtl w:val="0"/>
              </w:rPr>
              <w:t xml:space="preserve">8,8%</w:t>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9A">
            <w:pPr>
              <w:jc w:val="center"/>
              <w:rPr>
                <w:rFonts w:ascii="Open Sans" w:cs="Open Sans" w:eastAsia="Open Sans" w:hAnsi="Open Sans"/>
                <w:b w:val="1"/>
                <w:color w:val="9c0006"/>
                <w:sz w:val="22"/>
                <w:szCs w:val="22"/>
              </w:rPr>
            </w:pPr>
            <w:r w:rsidDel="00000000" w:rsidR="00000000" w:rsidRPr="00000000">
              <w:rPr>
                <w:rFonts w:ascii="Open Sans" w:cs="Open Sans" w:eastAsia="Open Sans" w:hAnsi="Open Sans"/>
                <w:color w:val="000000"/>
                <w:sz w:val="22"/>
                <w:szCs w:val="22"/>
                <w:rtl w:val="0"/>
              </w:rPr>
              <w:t xml:space="preserve">23,6%</w:t>
            </w:r>
            <w:r w:rsidDel="00000000" w:rsidR="00000000" w:rsidRPr="00000000">
              <w:rPr>
                <w:rtl w:val="0"/>
              </w:rPr>
            </w:r>
          </w:p>
        </w:tc>
      </w:tr>
      <w:tr>
        <w:trPr>
          <w:cantSplit w:val="0"/>
          <w:trHeight w:val="175" w:hRule="atLeast"/>
          <w:tblHeader w:val="0"/>
        </w:trPr>
        <w:tc>
          <w:tcPr>
            <w:tcBorders>
              <w:top w:color="ffffff" w:space="0" w:sz="4" w:val="single"/>
              <w:bottom w:color="ffffff" w:space="0" w:sz="4" w:val="single"/>
              <w:right w:color="ffffff" w:space="0" w:sz="4" w:val="single"/>
            </w:tcBorders>
            <w:vAlign w:val="bottom"/>
          </w:tcPr>
          <w:p w:rsidR="00000000" w:rsidDel="00000000" w:rsidP="00000000" w:rsidRDefault="00000000" w:rsidRPr="00000000" w14:paraId="0000039B">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Carabanchel</w:t>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9C">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18,57 € </w:t>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9D">
            <w:pPr>
              <w:jc w:val="center"/>
              <w:rPr>
                <w:rFonts w:ascii="Open Sans" w:cs="Open Sans" w:eastAsia="Open Sans" w:hAnsi="Open Sans"/>
                <w:color w:val="9c0006"/>
                <w:sz w:val="22"/>
                <w:szCs w:val="22"/>
              </w:rPr>
            </w:pPr>
            <w:r w:rsidDel="00000000" w:rsidR="00000000" w:rsidRPr="00000000">
              <w:rPr>
                <w:rFonts w:ascii="Open Sans" w:cs="Open Sans" w:eastAsia="Open Sans" w:hAnsi="Open Sans"/>
                <w:color w:val="000000"/>
                <w:sz w:val="22"/>
                <w:szCs w:val="22"/>
                <w:rtl w:val="0"/>
              </w:rPr>
              <w:t xml:space="preserve">5,2%</w:t>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9E">
            <w:pPr>
              <w:jc w:val="center"/>
              <w:rPr>
                <w:rFonts w:ascii="Open Sans" w:cs="Open Sans" w:eastAsia="Open Sans" w:hAnsi="Open Sans"/>
                <w:b w:val="1"/>
                <w:color w:val="9c0006"/>
                <w:sz w:val="22"/>
                <w:szCs w:val="22"/>
              </w:rPr>
            </w:pPr>
            <w:r w:rsidDel="00000000" w:rsidR="00000000" w:rsidRPr="00000000">
              <w:rPr>
                <w:rFonts w:ascii="Open Sans" w:cs="Open Sans" w:eastAsia="Open Sans" w:hAnsi="Open Sans"/>
                <w:color w:val="000000"/>
                <w:sz w:val="22"/>
                <w:szCs w:val="22"/>
                <w:rtl w:val="0"/>
              </w:rPr>
              <w:t xml:space="preserve">22,5%</w:t>
            </w:r>
            <w:r w:rsidDel="00000000" w:rsidR="00000000" w:rsidRPr="00000000">
              <w:rPr>
                <w:rtl w:val="0"/>
              </w:rPr>
            </w:r>
          </w:p>
        </w:tc>
      </w:tr>
      <w:tr>
        <w:trPr>
          <w:cantSplit w:val="0"/>
          <w:trHeight w:val="175" w:hRule="atLeast"/>
          <w:tblHeader w:val="0"/>
        </w:trPr>
        <w:tc>
          <w:tcPr>
            <w:tcBorders>
              <w:top w:color="ffffff" w:space="0" w:sz="4" w:val="single"/>
              <w:bottom w:color="ffffff" w:space="0" w:sz="4" w:val="single"/>
              <w:right w:color="ffffff" w:space="0" w:sz="4" w:val="single"/>
            </w:tcBorders>
            <w:vAlign w:val="bottom"/>
          </w:tcPr>
          <w:p w:rsidR="00000000" w:rsidDel="00000000" w:rsidP="00000000" w:rsidRDefault="00000000" w:rsidRPr="00000000" w14:paraId="0000039F">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Arganzuela</w:t>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A0">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22,42 € </w:t>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A1">
            <w:pPr>
              <w:jc w:val="center"/>
              <w:rPr>
                <w:rFonts w:ascii="Open Sans" w:cs="Open Sans" w:eastAsia="Open Sans" w:hAnsi="Open Sans"/>
                <w:color w:val="9c0006"/>
                <w:sz w:val="22"/>
                <w:szCs w:val="22"/>
              </w:rPr>
            </w:pPr>
            <w:r w:rsidDel="00000000" w:rsidR="00000000" w:rsidRPr="00000000">
              <w:rPr>
                <w:rFonts w:ascii="Open Sans" w:cs="Open Sans" w:eastAsia="Open Sans" w:hAnsi="Open Sans"/>
                <w:color w:val="000000"/>
                <w:sz w:val="22"/>
                <w:szCs w:val="22"/>
                <w:rtl w:val="0"/>
              </w:rPr>
              <w:t xml:space="preserve">2,5%</w:t>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A2">
            <w:pPr>
              <w:jc w:val="center"/>
              <w:rPr>
                <w:rFonts w:ascii="Open Sans" w:cs="Open Sans" w:eastAsia="Open Sans" w:hAnsi="Open Sans"/>
                <w:b w:val="1"/>
                <w:color w:val="9c0006"/>
                <w:sz w:val="22"/>
                <w:szCs w:val="22"/>
              </w:rPr>
            </w:pPr>
            <w:r w:rsidDel="00000000" w:rsidR="00000000" w:rsidRPr="00000000">
              <w:rPr>
                <w:rFonts w:ascii="Open Sans" w:cs="Open Sans" w:eastAsia="Open Sans" w:hAnsi="Open Sans"/>
                <w:color w:val="000000"/>
                <w:sz w:val="22"/>
                <w:szCs w:val="22"/>
                <w:rtl w:val="0"/>
              </w:rPr>
              <w:t xml:space="preserve">19,3%</w:t>
            </w:r>
            <w:r w:rsidDel="00000000" w:rsidR="00000000" w:rsidRPr="00000000">
              <w:rPr>
                <w:rtl w:val="0"/>
              </w:rPr>
            </w:r>
          </w:p>
        </w:tc>
      </w:tr>
      <w:tr>
        <w:trPr>
          <w:cantSplit w:val="0"/>
          <w:trHeight w:val="175" w:hRule="atLeast"/>
          <w:tblHeader w:val="0"/>
        </w:trPr>
        <w:tc>
          <w:tcPr>
            <w:tcBorders>
              <w:top w:color="ffffff" w:space="0" w:sz="4" w:val="single"/>
              <w:bottom w:color="ffffff" w:space="0" w:sz="4" w:val="single"/>
              <w:right w:color="ffffff" w:space="0" w:sz="4" w:val="single"/>
            </w:tcBorders>
            <w:vAlign w:val="bottom"/>
          </w:tcPr>
          <w:p w:rsidR="00000000" w:rsidDel="00000000" w:rsidP="00000000" w:rsidRDefault="00000000" w:rsidRPr="00000000" w14:paraId="000003A3">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Ciudad Lineal</w:t>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A4">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19,52 € </w:t>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A5">
            <w:pPr>
              <w:jc w:val="center"/>
              <w:rPr>
                <w:rFonts w:ascii="Open Sans" w:cs="Open Sans" w:eastAsia="Open Sans" w:hAnsi="Open Sans"/>
                <w:color w:val="9c0006"/>
                <w:sz w:val="22"/>
                <w:szCs w:val="22"/>
              </w:rPr>
            </w:pPr>
            <w:r w:rsidDel="00000000" w:rsidR="00000000" w:rsidRPr="00000000">
              <w:rPr>
                <w:rFonts w:ascii="Open Sans" w:cs="Open Sans" w:eastAsia="Open Sans" w:hAnsi="Open Sans"/>
                <w:color w:val="000000"/>
                <w:sz w:val="22"/>
                <w:szCs w:val="22"/>
                <w:rtl w:val="0"/>
              </w:rPr>
              <w:t xml:space="preserve">3,4%</w:t>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A6">
            <w:pPr>
              <w:jc w:val="center"/>
              <w:rPr>
                <w:rFonts w:ascii="Open Sans" w:cs="Open Sans" w:eastAsia="Open Sans" w:hAnsi="Open Sans"/>
                <w:b w:val="1"/>
                <w:color w:val="9c0006"/>
                <w:sz w:val="22"/>
                <w:szCs w:val="22"/>
              </w:rPr>
            </w:pPr>
            <w:r w:rsidDel="00000000" w:rsidR="00000000" w:rsidRPr="00000000">
              <w:rPr>
                <w:rFonts w:ascii="Open Sans" w:cs="Open Sans" w:eastAsia="Open Sans" w:hAnsi="Open Sans"/>
                <w:color w:val="000000"/>
                <w:sz w:val="22"/>
                <w:szCs w:val="22"/>
                <w:rtl w:val="0"/>
              </w:rPr>
              <w:t xml:space="preserve">18,1%</w:t>
            </w:r>
            <w:r w:rsidDel="00000000" w:rsidR="00000000" w:rsidRPr="00000000">
              <w:rPr>
                <w:rtl w:val="0"/>
              </w:rPr>
            </w:r>
          </w:p>
        </w:tc>
      </w:tr>
      <w:tr>
        <w:trPr>
          <w:cantSplit w:val="0"/>
          <w:trHeight w:val="175" w:hRule="atLeast"/>
          <w:tblHeader w:val="0"/>
        </w:trPr>
        <w:tc>
          <w:tcPr>
            <w:tcBorders>
              <w:top w:color="ffffff" w:space="0" w:sz="4" w:val="single"/>
              <w:bottom w:color="ffffff" w:space="0" w:sz="4" w:val="single"/>
              <w:right w:color="ffffff" w:space="0" w:sz="4" w:val="single"/>
            </w:tcBorders>
            <w:vAlign w:val="bottom"/>
          </w:tcPr>
          <w:p w:rsidR="00000000" w:rsidDel="00000000" w:rsidP="00000000" w:rsidRDefault="00000000" w:rsidRPr="00000000" w14:paraId="000003A7">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Fuencarral - El Pardo</w:t>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A8">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18,11 € </w:t>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A9">
            <w:pPr>
              <w:jc w:val="center"/>
              <w:rPr>
                <w:rFonts w:ascii="Open Sans" w:cs="Open Sans" w:eastAsia="Open Sans" w:hAnsi="Open Sans"/>
                <w:color w:val="9c0006"/>
                <w:sz w:val="22"/>
                <w:szCs w:val="22"/>
              </w:rPr>
            </w:pPr>
            <w:r w:rsidDel="00000000" w:rsidR="00000000" w:rsidRPr="00000000">
              <w:rPr>
                <w:rFonts w:ascii="Open Sans" w:cs="Open Sans" w:eastAsia="Open Sans" w:hAnsi="Open Sans"/>
                <w:color w:val="9c0006"/>
                <w:sz w:val="22"/>
                <w:szCs w:val="22"/>
                <w:rtl w:val="0"/>
              </w:rPr>
              <w:t xml:space="preserve">-1,9%</w:t>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AA">
            <w:pPr>
              <w:jc w:val="center"/>
              <w:rPr>
                <w:rFonts w:ascii="Open Sans" w:cs="Open Sans" w:eastAsia="Open Sans" w:hAnsi="Open Sans"/>
                <w:b w:val="1"/>
                <w:color w:val="9c0006"/>
                <w:sz w:val="22"/>
                <w:szCs w:val="22"/>
              </w:rPr>
            </w:pPr>
            <w:r w:rsidDel="00000000" w:rsidR="00000000" w:rsidRPr="00000000">
              <w:rPr>
                <w:rFonts w:ascii="Open Sans" w:cs="Open Sans" w:eastAsia="Open Sans" w:hAnsi="Open Sans"/>
                <w:color w:val="000000"/>
                <w:sz w:val="22"/>
                <w:szCs w:val="22"/>
                <w:rtl w:val="0"/>
              </w:rPr>
              <w:t xml:space="preserve">17,1%</w:t>
            </w:r>
            <w:r w:rsidDel="00000000" w:rsidR="00000000" w:rsidRPr="00000000">
              <w:rPr>
                <w:rtl w:val="0"/>
              </w:rPr>
            </w:r>
          </w:p>
        </w:tc>
      </w:tr>
      <w:tr>
        <w:trPr>
          <w:cantSplit w:val="0"/>
          <w:trHeight w:val="175" w:hRule="atLeast"/>
          <w:tblHeader w:val="0"/>
        </w:trPr>
        <w:tc>
          <w:tcPr>
            <w:tcBorders>
              <w:top w:color="ffffff" w:space="0" w:sz="4" w:val="single"/>
              <w:bottom w:color="ffffff" w:space="0" w:sz="4" w:val="single"/>
              <w:right w:color="ffffff" w:space="0" w:sz="4" w:val="single"/>
            </w:tcBorders>
            <w:vAlign w:val="bottom"/>
          </w:tcPr>
          <w:p w:rsidR="00000000" w:rsidDel="00000000" w:rsidP="00000000" w:rsidRDefault="00000000" w:rsidRPr="00000000" w14:paraId="000003AB">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Tetuán</w:t>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AC">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22,21 € </w:t>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AD">
            <w:pPr>
              <w:jc w:val="center"/>
              <w:rPr>
                <w:rFonts w:ascii="Open Sans" w:cs="Open Sans" w:eastAsia="Open Sans" w:hAnsi="Open Sans"/>
                <w:color w:val="9c0006"/>
                <w:sz w:val="22"/>
                <w:szCs w:val="22"/>
              </w:rPr>
            </w:pPr>
            <w:r w:rsidDel="00000000" w:rsidR="00000000" w:rsidRPr="00000000">
              <w:rPr>
                <w:rFonts w:ascii="Open Sans" w:cs="Open Sans" w:eastAsia="Open Sans" w:hAnsi="Open Sans"/>
                <w:color w:val="000000"/>
                <w:sz w:val="22"/>
                <w:szCs w:val="22"/>
                <w:rtl w:val="0"/>
              </w:rPr>
              <w:t xml:space="preserve">2,3%</w:t>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AE">
            <w:pPr>
              <w:jc w:val="center"/>
              <w:rPr>
                <w:rFonts w:ascii="Open Sans" w:cs="Open Sans" w:eastAsia="Open Sans" w:hAnsi="Open Sans"/>
                <w:b w:val="1"/>
                <w:color w:val="9c0006"/>
                <w:sz w:val="22"/>
                <w:szCs w:val="22"/>
              </w:rPr>
            </w:pPr>
            <w:r w:rsidDel="00000000" w:rsidR="00000000" w:rsidRPr="00000000">
              <w:rPr>
                <w:rFonts w:ascii="Open Sans" w:cs="Open Sans" w:eastAsia="Open Sans" w:hAnsi="Open Sans"/>
                <w:color w:val="000000"/>
                <w:sz w:val="22"/>
                <w:szCs w:val="22"/>
                <w:rtl w:val="0"/>
              </w:rPr>
              <w:t xml:space="preserve">14,4%</w:t>
            </w:r>
            <w:r w:rsidDel="00000000" w:rsidR="00000000" w:rsidRPr="00000000">
              <w:rPr>
                <w:rtl w:val="0"/>
              </w:rPr>
            </w:r>
          </w:p>
        </w:tc>
      </w:tr>
      <w:tr>
        <w:trPr>
          <w:cantSplit w:val="0"/>
          <w:trHeight w:val="175" w:hRule="atLeast"/>
          <w:tblHeader w:val="0"/>
        </w:trPr>
        <w:tc>
          <w:tcPr>
            <w:tcBorders>
              <w:top w:color="ffffff" w:space="0" w:sz="4" w:val="single"/>
              <w:bottom w:color="ffffff" w:space="0" w:sz="4" w:val="single"/>
              <w:right w:color="ffffff" w:space="0" w:sz="4" w:val="single"/>
            </w:tcBorders>
            <w:vAlign w:val="bottom"/>
          </w:tcPr>
          <w:p w:rsidR="00000000" w:rsidDel="00000000" w:rsidP="00000000" w:rsidRDefault="00000000" w:rsidRPr="00000000" w14:paraId="000003AF">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Chamartín</w:t>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B0">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21,79 € </w:t>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B1">
            <w:pPr>
              <w:jc w:val="center"/>
              <w:rPr>
                <w:rFonts w:ascii="Open Sans" w:cs="Open Sans" w:eastAsia="Open Sans" w:hAnsi="Open Sans"/>
                <w:color w:val="9c0006"/>
                <w:sz w:val="22"/>
                <w:szCs w:val="22"/>
              </w:rPr>
            </w:pPr>
            <w:r w:rsidDel="00000000" w:rsidR="00000000" w:rsidRPr="00000000">
              <w:rPr>
                <w:rFonts w:ascii="Open Sans" w:cs="Open Sans" w:eastAsia="Open Sans" w:hAnsi="Open Sans"/>
                <w:color w:val="000000"/>
                <w:sz w:val="22"/>
                <w:szCs w:val="22"/>
                <w:rtl w:val="0"/>
              </w:rPr>
              <w:t xml:space="preserve">3,0%</w:t>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B2">
            <w:pPr>
              <w:jc w:val="center"/>
              <w:rPr>
                <w:rFonts w:ascii="Open Sans" w:cs="Open Sans" w:eastAsia="Open Sans" w:hAnsi="Open Sans"/>
                <w:b w:val="1"/>
                <w:color w:val="9c0006"/>
                <w:sz w:val="22"/>
                <w:szCs w:val="22"/>
              </w:rPr>
            </w:pPr>
            <w:r w:rsidDel="00000000" w:rsidR="00000000" w:rsidRPr="00000000">
              <w:rPr>
                <w:rFonts w:ascii="Open Sans" w:cs="Open Sans" w:eastAsia="Open Sans" w:hAnsi="Open Sans"/>
                <w:color w:val="000000"/>
                <w:sz w:val="22"/>
                <w:szCs w:val="22"/>
                <w:rtl w:val="0"/>
              </w:rPr>
              <w:t xml:space="preserve">14,0%</w:t>
            </w:r>
            <w:r w:rsidDel="00000000" w:rsidR="00000000" w:rsidRPr="00000000">
              <w:rPr>
                <w:rtl w:val="0"/>
              </w:rPr>
            </w:r>
          </w:p>
        </w:tc>
      </w:tr>
      <w:tr>
        <w:trPr>
          <w:cantSplit w:val="0"/>
          <w:trHeight w:val="175" w:hRule="atLeast"/>
          <w:tblHeader w:val="0"/>
        </w:trPr>
        <w:tc>
          <w:tcPr>
            <w:tcBorders>
              <w:top w:color="ffffff" w:space="0" w:sz="4" w:val="single"/>
              <w:bottom w:color="ffffff" w:space="0" w:sz="4" w:val="single"/>
              <w:right w:color="ffffff" w:space="0" w:sz="4" w:val="single"/>
            </w:tcBorders>
            <w:vAlign w:val="bottom"/>
          </w:tcPr>
          <w:p w:rsidR="00000000" w:rsidDel="00000000" w:rsidP="00000000" w:rsidRDefault="00000000" w:rsidRPr="00000000" w14:paraId="000003B3">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Hortaleza</w:t>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B4">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19,22 € </w:t>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B5">
            <w:pPr>
              <w:jc w:val="center"/>
              <w:rPr>
                <w:rFonts w:ascii="Open Sans" w:cs="Open Sans" w:eastAsia="Open Sans" w:hAnsi="Open Sans"/>
                <w:color w:val="9c0006"/>
                <w:sz w:val="22"/>
                <w:szCs w:val="22"/>
              </w:rPr>
            </w:pPr>
            <w:r w:rsidDel="00000000" w:rsidR="00000000" w:rsidRPr="00000000">
              <w:rPr>
                <w:rFonts w:ascii="Open Sans" w:cs="Open Sans" w:eastAsia="Open Sans" w:hAnsi="Open Sans"/>
                <w:color w:val="000000"/>
                <w:sz w:val="22"/>
                <w:szCs w:val="22"/>
                <w:rtl w:val="0"/>
              </w:rPr>
              <w:t xml:space="preserve">9,5%</w:t>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B6">
            <w:pPr>
              <w:jc w:val="center"/>
              <w:rPr>
                <w:rFonts w:ascii="Open Sans" w:cs="Open Sans" w:eastAsia="Open Sans" w:hAnsi="Open Sans"/>
                <w:b w:val="1"/>
                <w:sz w:val="22"/>
                <w:szCs w:val="22"/>
              </w:rPr>
            </w:pPr>
            <w:r w:rsidDel="00000000" w:rsidR="00000000" w:rsidRPr="00000000">
              <w:rPr>
                <w:rFonts w:ascii="Open Sans" w:cs="Open Sans" w:eastAsia="Open Sans" w:hAnsi="Open Sans"/>
                <w:color w:val="000000"/>
                <w:sz w:val="22"/>
                <w:szCs w:val="22"/>
                <w:rtl w:val="0"/>
              </w:rPr>
              <w:t xml:space="preserve">13,9%</w:t>
            </w:r>
            <w:r w:rsidDel="00000000" w:rsidR="00000000" w:rsidRPr="00000000">
              <w:rPr>
                <w:rtl w:val="0"/>
              </w:rPr>
            </w:r>
          </w:p>
        </w:tc>
      </w:tr>
      <w:tr>
        <w:trPr>
          <w:cantSplit w:val="0"/>
          <w:trHeight w:val="175" w:hRule="atLeast"/>
          <w:tblHeader w:val="0"/>
        </w:trPr>
        <w:tc>
          <w:tcPr>
            <w:tcBorders>
              <w:top w:color="ffffff" w:space="0" w:sz="4" w:val="single"/>
              <w:bottom w:color="ffffff" w:space="0" w:sz="4" w:val="single"/>
              <w:right w:color="ffffff" w:space="0" w:sz="4" w:val="single"/>
            </w:tcBorders>
            <w:vAlign w:val="bottom"/>
          </w:tcPr>
          <w:p w:rsidR="00000000" w:rsidDel="00000000" w:rsidP="00000000" w:rsidRDefault="00000000" w:rsidRPr="00000000" w14:paraId="000003B7">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Chamberí</w:t>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B8">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24,02 € </w:t>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B9">
            <w:pPr>
              <w:jc w:val="center"/>
              <w:rPr>
                <w:rFonts w:ascii="Open Sans" w:cs="Open Sans" w:eastAsia="Open Sans" w:hAnsi="Open Sans"/>
                <w:sz w:val="22"/>
                <w:szCs w:val="22"/>
              </w:rPr>
            </w:pPr>
            <w:r w:rsidDel="00000000" w:rsidR="00000000" w:rsidRPr="00000000">
              <w:rPr>
                <w:rFonts w:ascii="Open Sans" w:cs="Open Sans" w:eastAsia="Open Sans" w:hAnsi="Open Sans"/>
                <w:color w:val="000000"/>
                <w:sz w:val="22"/>
                <w:szCs w:val="22"/>
                <w:rtl w:val="0"/>
              </w:rPr>
              <w:t xml:space="preserve">1,9%</w:t>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BA">
            <w:pPr>
              <w:jc w:val="center"/>
              <w:rPr>
                <w:rFonts w:ascii="Open Sans" w:cs="Open Sans" w:eastAsia="Open Sans" w:hAnsi="Open Sans"/>
                <w:b w:val="1"/>
                <w:sz w:val="22"/>
                <w:szCs w:val="22"/>
              </w:rPr>
            </w:pPr>
            <w:r w:rsidDel="00000000" w:rsidR="00000000" w:rsidRPr="00000000">
              <w:rPr>
                <w:rFonts w:ascii="Open Sans" w:cs="Open Sans" w:eastAsia="Open Sans" w:hAnsi="Open Sans"/>
                <w:color w:val="000000"/>
                <w:sz w:val="22"/>
                <w:szCs w:val="22"/>
                <w:rtl w:val="0"/>
              </w:rPr>
              <w:t xml:space="preserve">13,7%</w:t>
            </w:r>
            <w:r w:rsidDel="00000000" w:rsidR="00000000" w:rsidRPr="00000000">
              <w:rPr>
                <w:rtl w:val="0"/>
              </w:rPr>
            </w:r>
          </w:p>
        </w:tc>
      </w:tr>
      <w:tr>
        <w:trPr>
          <w:cantSplit w:val="0"/>
          <w:trHeight w:val="175" w:hRule="atLeast"/>
          <w:tblHeader w:val="0"/>
        </w:trPr>
        <w:tc>
          <w:tcPr>
            <w:tcBorders>
              <w:top w:color="ffffff" w:space="0" w:sz="4" w:val="single"/>
              <w:bottom w:color="ffffff" w:space="0" w:sz="4" w:val="single"/>
              <w:right w:color="ffffff" w:space="0" w:sz="4" w:val="single"/>
            </w:tcBorders>
            <w:vAlign w:val="bottom"/>
          </w:tcPr>
          <w:p w:rsidR="00000000" w:rsidDel="00000000" w:rsidP="00000000" w:rsidRDefault="00000000" w:rsidRPr="00000000" w14:paraId="000003BB">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San Blas</w:t>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BC">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16,64 € </w:t>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BD">
            <w:pPr>
              <w:jc w:val="center"/>
              <w:rPr>
                <w:rFonts w:ascii="Open Sans" w:cs="Open Sans" w:eastAsia="Open Sans" w:hAnsi="Open Sans"/>
                <w:color w:val="9c0006"/>
                <w:sz w:val="22"/>
                <w:szCs w:val="22"/>
              </w:rPr>
            </w:pPr>
            <w:r w:rsidDel="00000000" w:rsidR="00000000" w:rsidRPr="00000000">
              <w:rPr>
                <w:rFonts w:ascii="Open Sans" w:cs="Open Sans" w:eastAsia="Open Sans" w:hAnsi="Open Sans"/>
                <w:color w:val="9c0006"/>
                <w:sz w:val="22"/>
                <w:szCs w:val="22"/>
                <w:rtl w:val="0"/>
              </w:rPr>
              <w:t xml:space="preserve">-1,1%</w:t>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BE">
            <w:pPr>
              <w:jc w:val="center"/>
              <w:rPr>
                <w:rFonts w:ascii="Open Sans" w:cs="Open Sans" w:eastAsia="Open Sans" w:hAnsi="Open Sans"/>
                <w:b w:val="1"/>
                <w:sz w:val="22"/>
                <w:szCs w:val="22"/>
              </w:rPr>
            </w:pPr>
            <w:r w:rsidDel="00000000" w:rsidR="00000000" w:rsidRPr="00000000">
              <w:rPr>
                <w:rFonts w:ascii="Open Sans" w:cs="Open Sans" w:eastAsia="Open Sans" w:hAnsi="Open Sans"/>
                <w:color w:val="000000"/>
                <w:sz w:val="22"/>
                <w:szCs w:val="22"/>
                <w:rtl w:val="0"/>
              </w:rPr>
              <w:t xml:space="preserve">12,2%</w:t>
            </w:r>
            <w:r w:rsidDel="00000000" w:rsidR="00000000" w:rsidRPr="00000000">
              <w:rPr>
                <w:rtl w:val="0"/>
              </w:rPr>
            </w:r>
          </w:p>
        </w:tc>
      </w:tr>
      <w:tr>
        <w:trPr>
          <w:cantSplit w:val="0"/>
          <w:trHeight w:val="175" w:hRule="atLeast"/>
          <w:tblHeader w:val="0"/>
        </w:trPr>
        <w:tc>
          <w:tcPr>
            <w:tcBorders>
              <w:top w:color="ffffff" w:space="0" w:sz="4" w:val="single"/>
              <w:bottom w:color="ffffff" w:space="0" w:sz="4" w:val="single"/>
              <w:right w:color="ffffff" w:space="0" w:sz="4" w:val="single"/>
            </w:tcBorders>
            <w:vAlign w:val="bottom"/>
          </w:tcPr>
          <w:p w:rsidR="00000000" w:rsidDel="00000000" w:rsidP="00000000" w:rsidRDefault="00000000" w:rsidRPr="00000000" w14:paraId="000003BF">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Moncloa - Aravaca</w:t>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C0">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21,25 € </w:t>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C1">
            <w:pPr>
              <w:jc w:val="center"/>
              <w:rPr>
                <w:rFonts w:ascii="Open Sans" w:cs="Open Sans" w:eastAsia="Open Sans" w:hAnsi="Open Sans"/>
                <w:sz w:val="22"/>
                <w:szCs w:val="22"/>
              </w:rPr>
            </w:pPr>
            <w:r w:rsidDel="00000000" w:rsidR="00000000" w:rsidRPr="00000000">
              <w:rPr>
                <w:rFonts w:ascii="Open Sans" w:cs="Open Sans" w:eastAsia="Open Sans" w:hAnsi="Open Sans"/>
                <w:color w:val="000000"/>
                <w:sz w:val="22"/>
                <w:szCs w:val="22"/>
                <w:rtl w:val="0"/>
              </w:rPr>
              <w:t xml:space="preserve">3,7%</w:t>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C2">
            <w:pPr>
              <w:jc w:val="center"/>
              <w:rPr>
                <w:rFonts w:ascii="Open Sans" w:cs="Open Sans" w:eastAsia="Open Sans" w:hAnsi="Open Sans"/>
                <w:b w:val="1"/>
                <w:sz w:val="22"/>
                <w:szCs w:val="22"/>
              </w:rPr>
            </w:pPr>
            <w:r w:rsidDel="00000000" w:rsidR="00000000" w:rsidRPr="00000000">
              <w:rPr>
                <w:rFonts w:ascii="Open Sans" w:cs="Open Sans" w:eastAsia="Open Sans" w:hAnsi="Open Sans"/>
                <w:color w:val="000000"/>
                <w:sz w:val="22"/>
                <w:szCs w:val="22"/>
                <w:rtl w:val="0"/>
              </w:rPr>
              <w:t xml:space="preserve">12,1%</w:t>
            </w:r>
            <w:r w:rsidDel="00000000" w:rsidR="00000000" w:rsidRPr="00000000">
              <w:rPr>
                <w:rtl w:val="0"/>
              </w:rPr>
            </w:r>
          </w:p>
        </w:tc>
      </w:tr>
      <w:tr>
        <w:trPr>
          <w:cantSplit w:val="0"/>
          <w:trHeight w:val="175" w:hRule="atLeast"/>
          <w:tblHeader w:val="0"/>
        </w:trPr>
        <w:tc>
          <w:tcPr>
            <w:tcBorders>
              <w:top w:color="ffffff" w:space="0" w:sz="4" w:val="single"/>
              <w:bottom w:color="ffffff" w:space="0" w:sz="4" w:val="single"/>
              <w:right w:color="ffffff" w:space="0" w:sz="4" w:val="single"/>
            </w:tcBorders>
            <w:vAlign w:val="bottom"/>
          </w:tcPr>
          <w:p w:rsidR="00000000" w:rsidDel="00000000" w:rsidP="00000000" w:rsidRDefault="00000000" w:rsidRPr="00000000" w14:paraId="000003C3">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Barrio de Salamanca</w:t>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C4">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23,37 € </w:t>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C5">
            <w:pPr>
              <w:jc w:val="center"/>
              <w:rPr>
                <w:rFonts w:ascii="Open Sans" w:cs="Open Sans" w:eastAsia="Open Sans" w:hAnsi="Open Sans"/>
                <w:sz w:val="22"/>
                <w:szCs w:val="22"/>
              </w:rPr>
            </w:pPr>
            <w:r w:rsidDel="00000000" w:rsidR="00000000" w:rsidRPr="00000000">
              <w:rPr>
                <w:rFonts w:ascii="Open Sans" w:cs="Open Sans" w:eastAsia="Open Sans" w:hAnsi="Open Sans"/>
                <w:color w:val="000000"/>
                <w:sz w:val="22"/>
                <w:szCs w:val="22"/>
                <w:rtl w:val="0"/>
              </w:rPr>
              <w:t xml:space="preserve">1,4%</w:t>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C6">
            <w:pPr>
              <w:jc w:val="center"/>
              <w:rPr>
                <w:rFonts w:ascii="Open Sans" w:cs="Open Sans" w:eastAsia="Open Sans" w:hAnsi="Open Sans"/>
                <w:b w:val="1"/>
                <w:sz w:val="22"/>
                <w:szCs w:val="22"/>
              </w:rPr>
            </w:pPr>
            <w:r w:rsidDel="00000000" w:rsidR="00000000" w:rsidRPr="00000000">
              <w:rPr>
                <w:rFonts w:ascii="Open Sans" w:cs="Open Sans" w:eastAsia="Open Sans" w:hAnsi="Open Sans"/>
                <w:color w:val="000000"/>
                <w:sz w:val="22"/>
                <w:szCs w:val="22"/>
                <w:rtl w:val="0"/>
              </w:rPr>
              <w:t xml:space="preserve">8,6%</w:t>
            </w:r>
            <w:r w:rsidDel="00000000" w:rsidR="00000000" w:rsidRPr="00000000">
              <w:rPr>
                <w:rtl w:val="0"/>
              </w:rPr>
            </w:r>
          </w:p>
        </w:tc>
      </w:tr>
      <w:tr>
        <w:trPr>
          <w:cantSplit w:val="0"/>
          <w:trHeight w:val="175" w:hRule="atLeast"/>
          <w:tblHeader w:val="0"/>
        </w:trPr>
        <w:tc>
          <w:tcPr>
            <w:tcBorders>
              <w:top w:color="ffffff" w:space="0" w:sz="4" w:val="single"/>
              <w:bottom w:color="ffffff" w:space="0" w:sz="4" w:val="single"/>
              <w:right w:color="ffffff" w:space="0" w:sz="4" w:val="single"/>
            </w:tcBorders>
            <w:vAlign w:val="bottom"/>
          </w:tcPr>
          <w:p w:rsidR="00000000" w:rsidDel="00000000" w:rsidP="00000000" w:rsidRDefault="00000000" w:rsidRPr="00000000" w14:paraId="000003C7">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Retiro</w:t>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C8">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21,60 € </w:t>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C9">
            <w:pPr>
              <w:jc w:val="center"/>
              <w:rPr>
                <w:rFonts w:ascii="Open Sans" w:cs="Open Sans" w:eastAsia="Open Sans" w:hAnsi="Open Sans"/>
                <w:sz w:val="22"/>
                <w:szCs w:val="22"/>
              </w:rPr>
            </w:pPr>
            <w:r w:rsidDel="00000000" w:rsidR="00000000" w:rsidRPr="00000000">
              <w:rPr>
                <w:rFonts w:ascii="Open Sans" w:cs="Open Sans" w:eastAsia="Open Sans" w:hAnsi="Open Sans"/>
                <w:color w:val="000000"/>
                <w:sz w:val="22"/>
                <w:szCs w:val="22"/>
                <w:rtl w:val="0"/>
              </w:rPr>
              <w:t xml:space="preserve">3,2%</w:t>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CA">
            <w:pPr>
              <w:jc w:val="center"/>
              <w:rPr>
                <w:rFonts w:ascii="Open Sans" w:cs="Open Sans" w:eastAsia="Open Sans" w:hAnsi="Open Sans"/>
                <w:b w:val="1"/>
                <w:sz w:val="22"/>
                <w:szCs w:val="22"/>
              </w:rPr>
            </w:pPr>
            <w:r w:rsidDel="00000000" w:rsidR="00000000" w:rsidRPr="00000000">
              <w:rPr>
                <w:rFonts w:ascii="Open Sans" w:cs="Open Sans" w:eastAsia="Open Sans" w:hAnsi="Open Sans"/>
                <w:color w:val="000000"/>
                <w:sz w:val="22"/>
                <w:szCs w:val="22"/>
                <w:rtl w:val="0"/>
              </w:rPr>
              <w:t xml:space="preserve">8,4%</w:t>
            </w:r>
            <w:r w:rsidDel="00000000" w:rsidR="00000000" w:rsidRPr="00000000">
              <w:rPr>
                <w:rtl w:val="0"/>
              </w:rPr>
            </w:r>
          </w:p>
        </w:tc>
      </w:tr>
      <w:tr>
        <w:trPr>
          <w:cantSplit w:val="0"/>
          <w:trHeight w:val="175" w:hRule="atLeast"/>
          <w:tblHeader w:val="0"/>
        </w:trPr>
        <w:tc>
          <w:tcPr>
            <w:tcBorders>
              <w:top w:color="ffffff" w:space="0" w:sz="4" w:val="single"/>
              <w:bottom w:color="ffffff" w:space="0" w:sz="4" w:val="single"/>
              <w:right w:color="ffffff" w:space="0" w:sz="4" w:val="single"/>
            </w:tcBorders>
            <w:vAlign w:val="bottom"/>
          </w:tcPr>
          <w:p w:rsidR="00000000" w:rsidDel="00000000" w:rsidP="00000000" w:rsidRDefault="00000000" w:rsidRPr="00000000" w14:paraId="000003CB">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Centro</w:t>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CC">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24,06 € </w:t>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CD">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0,1%</w:t>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CE">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color w:val="000000"/>
                <w:sz w:val="22"/>
                <w:szCs w:val="22"/>
                <w:rtl w:val="0"/>
              </w:rPr>
              <w:t xml:space="preserve">7,9%</w:t>
            </w:r>
            <w:r w:rsidDel="00000000" w:rsidR="00000000" w:rsidRPr="00000000">
              <w:rPr>
                <w:rtl w:val="0"/>
              </w:rPr>
            </w:r>
          </w:p>
        </w:tc>
      </w:tr>
      <w:tr>
        <w:trPr>
          <w:cantSplit w:val="0"/>
          <w:trHeight w:val="175" w:hRule="atLeast"/>
          <w:tblHeader w:val="0"/>
        </w:trPr>
        <w:tc>
          <w:tcPr>
            <w:tcBorders>
              <w:top w:color="ffffff" w:space="0" w:sz="4" w:val="single"/>
              <w:bottom w:color="ffffff" w:space="0" w:sz="4" w:val="single"/>
              <w:right w:color="ffffff" w:space="0" w:sz="4" w:val="single"/>
            </w:tcBorders>
            <w:vAlign w:val="bottom"/>
          </w:tcPr>
          <w:p w:rsidR="00000000" w:rsidDel="00000000" w:rsidP="00000000" w:rsidRDefault="00000000" w:rsidRPr="00000000" w14:paraId="000003CF">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Moratalaz</w:t>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D0">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15,76 € </w:t>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D1">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w:t>
            </w:r>
          </w:p>
        </w:tc>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3D2">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color w:val="000000"/>
                <w:sz w:val="22"/>
                <w:szCs w:val="22"/>
                <w:rtl w:val="0"/>
              </w:rPr>
              <w:t xml:space="preserve"> -</w:t>
            </w:r>
            <w:r w:rsidDel="00000000" w:rsidR="00000000" w:rsidRPr="00000000">
              <w:rPr>
                <w:rtl w:val="0"/>
              </w:rPr>
            </w:r>
          </w:p>
        </w:tc>
      </w:tr>
      <w:tr>
        <w:trPr>
          <w:cantSplit w:val="0"/>
          <w:trHeight w:val="175" w:hRule="atLeast"/>
          <w:tblHeader w:val="0"/>
        </w:trPr>
        <w:tc>
          <w:tcPr>
            <w:tcBorders>
              <w:top w:color="ffffff" w:space="0" w:sz="4" w:val="single"/>
              <w:bottom w:color="ffffff" w:space="0" w:sz="4" w:val="single"/>
              <w:right w:color="ffffff" w:space="0" w:sz="4" w:val="single"/>
            </w:tcBorders>
            <w:vAlign w:val="bottom"/>
          </w:tcPr>
          <w:p w:rsidR="00000000" w:rsidDel="00000000" w:rsidP="00000000" w:rsidRDefault="00000000" w:rsidRPr="00000000" w14:paraId="000003D3">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Villa de Vallecas</w:t>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D4">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18,52 € </w:t>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D5">
            <w:pPr>
              <w:jc w:val="center"/>
              <w:rPr>
                <w:rFonts w:ascii="Open Sans" w:cs="Open Sans" w:eastAsia="Open Sans" w:hAnsi="Open Sans"/>
                <w:sz w:val="22"/>
                <w:szCs w:val="22"/>
              </w:rPr>
            </w:pPr>
            <w:r w:rsidDel="00000000" w:rsidR="00000000" w:rsidRPr="00000000">
              <w:rPr>
                <w:rFonts w:ascii="Open Sans" w:cs="Open Sans" w:eastAsia="Open Sans" w:hAnsi="Open Sans"/>
                <w:color w:val="000000"/>
                <w:sz w:val="22"/>
                <w:szCs w:val="22"/>
                <w:rtl w:val="0"/>
              </w:rPr>
              <w:t xml:space="preserve">14,8%</w:t>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3D6">
            <w:pPr>
              <w:jc w:val="center"/>
              <w:rPr>
                <w:rFonts w:ascii="Open Sans" w:cs="Open Sans" w:eastAsia="Open Sans" w:hAnsi="Open Sans"/>
                <w:b w:val="1"/>
                <w:sz w:val="22"/>
                <w:szCs w:val="22"/>
              </w:rPr>
            </w:pPr>
            <w:r w:rsidDel="00000000" w:rsidR="00000000" w:rsidRPr="00000000">
              <w:rPr>
                <w:rFonts w:ascii="Open Sans" w:cs="Open Sans" w:eastAsia="Open Sans" w:hAnsi="Open Sans"/>
                <w:color w:val="000000"/>
                <w:sz w:val="22"/>
                <w:szCs w:val="22"/>
                <w:rtl w:val="0"/>
              </w:rPr>
              <w:t xml:space="preserve"> -</w:t>
            </w:r>
            <w:r w:rsidDel="00000000" w:rsidR="00000000" w:rsidRPr="00000000">
              <w:rPr>
                <w:rtl w:val="0"/>
              </w:rPr>
            </w:r>
          </w:p>
        </w:tc>
      </w:tr>
      <w:tr>
        <w:trPr>
          <w:cantSplit w:val="0"/>
          <w:trHeight w:val="175" w:hRule="atLeast"/>
          <w:tblHeader w:val="0"/>
        </w:trPr>
        <w:tc>
          <w:tcPr>
            <w:tcBorders>
              <w:top w:color="ffffff" w:space="0" w:sz="4" w:val="single"/>
              <w:right w:color="ffffff" w:space="0" w:sz="4" w:val="single"/>
            </w:tcBorders>
            <w:vAlign w:val="bottom"/>
          </w:tcPr>
          <w:p w:rsidR="00000000" w:rsidDel="00000000" w:rsidP="00000000" w:rsidRDefault="00000000" w:rsidRPr="00000000" w14:paraId="000003D7">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Barajas</w:t>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D8">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19,92 € </w:t>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D9">
            <w:pPr>
              <w:jc w:val="center"/>
              <w:rPr>
                <w:rFonts w:ascii="Open Sans" w:cs="Open Sans" w:eastAsia="Open Sans" w:hAnsi="Open Sans"/>
                <w:sz w:val="22"/>
                <w:szCs w:val="22"/>
              </w:rPr>
            </w:pPr>
            <w:r w:rsidDel="00000000" w:rsidR="00000000" w:rsidRPr="00000000">
              <w:rPr>
                <w:rFonts w:ascii="Open Sans" w:cs="Open Sans" w:eastAsia="Open Sans" w:hAnsi="Open Sans"/>
                <w:color w:val="000000"/>
                <w:sz w:val="22"/>
                <w:szCs w:val="22"/>
                <w:rtl w:val="0"/>
              </w:rPr>
              <w:t xml:space="preserve">6,9%</w:t>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3DA">
            <w:pPr>
              <w:jc w:val="center"/>
              <w:rPr>
                <w:rFonts w:ascii="Open Sans" w:cs="Open Sans" w:eastAsia="Open Sans" w:hAnsi="Open Sans"/>
                <w:b w:val="1"/>
                <w:sz w:val="22"/>
                <w:szCs w:val="22"/>
              </w:rPr>
            </w:pPr>
            <w:r w:rsidDel="00000000" w:rsidR="00000000" w:rsidRPr="00000000">
              <w:rPr>
                <w:rFonts w:ascii="Open Sans" w:cs="Open Sans" w:eastAsia="Open Sans" w:hAnsi="Open Sans"/>
                <w:color w:val="000000"/>
                <w:sz w:val="22"/>
                <w:szCs w:val="22"/>
                <w:rtl w:val="0"/>
              </w:rPr>
              <w:t xml:space="preserve"> -</w:t>
            </w:r>
            <w:r w:rsidDel="00000000" w:rsidR="00000000" w:rsidRPr="00000000">
              <w:rPr>
                <w:rtl w:val="0"/>
              </w:rPr>
            </w:r>
          </w:p>
        </w:tc>
      </w:tr>
    </w:tbl>
    <w:p w:rsidR="00000000" w:rsidDel="00000000" w:rsidP="00000000" w:rsidRDefault="00000000" w:rsidRPr="00000000" w14:paraId="000003DB">
      <w:pPr>
        <w:spacing w:line="276" w:lineRule="auto"/>
        <w:ind w:right="-567"/>
        <w:rPr>
          <w:rFonts w:ascii="Open Sans Light" w:cs="Open Sans Light" w:eastAsia="Open Sans Light" w:hAnsi="Open Sans Light"/>
          <w:b w:val="1"/>
          <w:color w:val="303ab2"/>
          <w:sz w:val="28"/>
          <w:szCs w:val="28"/>
        </w:rPr>
      </w:pPr>
      <w:r w:rsidDel="00000000" w:rsidR="00000000" w:rsidRPr="00000000">
        <w:rPr>
          <w:rtl w:val="0"/>
        </w:rPr>
      </w:r>
    </w:p>
    <w:p w:rsidR="00000000" w:rsidDel="00000000" w:rsidP="00000000" w:rsidRDefault="00000000" w:rsidRPr="00000000" w14:paraId="000003DC">
      <w:pPr>
        <w:spacing w:line="276" w:lineRule="auto"/>
        <w:ind w:right="-567"/>
        <w:rPr>
          <w:rFonts w:ascii="Open Sans Light" w:cs="Open Sans Light" w:eastAsia="Open Sans Light" w:hAnsi="Open Sans Light"/>
          <w:b w:val="1"/>
          <w:color w:val="303ab2"/>
          <w:sz w:val="28"/>
          <w:szCs w:val="28"/>
        </w:rPr>
      </w:pPr>
      <w:r w:rsidDel="00000000" w:rsidR="00000000" w:rsidRPr="00000000">
        <w:rPr>
          <w:rFonts w:ascii="Open Sans Light" w:cs="Open Sans Light" w:eastAsia="Open Sans Light" w:hAnsi="Open Sans Light"/>
          <w:b w:val="1"/>
          <w:color w:val="303ab2"/>
          <w:sz w:val="28"/>
          <w:szCs w:val="28"/>
          <w:rtl w:val="0"/>
        </w:rPr>
        <w:t xml:space="preserve">Distritos de Barcelona </w:t>
      </w:r>
    </w:p>
    <w:p w:rsidR="00000000" w:rsidDel="00000000" w:rsidP="00000000" w:rsidRDefault="00000000" w:rsidRPr="00000000" w14:paraId="000003DD">
      <w:pPr>
        <w:spacing w:line="276" w:lineRule="auto"/>
        <w:ind w:right="-567"/>
        <w:jc w:val="both"/>
        <w:rPr>
          <w:rFonts w:ascii="Open Sans" w:cs="Open Sans" w:eastAsia="Open Sans" w:hAnsi="Open Sans"/>
          <w:color w:val="000000"/>
        </w:rPr>
      </w:pPr>
      <w:r w:rsidDel="00000000" w:rsidR="00000000" w:rsidRPr="00000000">
        <w:rPr>
          <w:rtl w:val="0"/>
        </w:rPr>
      </w:r>
    </w:p>
    <w:p w:rsidR="00000000" w:rsidDel="00000000" w:rsidP="00000000" w:rsidRDefault="00000000" w:rsidRPr="00000000" w14:paraId="000003DE">
      <w:pPr>
        <w:spacing w:line="276" w:lineRule="auto"/>
        <w:ind w:right="-567"/>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El precio del alquiler sube en noviembre en los diez distritos respecto al año anterior. Los distritos analizados con incremento interanual son: Horta - Guinardó (21,5%), Nou Barris (16,0%), Sants - Montjuïc (15,3%), Sant Andreu (12,7%), Sarrià - Sant Gervasi (10,1%), Gràcia (8,2%), Les Corts (6,4%), Sant Martí (6,0%), Eixample (5,5%) y Ciutat Vella (2,8%).</w:t>
      </w:r>
    </w:p>
    <w:p w:rsidR="00000000" w:rsidDel="00000000" w:rsidP="00000000" w:rsidRDefault="00000000" w:rsidRPr="00000000" w14:paraId="000003DF">
      <w:pPr>
        <w:spacing w:line="276" w:lineRule="auto"/>
        <w:ind w:right="-567"/>
        <w:jc w:val="both"/>
        <w:rPr>
          <w:rFonts w:ascii="Open Sans" w:cs="Open Sans" w:eastAsia="Open Sans" w:hAnsi="Open Sans"/>
          <w:color w:val="000000"/>
        </w:rPr>
      </w:pPr>
      <w:r w:rsidDel="00000000" w:rsidR="00000000" w:rsidRPr="00000000">
        <w:rPr>
          <w:rtl w:val="0"/>
        </w:rPr>
      </w:r>
    </w:p>
    <w:p w:rsidR="00000000" w:rsidDel="00000000" w:rsidP="00000000" w:rsidRDefault="00000000" w:rsidRPr="00000000" w14:paraId="000003E0">
      <w:pPr>
        <w:spacing w:line="276" w:lineRule="auto"/>
        <w:ind w:right="-567"/>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En cuanto al precio por metro cuadrado, </w:t>
      </w:r>
      <w:r w:rsidDel="00000000" w:rsidR="00000000" w:rsidRPr="00000000">
        <w:rPr>
          <w:rFonts w:ascii="Open Sans" w:cs="Open Sans" w:eastAsia="Open Sans" w:hAnsi="Open Sans"/>
          <w:b w:val="1"/>
          <w:color w:val="000000"/>
          <w:rtl w:val="0"/>
        </w:rPr>
        <w:t xml:space="preserve">el orden de los distritos de mayor a menor precio es: </w:t>
      </w:r>
      <w:r w:rsidDel="00000000" w:rsidR="00000000" w:rsidRPr="00000000">
        <w:rPr>
          <w:rFonts w:ascii="Open Sans" w:cs="Open Sans" w:eastAsia="Open Sans" w:hAnsi="Open Sans"/>
          <w:color w:val="000000"/>
          <w:rtl w:val="0"/>
        </w:rPr>
        <w:t xml:space="preserve">Sant Martí con 23,42 €/m</w:t>
      </w:r>
      <w:r w:rsidDel="00000000" w:rsidR="00000000" w:rsidRPr="00000000">
        <w:rPr>
          <w:rFonts w:ascii="Open Sans" w:cs="Open Sans" w:eastAsia="Open Sans" w:hAnsi="Open Sans"/>
          <w:color w:val="000000"/>
          <w:vertAlign w:val="superscript"/>
          <w:rtl w:val="0"/>
        </w:rPr>
        <w:t xml:space="preserve">2 </w:t>
      </w:r>
      <w:r w:rsidDel="00000000" w:rsidR="00000000" w:rsidRPr="00000000">
        <w:rPr>
          <w:rFonts w:ascii="Open Sans" w:cs="Open Sans" w:eastAsia="Open Sans" w:hAnsi="Open Sans"/>
          <w:color w:val="000000"/>
          <w:rtl w:val="0"/>
        </w:rPr>
        <w:t xml:space="preserve">al mes, Ciutat Vella con 23,19 €/m</w:t>
      </w:r>
      <w:r w:rsidDel="00000000" w:rsidR="00000000" w:rsidRPr="00000000">
        <w:rPr>
          <w:rFonts w:ascii="Open Sans" w:cs="Open Sans" w:eastAsia="Open Sans" w:hAnsi="Open Sans"/>
          <w:color w:val="000000"/>
          <w:vertAlign w:val="superscript"/>
          <w:rtl w:val="0"/>
        </w:rPr>
        <w:t xml:space="preserve">2 </w:t>
      </w:r>
      <w:r w:rsidDel="00000000" w:rsidR="00000000" w:rsidRPr="00000000">
        <w:rPr>
          <w:rFonts w:ascii="Open Sans" w:cs="Open Sans" w:eastAsia="Open Sans" w:hAnsi="Open Sans"/>
          <w:color w:val="000000"/>
          <w:rtl w:val="0"/>
        </w:rPr>
        <w:t xml:space="preserve">al mes, Gràcia con 23,10 €/m</w:t>
      </w:r>
      <w:r w:rsidDel="00000000" w:rsidR="00000000" w:rsidRPr="00000000">
        <w:rPr>
          <w:rFonts w:ascii="Open Sans" w:cs="Open Sans" w:eastAsia="Open Sans" w:hAnsi="Open Sans"/>
          <w:color w:val="000000"/>
          <w:vertAlign w:val="superscript"/>
          <w:rtl w:val="0"/>
        </w:rPr>
        <w:t xml:space="preserve">2 </w:t>
      </w:r>
      <w:r w:rsidDel="00000000" w:rsidR="00000000" w:rsidRPr="00000000">
        <w:rPr>
          <w:rFonts w:ascii="Open Sans" w:cs="Open Sans" w:eastAsia="Open Sans" w:hAnsi="Open Sans"/>
          <w:color w:val="000000"/>
          <w:rtl w:val="0"/>
        </w:rPr>
        <w:t xml:space="preserve">al mes, Eixample con 22,77 €/m</w:t>
      </w:r>
      <w:r w:rsidDel="00000000" w:rsidR="00000000" w:rsidRPr="00000000">
        <w:rPr>
          <w:rFonts w:ascii="Open Sans" w:cs="Open Sans" w:eastAsia="Open Sans" w:hAnsi="Open Sans"/>
          <w:color w:val="000000"/>
          <w:vertAlign w:val="superscript"/>
          <w:rtl w:val="0"/>
        </w:rPr>
        <w:t xml:space="preserve">2 </w:t>
      </w:r>
      <w:r w:rsidDel="00000000" w:rsidR="00000000" w:rsidRPr="00000000">
        <w:rPr>
          <w:rFonts w:ascii="Open Sans" w:cs="Open Sans" w:eastAsia="Open Sans" w:hAnsi="Open Sans"/>
          <w:color w:val="000000"/>
          <w:rtl w:val="0"/>
        </w:rPr>
        <w:t xml:space="preserve">al mes, Sarrià - Sant Gervasi con 22,74 €/m</w:t>
      </w:r>
      <w:r w:rsidDel="00000000" w:rsidR="00000000" w:rsidRPr="00000000">
        <w:rPr>
          <w:rFonts w:ascii="Open Sans" w:cs="Open Sans" w:eastAsia="Open Sans" w:hAnsi="Open Sans"/>
          <w:color w:val="000000"/>
          <w:vertAlign w:val="superscript"/>
          <w:rtl w:val="0"/>
        </w:rPr>
        <w:t xml:space="preserve">2 </w:t>
      </w:r>
      <w:r w:rsidDel="00000000" w:rsidR="00000000" w:rsidRPr="00000000">
        <w:rPr>
          <w:rFonts w:ascii="Open Sans" w:cs="Open Sans" w:eastAsia="Open Sans" w:hAnsi="Open Sans"/>
          <w:color w:val="000000"/>
          <w:rtl w:val="0"/>
        </w:rPr>
        <w:t xml:space="preserve">al mes, Sants - Montjuïc con 22,65 €/m</w:t>
      </w:r>
      <w:r w:rsidDel="00000000" w:rsidR="00000000" w:rsidRPr="00000000">
        <w:rPr>
          <w:rFonts w:ascii="Open Sans" w:cs="Open Sans" w:eastAsia="Open Sans" w:hAnsi="Open Sans"/>
          <w:color w:val="000000"/>
          <w:vertAlign w:val="superscript"/>
          <w:rtl w:val="0"/>
        </w:rPr>
        <w:t xml:space="preserve">2 </w:t>
      </w:r>
      <w:r w:rsidDel="00000000" w:rsidR="00000000" w:rsidRPr="00000000">
        <w:rPr>
          <w:rFonts w:ascii="Open Sans" w:cs="Open Sans" w:eastAsia="Open Sans" w:hAnsi="Open Sans"/>
          <w:color w:val="000000"/>
          <w:rtl w:val="0"/>
        </w:rPr>
        <w:t xml:space="preserve">al mes, Horta - Guinardó con 21,59 €/m</w:t>
      </w:r>
      <w:r w:rsidDel="00000000" w:rsidR="00000000" w:rsidRPr="00000000">
        <w:rPr>
          <w:rFonts w:ascii="Open Sans" w:cs="Open Sans" w:eastAsia="Open Sans" w:hAnsi="Open Sans"/>
          <w:color w:val="000000"/>
          <w:vertAlign w:val="superscript"/>
          <w:rtl w:val="0"/>
        </w:rPr>
        <w:t xml:space="preserve">2 </w:t>
      </w:r>
      <w:r w:rsidDel="00000000" w:rsidR="00000000" w:rsidRPr="00000000">
        <w:rPr>
          <w:rFonts w:ascii="Open Sans" w:cs="Open Sans" w:eastAsia="Open Sans" w:hAnsi="Open Sans"/>
          <w:color w:val="000000"/>
          <w:rtl w:val="0"/>
        </w:rPr>
        <w:t xml:space="preserve">al mes, Les Corts con 21,42 €/m</w:t>
      </w:r>
      <w:r w:rsidDel="00000000" w:rsidR="00000000" w:rsidRPr="00000000">
        <w:rPr>
          <w:rFonts w:ascii="Open Sans" w:cs="Open Sans" w:eastAsia="Open Sans" w:hAnsi="Open Sans"/>
          <w:color w:val="000000"/>
          <w:vertAlign w:val="superscript"/>
          <w:rtl w:val="0"/>
        </w:rPr>
        <w:t xml:space="preserve">2 </w:t>
      </w:r>
      <w:r w:rsidDel="00000000" w:rsidR="00000000" w:rsidRPr="00000000">
        <w:rPr>
          <w:rFonts w:ascii="Open Sans" w:cs="Open Sans" w:eastAsia="Open Sans" w:hAnsi="Open Sans"/>
          <w:color w:val="000000"/>
          <w:rtl w:val="0"/>
        </w:rPr>
        <w:t xml:space="preserve">al mes, Sant Andreu con 21,21 €/m</w:t>
      </w:r>
      <w:r w:rsidDel="00000000" w:rsidR="00000000" w:rsidRPr="00000000">
        <w:rPr>
          <w:rFonts w:ascii="Open Sans" w:cs="Open Sans" w:eastAsia="Open Sans" w:hAnsi="Open Sans"/>
          <w:color w:val="000000"/>
          <w:vertAlign w:val="superscript"/>
          <w:rtl w:val="0"/>
        </w:rPr>
        <w:t xml:space="preserve">2 </w:t>
      </w:r>
      <w:r w:rsidDel="00000000" w:rsidR="00000000" w:rsidRPr="00000000">
        <w:rPr>
          <w:rFonts w:ascii="Open Sans" w:cs="Open Sans" w:eastAsia="Open Sans" w:hAnsi="Open Sans"/>
          <w:color w:val="000000"/>
          <w:rtl w:val="0"/>
        </w:rPr>
        <w:t xml:space="preserve">al mes y Nou Barris con 20,52 €/m</w:t>
      </w:r>
      <w:r w:rsidDel="00000000" w:rsidR="00000000" w:rsidRPr="00000000">
        <w:rPr>
          <w:rFonts w:ascii="Open Sans" w:cs="Open Sans" w:eastAsia="Open Sans" w:hAnsi="Open Sans"/>
          <w:color w:val="000000"/>
          <w:vertAlign w:val="superscript"/>
          <w:rtl w:val="0"/>
        </w:rPr>
        <w:t xml:space="preserve">2 </w:t>
      </w:r>
      <w:r w:rsidDel="00000000" w:rsidR="00000000" w:rsidRPr="00000000">
        <w:rPr>
          <w:rFonts w:ascii="Open Sans" w:cs="Open Sans" w:eastAsia="Open Sans" w:hAnsi="Open Sans"/>
          <w:color w:val="000000"/>
          <w:rtl w:val="0"/>
        </w:rPr>
        <w:t xml:space="preserve">al mes.</w:t>
      </w:r>
    </w:p>
    <w:p w:rsidR="00000000" w:rsidDel="00000000" w:rsidP="00000000" w:rsidRDefault="00000000" w:rsidRPr="00000000" w14:paraId="000003E1">
      <w:pPr>
        <w:spacing w:line="276" w:lineRule="auto"/>
        <w:ind w:right="-567"/>
        <w:jc w:val="both"/>
        <w:rPr>
          <w:rFonts w:ascii="Open Sans Light" w:cs="Open Sans Light" w:eastAsia="Open Sans Light" w:hAnsi="Open Sans Light"/>
          <w:b w:val="1"/>
          <w:color w:val="303ab2"/>
          <w:sz w:val="28"/>
          <w:szCs w:val="28"/>
        </w:rPr>
      </w:pPr>
      <w:r w:rsidDel="00000000" w:rsidR="00000000" w:rsidRPr="00000000">
        <w:rPr>
          <w:rtl w:val="0"/>
        </w:rPr>
      </w:r>
    </w:p>
    <w:p w:rsidR="00000000" w:rsidDel="00000000" w:rsidP="00000000" w:rsidRDefault="00000000" w:rsidRPr="00000000" w14:paraId="000003E2">
      <w:pPr>
        <w:spacing w:line="276" w:lineRule="auto"/>
        <w:ind w:right="-567"/>
        <w:jc w:val="both"/>
        <w:rPr>
          <w:rFonts w:ascii="Open Sans Light" w:cs="Open Sans Light" w:eastAsia="Open Sans Light" w:hAnsi="Open Sans Light"/>
          <w:b w:val="1"/>
          <w:color w:val="303ab2"/>
          <w:sz w:val="28"/>
          <w:szCs w:val="28"/>
        </w:rPr>
      </w:pPr>
      <w:r w:rsidDel="00000000" w:rsidR="00000000" w:rsidRPr="00000000">
        <w:rPr>
          <w:rFonts w:ascii="Open Sans Light" w:cs="Open Sans Light" w:eastAsia="Open Sans Light" w:hAnsi="Open Sans Light"/>
          <w:b w:val="1"/>
          <w:color w:val="303ab2"/>
          <w:sz w:val="28"/>
          <w:szCs w:val="28"/>
          <w:rtl w:val="0"/>
        </w:rPr>
        <w:t xml:space="preserve">Distritos con precio, variación mensual e interanual</w:t>
      </w:r>
    </w:p>
    <w:p w:rsidR="00000000" w:rsidDel="00000000" w:rsidP="00000000" w:rsidRDefault="00000000" w:rsidRPr="00000000" w14:paraId="000003E3">
      <w:pPr>
        <w:spacing w:line="276" w:lineRule="auto"/>
        <w:ind w:right="-567"/>
        <w:jc w:val="both"/>
        <w:rPr>
          <w:rFonts w:ascii="Open Sans" w:cs="Open Sans" w:eastAsia="Open Sans" w:hAnsi="Open Sans"/>
          <w:color w:val="000000"/>
          <w:sz w:val="16"/>
          <w:szCs w:val="16"/>
        </w:rPr>
      </w:pPr>
      <w:r w:rsidDel="00000000" w:rsidR="00000000" w:rsidRPr="00000000">
        <w:rPr>
          <w:rtl w:val="0"/>
        </w:rPr>
      </w:r>
    </w:p>
    <w:tbl>
      <w:tblPr>
        <w:tblStyle w:val="Table9"/>
        <w:tblW w:w="9051.0" w:type="dxa"/>
        <w:jc w:val="left"/>
        <w:tblInd w:w="-5.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A0"/>
      </w:tblPr>
      <w:tblGrid>
        <w:gridCol w:w="2835"/>
        <w:gridCol w:w="2268"/>
        <w:gridCol w:w="1985"/>
        <w:gridCol w:w="1963"/>
        <w:tblGridChange w:id="0">
          <w:tblGrid>
            <w:gridCol w:w="2835"/>
            <w:gridCol w:w="2268"/>
            <w:gridCol w:w="1985"/>
            <w:gridCol w:w="1963"/>
          </w:tblGrid>
        </w:tblGridChange>
      </w:tblGrid>
      <w:tr>
        <w:trPr>
          <w:cantSplit w:val="0"/>
          <w:trHeight w:val="175" w:hRule="atLeast"/>
          <w:tblHeader w:val="0"/>
        </w:trPr>
        <w:tc>
          <w:tcPr>
            <w:tcBorders>
              <w:bottom w:color="ffffff" w:space="0" w:sz="4" w:val="single"/>
            </w:tcBorders>
            <w:vAlign w:val="center"/>
          </w:tcPr>
          <w:p w:rsidR="00000000" w:rsidDel="00000000" w:rsidP="00000000" w:rsidRDefault="00000000" w:rsidRPr="00000000" w14:paraId="000003E4">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Distrito</w:t>
            </w:r>
            <w:r w:rsidDel="00000000" w:rsidR="00000000" w:rsidRPr="00000000">
              <w:rPr>
                <w:rtl w:val="0"/>
              </w:rPr>
            </w:r>
          </w:p>
        </w:tc>
        <w:tc>
          <w:tcPr>
            <w:tcBorders>
              <w:bottom w:color="ffffff" w:space="0" w:sz="4" w:val="single"/>
            </w:tcBorders>
            <w:vAlign w:val="center"/>
          </w:tcPr>
          <w:p w:rsidR="00000000" w:rsidDel="00000000" w:rsidP="00000000" w:rsidRDefault="00000000" w:rsidRPr="00000000" w14:paraId="000003E5">
            <w:pPr>
              <w:jc w:val="cente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Noviembre 2024</w:t>
            </w:r>
            <w:r w:rsidDel="00000000" w:rsidR="00000000" w:rsidRPr="00000000">
              <w:rPr>
                <w:rtl w:val="0"/>
              </w:rPr>
            </w:r>
          </w:p>
          <w:p w:rsidR="00000000" w:rsidDel="00000000" w:rsidP="00000000" w:rsidRDefault="00000000" w:rsidRPr="00000000" w14:paraId="000003E6">
            <w:pPr>
              <w:jc w:val="cente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(€/m² al mes)</w:t>
            </w:r>
            <w:r w:rsidDel="00000000" w:rsidR="00000000" w:rsidRPr="00000000">
              <w:rPr>
                <w:rtl w:val="0"/>
              </w:rPr>
            </w:r>
          </w:p>
        </w:tc>
        <w:tc>
          <w:tcPr>
            <w:tcBorders>
              <w:bottom w:color="ffffff" w:space="0" w:sz="4" w:val="single"/>
            </w:tcBorders>
            <w:vAlign w:val="center"/>
          </w:tcPr>
          <w:p w:rsidR="00000000" w:rsidDel="00000000" w:rsidP="00000000" w:rsidRDefault="00000000" w:rsidRPr="00000000" w14:paraId="000003E7">
            <w:pPr>
              <w:jc w:val="cente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Variación mensual (%)</w:t>
            </w:r>
            <w:r w:rsidDel="00000000" w:rsidR="00000000" w:rsidRPr="00000000">
              <w:rPr>
                <w:rtl w:val="0"/>
              </w:rPr>
            </w:r>
          </w:p>
        </w:tc>
        <w:tc>
          <w:tcPr>
            <w:tcBorders>
              <w:bottom w:color="ffffff" w:space="0" w:sz="4" w:val="single"/>
            </w:tcBorders>
            <w:vAlign w:val="center"/>
          </w:tcPr>
          <w:p w:rsidR="00000000" w:rsidDel="00000000" w:rsidP="00000000" w:rsidRDefault="00000000" w:rsidRPr="00000000" w14:paraId="000003E8">
            <w:pPr>
              <w:jc w:val="cente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Variación interanual (%)</w:t>
            </w:r>
            <w:r w:rsidDel="00000000" w:rsidR="00000000" w:rsidRPr="00000000">
              <w:rPr>
                <w:rtl w:val="0"/>
              </w:rPr>
            </w:r>
          </w:p>
        </w:tc>
      </w:tr>
      <w:tr>
        <w:trPr>
          <w:cantSplit w:val="0"/>
          <w:trHeight w:val="175" w:hRule="atLeast"/>
          <w:tblHeader w:val="0"/>
        </w:trPr>
        <w:tc>
          <w:tcPr>
            <w:tcBorders>
              <w:top w:color="ffffff" w:space="0" w:sz="4" w:val="single"/>
              <w:bottom w:color="ffffff" w:space="0" w:sz="4" w:val="single"/>
              <w:right w:color="ffffff" w:space="0" w:sz="4" w:val="single"/>
            </w:tcBorders>
            <w:vAlign w:val="bottom"/>
          </w:tcPr>
          <w:p w:rsidR="00000000" w:rsidDel="00000000" w:rsidP="00000000" w:rsidRDefault="00000000" w:rsidRPr="00000000" w14:paraId="000003E9">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Horta - Guinardó</w:t>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EA">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21,59 € </w:t>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EB">
            <w:pPr>
              <w:jc w:val="center"/>
              <w:rPr>
                <w:rFonts w:ascii="Open Sans" w:cs="Open Sans" w:eastAsia="Open Sans" w:hAnsi="Open Sans"/>
                <w:color w:val="9c0006"/>
                <w:sz w:val="22"/>
                <w:szCs w:val="22"/>
              </w:rPr>
            </w:pPr>
            <w:r w:rsidDel="00000000" w:rsidR="00000000" w:rsidRPr="00000000">
              <w:rPr>
                <w:rFonts w:ascii="Open Sans" w:cs="Open Sans" w:eastAsia="Open Sans" w:hAnsi="Open Sans"/>
                <w:color w:val="000000"/>
                <w:sz w:val="22"/>
                <w:szCs w:val="22"/>
                <w:rtl w:val="0"/>
              </w:rPr>
              <w:t xml:space="preserve">1,8%</w:t>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EC">
            <w:pPr>
              <w:jc w:val="center"/>
              <w:rPr>
                <w:rFonts w:ascii="Open Sans" w:cs="Open Sans" w:eastAsia="Open Sans" w:hAnsi="Open Sans"/>
                <w:b w:val="1"/>
                <w:color w:val="9c0006"/>
                <w:sz w:val="22"/>
                <w:szCs w:val="22"/>
              </w:rPr>
            </w:pPr>
            <w:r w:rsidDel="00000000" w:rsidR="00000000" w:rsidRPr="00000000">
              <w:rPr>
                <w:rFonts w:ascii="Open Sans" w:cs="Open Sans" w:eastAsia="Open Sans" w:hAnsi="Open Sans"/>
                <w:color w:val="000000"/>
                <w:sz w:val="22"/>
                <w:szCs w:val="22"/>
                <w:rtl w:val="0"/>
              </w:rPr>
              <w:t xml:space="preserve">21,5%</w:t>
            </w:r>
            <w:r w:rsidDel="00000000" w:rsidR="00000000" w:rsidRPr="00000000">
              <w:rPr>
                <w:rtl w:val="0"/>
              </w:rPr>
            </w:r>
          </w:p>
        </w:tc>
      </w:tr>
      <w:tr>
        <w:trPr>
          <w:cantSplit w:val="0"/>
          <w:trHeight w:val="175" w:hRule="atLeast"/>
          <w:tblHeader w:val="0"/>
        </w:trPr>
        <w:tc>
          <w:tcPr>
            <w:tcBorders>
              <w:top w:color="ffffff" w:space="0" w:sz="4" w:val="single"/>
              <w:bottom w:color="ffffff" w:space="0" w:sz="4" w:val="single"/>
              <w:right w:color="ffffff" w:space="0" w:sz="4" w:val="single"/>
            </w:tcBorders>
            <w:vAlign w:val="bottom"/>
          </w:tcPr>
          <w:p w:rsidR="00000000" w:rsidDel="00000000" w:rsidP="00000000" w:rsidRDefault="00000000" w:rsidRPr="00000000" w14:paraId="000003ED">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Nou Barris</w:t>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EE">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20,52 € </w:t>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EF">
            <w:pPr>
              <w:jc w:val="center"/>
              <w:rPr>
                <w:rFonts w:ascii="Open Sans" w:cs="Open Sans" w:eastAsia="Open Sans" w:hAnsi="Open Sans"/>
                <w:color w:val="9c0006"/>
                <w:sz w:val="22"/>
                <w:szCs w:val="22"/>
              </w:rPr>
            </w:pPr>
            <w:r w:rsidDel="00000000" w:rsidR="00000000" w:rsidRPr="00000000">
              <w:rPr>
                <w:rFonts w:ascii="Open Sans" w:cs="Open Sans" w:eastAsia="Open Sans" w:hAnsi="Open Sans"/>
                <w:color w:val="000000"/>
                <w:sz w:val="22"/>
                <w:szCs w:val="22"/>
                <w:rtl w:val="0"/>
              </w:rPr>
              <w:t xml:space="preserve">12,1%</w:t>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F0">
            <w:pPr>
              <w:jc w:val="center"/>
              <w:rPr>
                <w:rFonts w:ascii="Open Sans" w:cs="Open Sans" w:eastAsia="Open Sans" w:hAnsi="Open Sans"/>
                <w:b w:val="1"/>
                <w:color w:val="9c0006"/>
                <w:sz w:val="22"/>
                <w:szCs w:val="22"/>
              </w:rPr>
            </w:pPr>
            <w:r w:rsidDel="00000000" w:rsidR="00000000" w:rsidRPr="00000000">
              <w:rPr>
                <w:rFonts w:ascii="Open Sans" w:cs="Open Sans" w:eastAsia="Open Sans" w:hAnsi="Open Sans"/>
                <w:color w:val="000000"/>
                <w:sz w:val="22"/>
                <w:szCs w:val="22"/>
                <w:rtl w:val="0"/>
              </w:rPr>
              <w:t xml:space="preserve">16,0%</w:t>
            </w:r>
            <w:r w:rsidDel="00000000" w:rsidR="00000000" w:rsidRPr="00000000">
              <w:rPr>
                <w:rtl w:val="0"/>
              </w:rPr>
            </w:r>
          </w:p>
        </w:tc>
      </w:tr>
      <w:tr>
        <w:trPr>
          <w:cantSplit w:val="0"/>
          <w:trHeight w:val="175" w:hRule="atLeast"/>
          <w:tblHeader w:val="0"/>
        </w:trPr>
        <w:tc>
          <w:tcPr>
            <w:tcBorders>
              <w:top w:color="ffffff" w:space="0" w:sz="4" w:val="single"/>
              <w:bottom w:color="ffffff" w:space="0" w:sz="4" w:val="single"/>
              <w:right w:color="ffffff" w:space="0" w:sz="4" w:val="single"/>
            </w:tcBorders>
            <w:vAlign w:val="bottom"/>
          </w:tcPr>
          <w:p w:rsidR="00000000" w:rsidDel="00000000" w:rsidP="00000000" w:rsidRDefault="00000000" w:rsidRPr="00000000" w14:paraId="000003F1">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Sants - Montjuïc</w:t>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F2">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22,65 € </w:t>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F3">
            <w:pPr>
              <w:jc w:val="center"/>
              <w:rPr>
                <w:rFonts w:ascii="Open Sans" w:cs="Open Sans" w:eastAsia="Open Sans" w:hAnsi="Open Sans"/>
                <w:color w:val="9c0006"/>
                <w:sz w:val="22"/>
                <w:szCs w:val="22"/>
              </w:rPr>
            </w:pPr>
            <w:r w:rsidDel="00000000" w:rsidR="00000000" w:rsidRPr="00000000">
              <w:rPr>
                <w:rFonts w:ascii="Open Sans" w:cs="Open Sans" w:eastAsia="Open Sans" w:hAnsi="Open Sans"/>
                <w:color w:val="000000"/>
                <w:sz w:val="22"/>
                <w:szCs w:val="22"/>
                <w:rtl w:val="0"/>
              </w:rPr>
              <w:t xml:space="preserve">3,6%</w:t>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F4">
            <w:pPr>
              <w:jc w:val="center"/>
              <w:rPr>
                <w:rFonts w:ascii="Open Sans" w:cs="Open Sans" w:eastAsia="Open Sans" w:hAnsi="Open Sans"/>
                <w:b w:val="1"/>
                <w:color w:val="9c0006"/>
                <w:sz w:val="22"/>
                <w:szCs w:val="22"/>
              </w:rPr>
            </w:pPr>
            <w:r w:rsidDel="00000000" w:rsidR="00000000" w:rsidRPr="00000000">
              <w:rPr>
                <w:rFonts w:ascii="Open Sans" w:cs="Open Sans" w:eastAsia="Open Sans" w:hAnsi="Open Sans"/>
                <w:color w:val="000000"/>
                <w:sz w:val="22"/>
                <w:szCs w:val="22"/>
                <w:rtl w:val="0"/>
              </w:rPr>
              <w:t xml:space="preserve">15,3%</w:t>
            </w:r>
            <w:r w:rsidDel="00000000" w:rsidR="00000000" w:rsidRPr="00000000">
              <w:rPr>
                <w:rtl w:val="0"/>
              </w:rPr>
            </w:r>
          </w:p>
        </w:tc>
      </w:tr>
      <w:tr>
        <w:trPr>
          <w:cantSplit w:val="0"/>
          <w:trHeight w:val="175" w:hRule="atLeast"/>
          <w:tblHeader w:val="0"/>
        </w:trPr>
        <w:tc>
          <w:tcPr>
            <w:tcBorders>
              <w:top w:color="ffffff" w:space="0" w:sz="4" w:val="single"/>
              <w:bottom w:color="ffffff" w:space="0" w:sz="4" w:val="single"/>
              <w:right w:color="ffffff" w:space="0" w:sz="4" w:val="single"/>
            </w:tcBorders>
            <w:vAlign w:val="bottom"/>
          </w:tcPr>
          <w:p w:rsidR="00000000" w:rsidDel="00000000" w:rsidP="00000000" w:rsidRDefault="00000000" w:rsidRPr="00000000" w14:paraId="000003F5">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Sant Andreu</w:t>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F6">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21,21 € </w:t>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F7">
            <w:pPr>
              <w:jc w:val="center"/>
              <w:rPr>
                <w:rFonts w:ascii="Open Sans" w:cs="Open Sans" w:eastAsia="Open Sans" w:hAnsi="Open Sans"/>
                <w:color w:val="9c0006"/>
                <w:sz w:val="22"/>
                <w:szCs w:val="22"/>
              </w:rPr>
            </w:pPr>
            <w:r w:rsidDel="00000000" w:rsidR="00000000" w:rsidRPr="00000000">
              <w:rPr>
                <w:rFonts w:ascii="Open Sans" w:cs="Open Sans" w:eastAsia="Open Sans" w:hAnsi="Open Sans"/>
                <w:color w:val="000000"/>
                <w:sz w:val="22"/>
                <w:szCs w:val="22"/>
                <w:rtl w:val="0"/>
              </w:rPr>
              <w:t xml:space="preserve">2,6%</w:t>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F8">
            <w:pPr>
              <w:jc w:val="center"/>
              <w:rPr>
                <w:rFonts w:ascii="Open Sans" w:cs="Open Sans" w:eastAsia="Open Sans" w:hAnsi="Open Sans"/>
                <w:b w:val="1"/>
                <w:color w:val="9c0006"/>
                <w:sz w:val="22"/>
                <w:szCs w:val="22"/>
              </w:rPr>
            </w:pPr>
            <w:r w:rsidDel="00000000" w:rsidR="00000000" w:rsidRPr="00000000">
              <w:rPr>
                <w:rFonts w:ascii="Open Sans" w:cs="Open Sans" w:eastAsia="Open Sans" w:hAnsi="Open Sans"/>
                <w:color w:val="000000"/>
                <w:sz w:val="22"/>
                <w:szCs w:val="22"/>
                <w:rtl w:val="0"/>
              </w:rPr>
              <w:t xml:space="preserve">12,7%</w:t>
            </w:r>
            <w:r w:rsidDel="00000000" w:rsidR="00000000" w:rsidRPr="00000000">
              <w:rPr>
                <w:rtl w:val="0"/>
              </w:rPr>
            </w:r>
          </w:p>
        </w:tc>
      </w:tr>
      <w:tr>
        <w:trPr>
          <w:cantSplit w:val="0"/>
          <w:trHeight w:val="175" w:hRule="atLeast"/>
          <w:tblHeader w:val="0"/>
        </w:trPr>
        <w:tc>
          <w:tcPr>
            <w:tcBorders>
              <w:top w:color="ffffff" w:space="0" w:sz="4" w:val="single"/>
              <w:bottom w:color="ffffff" w:space="0" w:sz="4" w:val="single"/>
              <w:right w:color="ffffff" w:space="0" w:sz="4" w:val="single"/>
            </w:tcBorders>
            <w:vAlign w:val="bottom"/>
          </w:tcPr>
          <w:p w:rsidR="00000000" w:rsidDel="00000000" w:rsidP="00000000" w:rsidRDefault="00000000" w:rsidRPr="00000000" w14:paraId="000003F9">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Sarrià - Sant Gervasi</w:t>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FA">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22,74 € </w:t>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FB">
            <w:pPr>
              <w:jc w:val="center"/>
              <w:rPr>
                <w:rFonts w:ascii="Open Sans" w:cs="Open Sans" w:eastAsia="Open Sans" w:hAnsi="Open Sans"/>
                <w:color w:val="9c0006"/>
                <w:sz w:val="22"/>
                <w:szCs w:val="22"/>
              </w:rPr>
            </w:pPr>
            <w:r w:rsidDel="00000000" w:rsidR="00000000" w:rsidRPr="00000000">
              <w:rPr>
                <w:rFonts w:ascii="Open Sans" w:cs="Open Sans" w:eastAsia="Open Sans" w:hAnsi="Open Sans"/>
                <w:color w:val="000000"/>
                <w:sz w:val="22"/>
                <w:szCs w:val="22"/>
                <w:rtl w:val="0"/>
              </w:rPr>
              <w:t xml:space="preserve">3,1%</w:t>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FC">
            <w:pPr>
              <w:jc w:val="center"/>
              <w:rPr>
                <w:rFonts w:ascii="Open Sans" w:cs="Open Sans" w:eastAsia="Open Sans" w:hAnsi="Open Sans"/>
                <w:b w:val="1"/>
                <w:color w:val="9c0006"/>
                <w:sz w:val="22"/>
                <w:szCs w:val="22"/>
              </w:rPr>
            </w:pPr>
            <w:r w:rsidDel="00000000" w:rsidR="00000000" w:rsidRPr="00000000">
              <w:rPr>
                <w:rFonts w:ascii="Open Sans" w:cs="Open Sans" w:eastAsia="Open Sans" w:hAnsi="Open Sans"/>
                <w:color w:val="000000"/>
                <w:sz w:val="22"/>
                <w:szCs w:val="22"/>
                <w:rtl w:val="0"/>
              </w:rPr>
              <w:t xml:space="preserve">10,1%</w:t>
            </w:r>
            <w:r w:rsidDel="00000000" w:rsidR="00000000" w:rsidRPr="00000000">
              <w:rPr>
                <w:rtl w:val="0"/>
              </w:rPr>
            </w:r>
          </w:p>
        </w:tc>
      </w:tr>
      <w:tr>
        <w:trPr>
          <w:cantSplit w:val="0"/>
          <w:trHeight w:val="175" w:hRule="atLeast"/>
          <w:tblHeader w:val="0"/>
        </w:trPr>
        <w:tc>
          <w:tcPr>
            <w:tcBorders>
              <w:top w:color="ffffff" w:space="0" w:sz="4" w:val="single"/>
              <w:bottom w:color="ffffff" w:space="0" w:sz="4" w:val="single"/>
              <w:right w:color="ffffff" w:space="0" w:sz="4" w:val="single"/>
            </w:tcBorders>
            <w:vAlign w:val="bottom"/>
          </w:tcPr>
          <w:p w:rsidR="00000000" w:rsidDel="00000000" w:rsidP="00000000" w:rsidRDefault="00000000" w:rsidRPr="00000000" w14:paraId="000003FD">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Gràcia</w:t>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FE">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23,10 € </w:t>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FF">
            <w:pPr>
              <w:jc w:val="center"/>
              <w:rPr>
                <w:rFonts w:ascii="Open Sans" w:cs="Open Sans" w:eastAsia="Open Sans" w:hAnsi="Open Sans"/>
                <w:color w:val="9c0006"/>
                <w:sz w:val="22"/>
                <w:szCs w:val="22"/>
              </w:rPr>
            </w:pPr>
            <w:r w:rsidDel="00000000" w:rsidR="00000000" w:rsidRPr="00000000">
              <w:rPr>
                <w:rFonts w:ascii="Open Sans" w:cs="Open Sans" w:eastAsia="Open Sans" w:hAnsi="Open Sans"/>
                <w:color w:val="000000"/>
                <w:sz w:val="22"/>
                <w:szCs w:val="22"/>
                <w:rtl w:val="0"/>
              </w:rPr>
              <w:t xml:space="preserve">4,1%</w:t>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400">
            <w:pPr>
              <w:jc w:val="center"/>
              <w:rPr>
                <w:rFonts w:ascii="Open Sans" w:cs="Open Sans" w:eastAsia="Open Sans" w:hAnsi="Open Sans"/>
                <w:b w:val="1"/>
                <w:color w:val="9c0006"/>
                <w:sz w:val="22"/>
                <w:szCs w:val="22"/>
              </w:rPr>
            </w:pPr>
            <w:r w:rsidDel="00000000" w:rsidR="00000000" w:rsidRPr="00000000">
              <w:rPr>
                <w:rFonts w:ascii="Open Sans" w:cs="Open Sans" w:eastAsia="Open Sans" w:hAnsi="Open Sans"/>
                <w:color w:val="000000"/>
                <w:sz w:val="22"/>
                <w:szCs w:val="22"/>
                <w:rtl w:val="0"/>
              </w:rPr>
              <w:t xml:space="preserve">8,2%</w:t>
            </w:r>
            <w:r w:rsidDel="00000000" w:rsidR="00000000" w:rsidRPr="00000000">
              <w:rPr>
                <w:rtl w:val="0"/>
              </w:rPr>
            </w:r>
          </w:p>
        </w:tc>
      </w:tr>
      <w:tr>
        <w:trPr>
          <w:cantSplit w:val="0"/>
          <w:trHeight w:val="175" w:hRule="atLeast"/>
          <w:tblHeader w:val="0"/>
        </w:trPr>
        <w:tc>
          <w:tcPr>
            <w:tcBorders>
              <w:top w:color="ffffff" w:space="0" w:sz="4" w:val="single"/>
              <w:bottom w:color="ffffff" w:space="0" w:sz="4" w:val="single"/>
              <w:right w:color="ffffff" w:space="0" w:sz="4" w:val="single"/>
            </w:tcBorders>
            <w:vAlign w:val="bottom"/>
          </w:tcPr>
          <w:p w:rsidR="00000000" w:rsidDel="00000000" w:rsidP="00000000" w:rsidRDefault="00000000" w:rsidRPr="00000000" w14:paraId="00000401">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Les Corts</w:t>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402">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21,42 € </w:t>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403">
            <w:pPr>
              <w:jc w:val="center"/>
              <w:rPr>
                <w:rFonts w:ascii="Open Sans" w:cs="Open Sans" w:eastAsia="Open Sans" w:hAnsi="Open Sans"/>
                <w:color w:val="9c0006"/>
                <w:sz w:val="22"/>
                <w:szCs w:val="22"/>
              </w:rPr>
            </w:pPr>
            <w:r w:rsidDel="00000000" w:rsidR="00000000" w:rsidRPr="00000000">
              <w:rPr>
                <w:rFonts w:ascii="Open Sans" w:cs="Open Sans" w:eastAsia="Open Sans" w:hAnsi="Open Sans"/>
                <w:color w:val="9c0006"/>
                <w:sz w:val="22"/>
                <w:szCs w:val="22"/>
                <w:rtl w:val="0"/>
              </w:rPr>
              <w:t xml:space="preserve">-1,2%</w:t>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404">
            <w:pPr>
              <w:jc w:val="center"/>
              <w:rPr>
                <w:rFonts w:ascii="Open Sans" w:cs="Open Sans" w:eastAsia="Open Sans" w:hAnsi="Open Sans"/>
                <w:b w:val="1"/>
                <w:color w:val="9c0006"/>
                <w:sz w:val="22"/>
                <w:szCs w:val="22"/>
              </w:rPr>
            </w:pPr>
            <w:r w:rsidDel="00000000" w:rsidR="00000000" w:rsidRPr="00000000">
              <w:rPr>
                <w:rFonts w:ascii="Open Sans" w:cs="Open Sans" w:eastAsia="Open Sans" w:hAnsi="Open Sans"/>
                <w:color w:val="000000"/>
                <w:sz w:val="22"/>
                <w:szCs w:val="22"/>
                <w:rtl w:val="0"/>
              </w:rPr>
              <w:t xml:space="preserve">6,4%</w:t>
            </w:r>
            <w:r w:rsidDel="00000000" w:rsidR="00000000" w:rsidRPr="00000000">
              <w:rPr>
                <w:rtl w:val="0"/>
              </w:rPr>
            </w:r>
          </w:p>
        </w:tc>
      </w:tr>
      <w:tr>
        <w:trPr>
          <w:cantSplit w:val="0"/>
          <w:trHeight w:val="175" w:hRule="atLeast"/>
          <w:tblHeader w:val="0"/>
        </w:trPr>
        <w:tc>
          <w:tcPr>
            <w:tcBorders>
              <w:top w:color="ffffff" w:space="0" w:sz="4" w:val="single"/>
              <w:bottom w:color="ffffff" w:space="0" w:sz="4" w:val="single"/>
              <w:right w:color="ffffff" w:space="0" w:sz="4" w:val="single"/>
            </w:tcBorders>
            <w:vAlign w:val="bottom"/>
          </w:tcPr>
          <w:p w:rsidR="00000000" w:rsidDel="00000000" w:rsidP="00000000" w:rsidRDefault="00000000" w:rsidRPr="00000000" w14:paraId="00000405">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Sant Martí</w:t>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406">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23,42 € </w:t>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407">
            <w:pPr>
              <w:jc w:val="center"/>
              <w:rPr>
                <w:rFonts w:ascii="Open Sans" w:cs="Open Sans" w:eastAsia="Open Sans" w:hAnsi="Open Sans"/>
                <w:color w:val="9c0006"/>
                <w:sz w:val="22"/>
                <w:szCs w:val="22"/>
              </w:rPr>
            </w:pPr>
            <w:r w:rsidDel="00000000" w:rsidR="00000000" w:rsidRPr="00000000">
              <w:rPr>
                <w:rFonts w:ascii="Open Sans" w:cs="Open Sans" w:eastAsia="Open Sans" w:hAnsi="Open Sans"/>
                <w:color w:val="000000"/>
                <w:sz w:val="22"/>
                <w:szCs w:val="22"/>
                <w:rtl w:val="0"/>
              </w:rPr>
              <w:t xml:space="preserve">3,9%</w:t>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408">
            <w:pPr>
              <w:jc w:val="center"/>
              <w:rPr>
                <w:rFonts w:ascii="Open Sans" w:cs="Open Sans" w:eastAsia="Open Sans" w:hAnsi="Open Sans"/>
                <w:b w:val="1"/>
                <w:color w:val="9c0006"/>
                <w:sz w:val="22"/>
                <w:szCs w:val="22"/>
              </w:rPr>
            </w:pPr>
            <w:r w:rsidDel="00000000" w:rsidR="00000000" w:rsidRPr="00000000">
              <w:rPr>
                <w:rFonts w:ascii="Open Sans" w:cs="Open Sans" w:eastAsia="Open Sans" w:hAnsi="Open Sans"/>
                <w:color w:val="000000"/>
                <w:sz w:val="22"/>
                <w:szCs w:val="22"/>
                <w:rtl w:val="0"/>
              </w:rPr>
              <w:t xml:space="preserve">6,0%</w:t>
            </w:r>
            <w:r w:rsidDel="00000000" w:rsidR="00000000" w:rsidRPr="00000000">
              <w:rPr>
                <w:rtl w:val="0"/>
              </w:rPr>
            </w:r>
          </w:p>
        </w:tc>
      </w:tr>
      <w:tr>
        <w:trPr>
          <w:cantSplit w:val="0"/>
          <w:trHeight w:val="175" w:hRule="atLeast"/>
          <w:tblHeader w:val="0"/>
        </w:trPr>
        <w:tc>
          <w:tcPr>
            <w:tcBorders>
              <w:top w:color="ffffff" w:space="0" w:sz="4" w:val="single"/>
              <w:bottom w:color="ffffff" w:space="0" w:sz="4" w:val="single"/>
              <w:right w:color="ffffff" w:space="0" w:sz="4" w:val="single"/>
            </w:tcBorders>
            <w:vAlign w:val="bottom"/>
          </w:tcPr>
          <w:p w:rsidR="00000000" w:rsidDel="00000000" w:rsidP="00000000" w:rsidRDefault="00000000" w:rsidRPr="00000000" w14:paraId="00000409">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Eixample</w:t>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40A">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22,77 € </w:t>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40B">
            <w:pPr>
              <w:jc w:val="center"/>
              <w:rPr>
                <w:rFonts w:ascii="Open Sans" w:cs="Open Sans" w:eastAsia="Open Sans" w:hAnsi="Open Sans"/>
                <w:color w:val="9c0006"/>
                <w:sz w:val="22"/>
                <w:szCs w:val="22"/>
              </w:rPr>
            </w:pPr>
            <w:r w:rsidDel="00000000" w:rsidR="00000000" w:rsidRPr="00000000">
              <w:rPr>
                <w:rFonts w:ascii="Open Sans" w:cs="Open Sans" w:eastAsia="Open Sans" w:hAnsi="Open Sans"/>
                <w:color w:val="000000"/>
                <w:sz w:val="22"/>
                <w:szCs w:val="22"/>
                <w:rtl w:val="0"/>
              </w:rPr>
              <w:t xml:space="preserve">1,7%</w:t>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40C">
            <w:pPr>
              <w:jc w:val="center"/>
              <w:rPr>
                <w:rFonts w:ascii="Open Sans" w:cs="Open Sans" w:eastAsia="Open Sans" w:hAnsi="Open Sans"/>
                <w:b w:val="1"/>
                <w:color w:val="9c0006"/>
                <w:sz w:val="22"/>
                <w:szCs w:val="22"/>
              </w:rPr>
            </w:pPr>
            <w:r w:rsidDel="00000000" w:rsidR="00000000" w:rsidRPr="00000000">
              <w:rPr>
                <w:rFonts w:ascii="Open Sans" w:cs="Open Sans" w:eastAsia="Open Sans" w:hAnsi="Open Sans"/>
                <w:color w:val="000000"/>
                <w:sz w:val="22"/>
                <w:szCs w:val="22"/>
                <w:rtl w:val="0"/>
              </w:rPr>
              <w:t xml:space="preserve">5,5%</w:t>
            </w:r>
            <w:r w:rsidDel="00000000" w:rsidR="00000000" w:rsidRPr="00000000">
              <w:rPr>
                <w:rtl w:val="0"/>
              </w:rPr>
            </w:r>
          </w:p>
        </w:tc>
      </w:tr>
      <w:tr>
        <w:trPr>
          <w:cantSplit w:val="0"/>
          <w:trHeight w:val="175" w:hRule="atLeast"/>
          <w:tblHeader w:val="0"/>
        </w:trPr>
        <w:tc>
          <w:tcPr>
            <w:tcBorders>
              <w:top w:color="ffffff" w:space="0" w:sz="4" w:val="single"/>
              <w:right w:color="ffffff" w:space="0" w:sz="4" w:val="single"/>
            </w:tcBorders>
            <w:vAlign w:val="bottom"/>
          </w:tcPr>
          <w:p w:rsidR="00000000" w:rsidDel="00000000" w:rsidP="00000000" w:rsidRDefault="00000000" w:rsidRPr="00000000" w14:paraId="0000040D">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Ciutat Vella</w:t>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40E">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23,19 € </w:t>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40F">
            <w:pPr>
              <w:jc w:val="center"/>
              <w:rPr>
                <w:rFonts w:ascii="Open Sans" w:cs="Open Sans" w:eastAsia="Open Sans" w:hAnsi="Open Sans"/>
                <w:color w:val="9c0006"/>
                <w:sz w:val="22"/>
                <w:szCs w:val="22"/>
              </w:rPr>
            </w:pPr>
            <w:r w:rsidDel="00000000" w:rsidR="00000000" w:rsidRPr="00000000">
              <w:rPr>
                <w:rFonts w:ascii="Open Sans" w:cs="Open Sans" w:eastAsia="Open Sans" w:hAnsi="Open Sans"/>
                <w:color w:val="000000"/>
                <w:sz w:val="22"/>
                <w:szCs w:val="22"/>
                <w:rtl w:val="0"/>
              </w:rPr>
              <w:t xml:space="preserve">0,4%</w:t>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410">
            <w:pPr>
              <w:jc w:val="center"/>
              <w:rPr>
                <w:rFonts w:ascii="Open Sans" w:cs="Open Sans" w:eastAsia="Open Sans" w:hAnsi="Open Sans"/>
                <w:b w:val="1"/>
                <w:color w:val="9c0006"/>
                <w:sz w:val="22"/>
                <w:szCs w:val="22"/>
              </w:rPr>
            </w:pPr>
            <w:r w:rsidDel="00000000" w:rsidR="00000000" w:rsidRPr="00000000">
              <w:rPr>
                <w:rFonts w:ascii="Open Sans" w:cs="Open Sans" w:eastAsia="Open Sans" w:hAnsi="Open Sans"/>
                <w:color w:val="000000"/>
                <w:sz w:val="22"/>
                <w:szCs w:val="22"/>
                <w:rtl w:val="0"/>
              </w:rPr>
              <w:t xml:space="preserve">2,8%</w:t>
            </w:r>
            <w:r w:rsidDel="00000000" w:rsidR="00000000" w:rsidRPr="00000000">
              <w:rPr>
                <w:rtl w:val="0"/>
              </w:rPr>
            </w:r>
          </w:p>
        </w:tc>
      </w:tr>
    </w:tbl>
    <w:p w:rsidR="00000000" w:rsidDel="00000000" w:rsidP="00000000" w:rsidRDefault="00000000" w:rsidRPr="00000000" w14:paraId="00000411">
      <w:pPr>
        <w:spacing w:line="276" w:lineRule="auto"/>
        <w:ind w:right="-567"/>
        <w:jc w:val="right"/>
        <w:rPr>
          <w:rFonts w:ascii="Open Sans Light" w:cs="Open Sans Light" w:eastAsia="Open Sans Light" w:hAnsi="Open Sans Light"/>
          <w:b w:val="1"/>
          <w:color w:val="303ab2"/>
        </w:rPr>
      </w:pPr>
      <w:r w:rsidDel="00000000" w:rsidR="00000000" w:rsidRPr="00000000">
        <w:rPr>
          <w:rtl w:val="0"/>
        </w:rPr>
      </w:r>
    </w:p>
    <w:p w:rsidR="00000000" w:rsidDel="00000000" w:rsidP="00000000" w:rsidRDefault="00000000" w:rsidRPr="00000000" w14:paraId="00000412">
      <w:pPr>
        <w:spacing w:line="276" w:lineRule="auto"/>
        <w:ind w:right="-567"/>
        <w:jc w:val="right"/>
        <w:rPr>
          <w:rFonts w:ascii="Open Sans Light" w:cs="Open Sans Light" w:eastAsia="Open Sans Light" w:hAnsi="Open Sans Light"/>
          <w:b w:val="1"/>
          <w:color w:val="303ab2"/>
        </w:rPr>
      </w:pPr>
      <w:r w:rsidDel="00000000" w:rsidR="00000000" w:rsidRPr="00000000">
        <w:rPr>
          <w:rtl w:val="0"/>
        </w:rPr>
      </w:r>
    </w:p>
    <w:p w:rsidR="00000000" w:rsidDel="00000000" w:rsidP="00000000" w:rsidRDefault="00000000" w:rsidRPr="00000000" w14:paraId="00000413">
      <w:pPr>
        <w:spacing w:line="276" w:lineRule="auto"/>
        <w:ind w:right="-567"/>
        <w:jc w:val="right"/>
        <w:rPr>
          <w:rFonts w:ascii="Open Sans Light" w:cs="Open Sans Light" w:eastAsia="Open Sans Light" w:hAnsi="Open Sans Light"/>
          <w:b w:val="1"/>
          <w:color w:val="303ab2"/>
        </w:rPr>
      </w:pPr>
      <w:r w:rsidDel="00000000" w:rsidR="00000000" w:rsidRPr="00000000">
        <w:rPr>
          <w:rFonts w:ascii="Open Sans Light" w:cs="Open Sans Light" w:eastAsia="Open Sans Light" w:hAnsi="Open Sans Light"/>
          <w:b w:val="1"/>
          <w:color w:val="303ab2"/>
          <w:rtl w:val="0"/>
        </w:rPr>
        <w:t xml:space="preserve">Sobre Fotocasa</w:t>
      </w:r>
    </w:p>
    <w:p w:rsidR="00000000" w:rsidDel="00000000" w:rsidP="00000000" w:rsidRDefault="00000000" w:rsidRPr="00000000" w14:paraId="00000414">
      <w:pPr>
        <w:shd w:fill="ffffff" w:val="clear"/>
        <w:spacing w:after="280" w:before="280" w:line="276" w:lineRule="auto"/>
        <w:ind w:right="-567"/>
        <w:jc w:val="both"/>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Portal inmobiliario que cuenta con inmuebles de segunda mano, promociones de obra nueva y viviendas de alquiler. Cada mes genera un tráfico de 34 millones de visitas (75% a través de dispositivos móviles). Mensualmente elabora el </w:t>
      </w:r>
      <w:hyperlink r:id="rId13">
        <w:r w:rsidDel="00000000" w:rsidR="00000000" w:rsidRPr="00000000">
          <w:rPr>
            <w:rFonts w:ascii="Open Sans" w:cs="Open Sans" w:eastAsia="Open Sans" w:hAnsi="Open Sans"/>
            <w:color w:val="0000ff"/>
            <w:sz w:val="22"/>
            <w:szCs w:val="22"/>
            <w:u w:val="single"/>
            <w:rtl w:val="0"/>
          </w:rPr>
          <w:t xml:space="preserve">índice inmobiliario Fotocasa</w:t>
        </w:r>
      </w:hyperlink>
      <w:r w:rsidDel="00000000" w:rsidR="00000000" w:rsidRPr="00000000">
        <w:rPr>
          <w:rFonts w:ascii="Open Sans" w:cs="Open Sans" w:eastAsia="Open Sans" w:hAnsi="Open Sans"/>
          <w:sz w:val="22"/>
          <w:szCs w:val="22"/>
          <w:rtl w:val="0"/>
        </w:rPr>
        <w:t xml:space="preserve">, un informe de referencia sobre la evolución del precio medio de la vivienda en España, tanto en venta como en alquiler. </w:t>
      </w:r>
    </w:p>
    <w:p w:rsidR="00000000" w:rsidDel="00000000" w:rsidP="00000000" w:rsidRDefault="00000000" w:rsidRPr="00000000" w14:paraId="00000415">
      <w:pPr>
        <w:shd w:fill="ffffff" w:val="clear"/>
        <w:spacing w:after="280" w:before="280" w:line="276" w:lineRule="auto"/>
        <w:ind w:right="-567"/>
        <w:jc w:val="both"/>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Toda nuestra información la puedes encontrar en nuestra </w:t>
      </w:r>
      <w:hyperlink r:id="rId14">
        <w:r w:rsidDel="00000000" w:rsidR="00000000" w:rsidRPr="00000000">
          <w:rPr>
            <w:rFonts w:ascii="Open Sans" w:cs="Open Sans" w:eastAsia="Open Sans" w:hAnsi="Open Sans"/>
            <w:color w:val="0000ff"/>
            <w:sz w:val="22"/>
            <w:szCs w:val="22"/>
            <w:u w:val="single"/>
            <w:rtl w:val="0"/>
          </w:rPr>
          <w:t xml:space="preserve">Sala de Prensa</w:t>
        </w:r>
      </w:hyperlink>
      <w:r w:rsidDel="00000000" w:rsidR="00000000" w:rsidRPr="00000000">
        <w:rPr>
          <w:rFonts w:ascii="Open Sans" w:cs="Open Sans" w:eastAsia="Open Sans" w:hAnsi="Open Sans"/>
          <w:sz w:val="22"/>
          <w:szCs w:val="22"/>
          <w:rtl w:val="0"/>
        </w:rPr>
        <w:t xml:space="preserve">. </w:t>
      </w:r>
    </w:p>
    <w:p w:rsidR="00000000" w:rsidDel="00000000" w:rsidP="00000000" w:rsidRDefault="00000000" w:rsidRPr="00000000" w14:paraId="00000416">
      <w:pPr>
        <w:shd w:fill="ffffff" w:val="clear"/>
        <w:spacing w:after="280" w:before="280" w:line="276" w:lineRule="auto"/>
        <w:ind w:right="-567"/>
        <w:jc w:val="both"/>
        <w:rPr>
          <w:rFonts w:ascii="Open Sans" w:cs="Open Sans" w:eastAsia="Open Sans" w:hAnsi="Open Sans"/>
          <w:sz w:val="22"/>
          <w:szCs w:val="22"/>
        </w:rPr>
      </w:pPr>
      <w:bookmarkStart w:colFirst="0" w:colLast="0" w:name="_heading=h.2s8eyo1" w:id="1"/>
      <w:bookmarkEnd w:id="1"/>
      <w:hyperlink r:id="rId15">
        <w:r w:rsidDel="00000000" w:rsidR="00000000" w:rsidRPr="00000000">
          <w:rPr>
            <w:rFonts w:ascii="Open Sans" w:cs="Open Sans" w:eastAsia="Open Sans" w:hAnsi="Open Sans"/>
            <w:color w:val="0000ff"/>
            <w:sz w:val="22"/>
            <w:szCs w:val="22"/>
            <w:u w:val="single"/>
            <w:rtl w:val="0"/>
          </w:rPr>
          <w:t xml:space="preserve">Más información sobre Fotocasa</w:t>
        </w:r>
      </w:hyperlink>
      <w:r w:rsidDel="00000000" w:rsidR="00000000" w:rsidRPr="00000000">
        <w:rPr>
          <w:rFonts w:ascii="Open Sans" w:cs="Open Sans" w:eastAsia="Open Sans" w:hAnsi="Open Sans"/>
          <w:sz w:val="22"/>
          <w:szCs w:val="22"/>
          <w:rtl w:val="0"/>
        </w:rPr>
        <w:t xml:space="preserve">. </w:t>
      </w:r>
    </w:p>
    <w:p w:rsidR="00000000" w:rsidDel="00000000" w:rsidP="00000000" w:rsidRDefault="00000000" w:rsidRPr="00000000" w14:paraId="00000417">
      <w:pPr>
        <w:spacing w:line="276" w:lineRule="auto"/>
        <w:ind w:right="-567"/>
        <w:jc w:val="right"/>
        <w:rPr>
          <w:rFonts w:ascii="Open Sans Light" w:cs="Open Sans Light" w:eastAsia="Open Sans Light" w:hAnsi="Open Sans Light"/>
          <w:b w:val="1"/>
          <w:color w:val="303ab2"/>
        </w:rPr>
      </w:pPr>
      <w:r w:rsidDel="00000000" w:rsidR="00000000" w:rsidRPr="00000000">
        <w:rPr>
          <w:rFonts w:ascii="Open Sans Light" w:cs="Open Sans Light" w:eastAsia="Open Sans Light" w:hAnsi="Open Sans Light"/>
          <w:b w:val="1"/>
          <w:color w:val="303ab2"/>
          <w:rtl w:val="0"/>
        </w:rPr>
        <w:t xml:space="preserve">Sobre Adevinta</w:t>
      </w:r>
    </w:p>
    <w:p w:rsidR="00000000" w:rsidDel="00000000" w:rsidP="00000000" w:rsidRDefault="00000000" w:rsidRPr="00000000" w14:paraId="00000418">
      <w:pPr>
        <w:spacing w:after="200" w:before="143" w:lineRule="auto"/>
        <w:ind w:right="-567"/>
        <w:jc w:val="both"/>
        <w:rPr>
          <w:rFonts w:ascii="Open Sans" w:cs="Open Sans" w:eastAsia="Open Sans" w:hAnsi="Open Sans"/>
        </w:rPr>
      </w:pPr>
      <w:r w:rsidDel="00000000" w:rsidR="00000000" w:rsidRPr="00000000">
        <w:rPr>
          <w:rFonts w:ascii="Open Sans" w:cs="Open Sans" w:eastAsia="Open Sans" w:hAnsi="Open Sans"/>
          <w:sz w:val="22"/>
          <w:szCs w:val="22"/>
          <w:rtl w:val="0"/>
        </w:rPr>
        <w:t xml:space="preserve">Adevinta es un grupo de empresas líder en marketplaces digitales y una de las principales empresas del sector tecnológico del país, con más de 18 millones de usuarios únicos al mes en sus plataformas de los sectores inmobiliario (</w:t>
      </w:r>
      <w:hyperlink r:id="rId16">
        <w:r w:rsidDel="00000000" w:rsidR="00000000" w:rsidRPr="00000000">
          <w:rPr>
            <w:rFonts w:ascii="Open Sans" w:cs="Open Sans" w:eastAsia="Open Sans" w:hAnsi="Open Sans"/>
            <w:color w:val="1155cc"/>
            <w:sz w:val="22"/>
            <w:szCs w:val="22"/>
            <w:u w:val="single"/>
            <w:rtl w:val="0"/>
          </w:rPr>
          <w:t xml:space="preserve">Fotocasa</w:t>
        </w:r>
      </w:hyperlink>
      <w:r w:rsidDel="00000000" w:rsidR="00000000" w:rsidRPr="00000000">
        <w:rPr>
          <w:rFonts w:ascii="Open Sans" w:cs="Open Sans" w:eastAsia="Open Sans" w:hAnsi="Open Sans"/>
          <w:color w:val="231f20"/>
          <w:sz w:val="22"/>
          <w:szCs w:val="22"/>
          <w:rtl w:val="0"/>
        </w:rPr>
        <w:t xml:space="preserve"> </w:t>
      </w:r>
      <w:r w:rsidDel="00000000" w:rsidR="00000000" w:rsidRPr="00000000">
        <w:rPr>
          <w:rFonts w:ascii="Open Sans" w:cs="Open Sans" w:eastAsia="Open Sans" w:hAnsi="Open Sans"/>
          <w:sz w:val="22"/>
          <w:szCs w:val="22"/>
          <w:rtl w:val="0"/>
        </w:rPr>
        <w:t xml:space="preserve">y</w:t>
      </w:r>
      <w:r w:rsidDel="00000000" w:rsidR="00000000" w:rsidRPr="00000000">
        <w:rPr>
          <w:rFonts w:ascii="Open Sans" w:cs="Open Sans" w:eastAsia="Open Sans" w:hAnsi="Open Sans"/>
          <w:color w:val="231f20"/>
          <w:sz w:val="22"/>
          <w:szCs w:val="22"/>
          <w:rtl w:val="0"/>
        </w:rPr>
        <w:t xml:space="preserve"> </w:t>
      </w:r>
      <w:hyperlink r:id="rId17">
        <w:r w:rsidDel="00000000" w:rsidR="00000000" w:rsidRPr="00000000">
          <w:rPr>
            <w:rFonts w:ascii="Open Sans" w:cs="Open Sans" w:eastAsia="Open Sans" w:hAnsi="Open Sans"/>
            <w:color w:val="1155cc"/>
            <w:sz w:val="22"/>
            <w:szCs w:val="22"/>
            <w:u w:val="single"/>
            <w:rtl w:val="0"/>
          </w:rPr>
          <w:t xml:space="preserve">habitaclia</w:t>
        </w:r>
      </w:hyperlink>
      <w:r w:rsidDel="00000000" w:rsidR="00000000" w:rsidRPr="00000000">
        <w:rPr>
          <w:rFonts w:ascii="Open Sans" w:cs="Open Sans" w:eastAsia="Open Sans" w:hAnsi="Open Sans"/>
          <w:sz w:val="22"/>
          <w:szCs w:val="22"/>
          <w:rtl w:val="0"/>
        </w:rPr>
        <w:t xml:space="preserve">), empleo (</w:t>
      </w:r>
      <w:hyperlink r:id="rId18">
        <w:r w:rsidDel="00000000" w:rsidR="00000000" w:rsidRPr="00000000">
          <w:rPr>
            <w:rFonts w:ascii="Open Sans" w:cs="Open Sans" w:eastAsia="Open Sans" w:hAnsi="Open Sans"/>
            <w:color w:val="1155cc"/>
            <w:sz w:val="22"/>
            <w:szCs w:val="22"/>
            <w:u w:val="single"/>
            <w:rtl w:val="0"/>
          </w:rPr>
          <w:t xml:space="preserve">InfoJobs</w:t>
        </w:r>
      </w:hyperlink>
      <w:r w:rsidDel="00000000" w:rsidR="00000000" w:rsidRPr="00000000">
        <w:rPr>
          <w:rFonts w:ascii="Open Sans" w:cs="Open Sans" w:eastAsia="Open Sans" w:hAnsi="Open Sans"/>
          <w:sz w:val="22"/>
          <w:szCs w:val="22"/>
          <w:rtl w:val="0"/>
        </w:rPr>
        <w:t xml:space="preserve">), motor (</w:t>
      </w:r>
      <w:hyperlink r:id="rId19">
        <w:r w:rsidDel="00000000" w:rsidR="00000000" w:rsidRPr="00000000">
          <w:rPr>
            <w:rFonts w:ascii="Open Sans" w:cs="Open Sans" w:eastAsia="Open Sans" w:hAnsi="Open Sans"/>
            <w:color w:val="1155cc"/>
            <w:sz w:val="22"/>
            <w:szCs w:val="22"/>
            <w:u w:val="single"/>
            <w:rtl w:val="0"/>
          </w:rPr>
          <w:t xml:space="preserve">coches.net</w:t>
        </w:r>
      </w:hyperlink>
      <w:r w:rsidDel="00000000" w:rsidR="00000000" w:rsidRPr="00000000">
        <w:rPr>
          <w:rFonts w:ascii="Open Sans" w:cs="Open Sans" w:eastAsia="Open Sans" w:hAnsi="Open Sans"/>
          <w:color w:val="231f20"/>
          <w:sz w:val="22"/>
          <w:szCs w:val="22"/>
          <w:rtl w:val="0"/>
        </w:rPr>
        <w:t xml:space="preserve"> </w:t>
      </w:r>
      <w:r w:rsidDel="00000000" w:rsidR="00000000" w:rsidRPr="00000000">
        <w:rPr>
          <w:rFonts w:ascii="Open Sans" w:cs="Open Sans" w:eastAsia="Open Sans" w:hAnsi="Open Sans"/>
          <w:sz w:val="22"/>
          <w:szCs w:val="22"/>
          <w:rtl w:val="0"/>
        </w:rPr>
        <w:t xml:space="preserve">y</w:t>
      </w:r>
      <w:r w:rsidDel="00000000" w:rsidR="00000000" w:rsidRPr="00000000">
        <w:rPr>
          <w:rFonts w:ascii="Open Sans" w:cs="Open Sans" w:eastAsia="Open Sans" w:hAnsi="Open Sans"/>
          <w:color w:val="231f20"/>
          <w:sz w:val="22"/>
          <w:szCs w:val="22"/>
          <w:rtl w:val="0"/>
        </w:rPr>
        <w:t xml:space="preserve"> </w:t>
      </w:r>
      <w:hyperlink r:id="rId20">
        <w:r w:rsidDel="00000000" w:rsidR="00000000" w:rsidRPr="00000000">
          <w:rPr>
            <w:rFonts w:ascii="Open Sans" w:cs="Open Sans" w:eastAsia="Open Sans" w:hAnsi="Open Sans"/>
            <w:color w:val="1155cc"/>
            <w:sz w:val="22"/>
            <w:szCs w:val="22"/>
            <w:u w:val="single"/>
            <w:rtl w:val="0"/>
          </w:rPr>
          <w:t xml:space="preserve">motos.net</w:t>
        </w:r>
      </w:hyperlink>
      <w:r w:rsidDel="00000000" w:rsidR="00000000" w:rsidRPr="00000000">
        <w:rPr>
          <w:rFonts w:ascii="Open Sans" w:cs="Open Sans" w:eastAsia="Open Sans" w:hAnsi="Open Sans"/>
          <w:sz w:val="22"/>
          <w:szCs w:val="22"/>
          <w:rtl w:val="0"/>
        </w:rPr>
        <w:t xml:space="preserve">) y compraventa de artículos de segunda mano (</w:t>
      </w:r>
      <w:hyperlink r:id="rId21">
        <w:r w:rsidDel="00000000" w:rsidR="00000000" w:rsidRPr="00000000">
          <w:rPr>
            <w:rFonts w:ascii="Open Sans" w:cs="Open Sans" w:eastAsia="Open Sans" w:hAnsi="Open Sans"/>
            <w:color w:val="1155cc"/>
            <w:sz w:val="22"/>
            <w:szCs w:val="22"/>
            <w:u w:val="single"/>
            <w:rtl w:val="0"/>
          </w:rPr>
          <w:t xml:space="preserve">Milanuncios</w:t>
        </w:r>
      </w:hyperlink>
      <w:r w:rsidDel="00000000" w:rsidR="00000000" w:rsidRPr="00000000">
        <w:rPr>
          <w:rFonts w:ascii="Open Sans" w:cs="Open Sans" w:eastAsia="Open Sans" w:hAnsi="Open Sans"/>
          <w:sz w:val="22"/>
          <w:szCs w:val="22"/>
          <w:rtl w:val="0"/>
        </w:rPr>
        <w:t xml:space="preserve">).</w:t>
      </w:r>
      <w:r w:rsidDel="00000000" w:rsidR="00000000" w:rsidRPr="00000000">
        <w:rPr>
          <w:rtl w:val="0"/>
        </w:rPr>
      </w:r>
    </w:p>
    <w:p w:rsidR="00000000" w:rsidDel="00000000" w:rsidP="00000000" w:rsidRDefault="00000000" w:rsidRPr="00000000" w14:paraId="00000419">
      <w:pPr>
        <w:spacing w:after="200" w:before="143" w:lineRule="auto"/>
        <w:ind w:right="-567"/>
        <w:jc w:val="both"/>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Los negocios de Adevinta han evolucionado del papel al online a lo largo de más de 40 años de trayectoria en España, convirtiéndose en referentes de Internet. Con sede en Barcelona, la compañía cuenta con una plantilla de más de 1.000 personas comprometidas con fomentar un cambio positivo en el mundo a través de tecnología innovadora, otorgando una nueva oportunidad a quienes la están buscando y dando a las cosas una segunda vida.</w:t>
      </w:r>
    </w:p>
    <w:p w:rsidR="00000000" w:rsidDel="00000000" w:rsidP="00000000" w:rsidRDefault="00000000" w:rsidRPr="00000000" w14:paraId="0000041A">
      <w:pPr>
        <w:spacing w:after="200" w:before="143" w:lineRule="auto"/>
        <w:ind w:right="-567"/>
        <w:jc w:val="both"/>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Adevinta tiene presencia mundial en 10 países. El conjunto de sus plataformas locales recibe un promedio de 2.500 millones de visitas cada mes. </w:t>
      </w:r>
    </w:p>
    <w:p w:rsidR="00000000" w:rsidDel="00000000" w:rsidP="00000000" w:rsidRDefault="00000000" w:rsidRPr="00000000" w14:paraId="0000041B">
      <w:pPr>
        <w:spacing w:after="200" w:before="143" w:lineRule="auto"/>
        <w:ind w:right="-567"/>
        <w:jc w:val="both"/>
        <w:rPr>
          <w:rFonts w:ascii="Open Sans" w:cs="Open Sans" w:eastAsia="Open Sans" w:hAnsi="Open Sans"/>
        </w:rPr>
      </w:pPr>
      <w:r w:rsidDel="00000000" w:rsidR="00000000" w:rsidRPr="00000000">
        <w:rPr>
          <w:rFonts w:ascii="Open Sans" w:cs="Open Sans" w:eastAsia="Open Sans" w:hAnsi="Open Sans"/>
          <w:sz w:val="22"/>
          <w:szCs w:val="22"/>
          <w:rtl w:val="0"/>
        </w:rPr>
        <w:t xml:space="preserve">Más información en </w:t>
      </w:r>
      <w:hyperlink r:id="rId22">
        <w:r w:rsidDel="00000000" w:rsidR="00000000" w:rsidRPr="00000000">
          <w:rPr>
            <w:rFonts w:ascii="Open Sans" w:cs="Open Sans" w:eastAsia="Open Sans" w:hAnsi="Open Sans"/>
            <w:color w:val="1155cc"/>
            <w:sz w:val="22"/>
            <w:szCs w:val="22"/>
            <w:u w:val="single"/>
            <w:rtl w:val="0"/>
          </w:rPr>
          <w:t xml:space="preserve">adevinta.es</w:t>
        </w:r>
      </w:hyperlink>
      <w:r w:rsidDel="00000000" w:rsidR="00000000" w:rsidRPr="00000000">
        <w:rPr>
          <w:rtl w:val="0"/>
        </w:rPr>
      </w:r>
    </w:p>
    <w:p w:rsidR="00000000" w:rsidDel="00000000" w:rsidP="00000000" w:rsidRDefault="00000000" w:rsidRPr="00000000" w14:paraId="0000041C">
      <w:pPr>
        <w:spacing w:line="276" w:lineRule="auto"/>
        <w:ind w:right="-567"/>
        <w:jc w:val="right"/>
        <w:rPr>
          <w:rFonts w:ascii="Open Sans" w:cs="Open Sans" w:eastAsia="Open Sans" w:hAnsi="Open Sans"/>
        </w:rPr>
      </w:pPr>
      <w:r w:rsidDel="00000000" w:rsidR="00000000" w:rsidRPr="00000000">
        <w:rPr>
          <w:rtl w:val="0"/>
        </w:rPr>
      </w:r>
    </w:p>
    <w:p w:rsidR="00000000" w:rsidDel="00000000" w:rsidP="00000000" w:rsidRDefault="00000000" w:rsidRPr="00000000" w14:paraId="0000041D">
      <w:pPr>
        <w:spacing w:line="276" w:lineRule="auto"/>
        <w:ind w:right="-567"/>
        <w:rPr>
          <w:rFonts w:ascii="Open Sans Light" w:cs="Open Sans Light" w:eastAsia="Open Sans Light" w:hAnsi="Open Sans Light"/>
          <w:b w:val="1"/>
          <w:color w:val="303ab2"/>
          <w:sz w:val="22"/>
          <w:szCs w:val="22"/>
        </w:rPr>
      </w:pPr>
      <w:r w:rsidDel="00000000" w:rsidR="00000000" w:rsidRPr="00000000">
        <w:rPr>
          <w:rFonts w:ascii="Open Sans Light" w:cs="Open Sans Light" w:eastAsia="Open Sans Light" w:hAnsi="Open Sans Light"/>
          <w:b w:val="1"/>
          <w:color w:val="303ab2"/>
          <w:sz w:val="22"/>
          <w:szCs w:val="22"/>
          <w:rtl w:val="0"/>
        </w:rPr>
        <w:t xml:space="preserve">Departamento Comunicación Fotocasa</w:t>
      </w:r>
    </w:p>
    <w:p w:rsidR="00000000" w:rsidDel="00000000" w:rsidP="00000000" w:rsidRDefault="00000000" w:rsidRPr="00000000" w14:paraId="0000041E">
      <w:pPr>
        <w:shd w:fill="ffffff" w:val="clear"/>
        <w:spacing w:line="276" w:lineRule="auto"/>
        <w:ind w:right="-567"/>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Anaïs López</w:t>
      </w:r>
    </w:p>
    <w:p w:rsidR="00000000" w:rsidDel="00000000" w:rsidP="00000000" w:rsidRDefault="00000000" w:rsidRPr="00000000" w14:paraId="0000041F">
      <w:pPr>
        <w:shd w:fill="ffffff" w:val="clear"/>
        <w:spacing w:line="276" w:lineRule="auto"/>
        <w:ind w:right="-567"/>
        <w:rPr>
          <w:rFonts w:ascii="Open Sans" w:cs="Open Sans" w:eastAsia="Open Sans" w:hAnsi="Open Sans"/>
          <w:color w:val="0000ff"/>
          <w:sz w:val="22"/>
          <w:szCs w:val="22"/>
          <w:u w:val="single"/>
        </w:rPr>
      </w:pPr>
      <w:hyperlink r:id="rId23">
        <w:r w:rsidDel="00000000" w:rsidR="00000000" w:rsidRPr="00000000">
          <w:rPr>
            <w:rFonts w:ascii="Open Sans" w:cs="Open Sans" w:eastAsia="Open Sans" w:hAnsi="Open Sans"/>
            <w:color w:val="0000ff"/>
            <w:sz w:val="22"/>
            <w:szCs w:val="22"/>
            <w:u w:val="single"/>
            <w:rtl w:val="0"/>
          </w:rPr>
          <w:t xml:space="preserve">comunicacion@fotocasa.es</w:t>
        </w:r>
      </w:hyperlink>
      <w:r w:rsidDel="00000000" w:rsidR="00000000" w:rsidRPr="00000000">
        <w:rPr>
          <w:rtl w:val="0"/>
        </w:rPr>
      </w:r>
    </w:p>
    <w:p w:rsidR="00000000" w:rsidDel="00000000" w:rsidP="00000000" w:rsidRDefault="00000000" w:rsidRPr="00000000" w14:paraId="00000420">
      <w:pPr>
        <w:shd w:fill="ffffff" w:val="clear"/>
        <w:spacing w:line="276" w:lineRule="auto"/>
        <w:ind w:right="-567"/>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620 66 29 26</w:t>
      </w:r>
    </w:p>
    <w:p w:rsidR="00000000" w:rsidDel="00000000" w:rsidP="00000000" w:rsidRDefault="00000000" w:rsidRPr="00000000" w14:paraId="00000421">
      <w:pPr>
        <w:spacing w:line="276" w:lineRule="auto"/>
        <w:ind w:right="-567"/>
        <w:jc w:val="right"/>
        <w:rPr>
          <w:rFonts w:ascii="Open Sans" w:cs="Open Sans" w:eastAsia="Open Sans" w:hAnsi="Open Sans"/>
          <w:color w:val="000000"/>
          <w:sz w:val="21"/>
          <w:szCs w:val="21"/>
        </w:rPr>
      </w:pPr>
      <w:r w:rsidDel="00000000" w:rsidR="00000000" w:rsidRPr="00000000">
        <w:rPr>
          <w:rtl w:val="0"/>
        </w:rPr>
      </w:r>
    </w:p>
    <w:sectPr>
      <w:footerReference r:id="rId24" w:type="default"/>
      <w:pgSz w:h="16840" w:w="11900" w:orient="portrait"/>
      <w:pgMar w:bottom="1417" w:top="1417" w:left="1701" w:right="169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ational"/>
  <w:font w:name="Noto Sans Symbols">
    <w:embedRegular w:fontKey="{00000000-0000-0000-0000-000000000000}" r:id="rId1" w:subsetted="0"/>
    <w:embedBold w:fontKey="{00000000-0000-0000-0000-000000000000}" r:id="rId2" w:subsetted="0"/>
  </w:font>
  <w:font w:name="Open Sans Light">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22">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-1068068</wp:posOffset>
          </wp:positionH>
          <wp:positionV relativeFrom="paragraph">
            <wp:posOffset>174608</wp:posOffset>
          </wp:positionV>
          <wp:extent cx="7670550" cy="451315"/>
          <wp:effectExtent b="0" l="0" r="0" t="0"/>
          <wp:wrapNone/>
          <wp:docPr id="92835522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670550" cy="451315"/>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color w:val="303ab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s-ES_trad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4E5D09"/>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NormalWeb">
    <w:name w:val="Normal (Web)"/>
    <w:basedOn w:val="Normal"/>
    <w:uiPriority w:val="99"/>
    <w:unhideWhenUsed w:val="1"/>
    <w:rsid w:val="00A84CA7"/>
    <w:pPr>
      <w:spacing w:after="100" w:afterAutospacing="1" w:before="100" w:beforeAutospacing="1"/>
    </w:pPr>
    <w:rPr>
      <w:rFonts w:ascii="Times New Roman" w:cs="Times New Roman" w:eastAsia="Times New Roman" w:hAnsi="Times New Roman"/>
      <w:lang w:eastAsia="es-ES_tradnl" w:val="es-ES"/>
    </w:rPr>
  </w:style>
  <w:style w:type="paragraph" w:styleId="Encabezado">
    <w:name w:val="header"/>
    <w:basedOn w:val="Normal"/>
    <w:link w:val="EncabezadoCar"/>
    <w:uiPriority w:val="99"/>
    <w:unhideWhenUsed w:val="1"/>
    <w:rsid w:val="00DD4CA4"/>
    <w:pPr>
      <w:tabs>
        <w:tab w:val="center" w:pos="4252"/>
        <w:tab w:val="right" w:pos="8504"/>
      </w:tabs>
    </w:pPr>
  </w:style>
  <w:style w:type="character" w:styleId="EncabezadoCar" w:customStyle="1">
    <w:name w:val="Encabezado Car"/>
    <w:basedOn w:val="Fuentedeprrafopredeter"/>
    <w:link w:val="Encabezado"/>
    <w:uiPriority w:val="99"/>
    <w:rsid w:val="00DD4CA4"/>
  </w:style>
  <w:style w:type="paragraph" w:styleId="Piedepgina">
    <w:name w:val="footer"/>
    <w:basedOn w:val="Normal"/>
    <w:link w:val="PiedepginaCar"/>
    <w:uiPriority w:val="99"/>
    <w:unhideWhenUsed w:val="1"/>
    <w:rsid w:val="00DD4CA4"/>
    <w:pPr>
      <w:tabs>
        <w:tab w:val="center" w:pos="4252"/>
        <w:tab w:val="right" w:pos="8504"/>
      </w:tabs>
    </w:pPr>
  </w:style>
  <w:style w:type="character" w:styleId="PiedepginaCar" w:customStyle="1">
    <w:name w:val="Pie de página Car"/>
    <w:basedOn w:val="Fuentedeprrafopredeter"/>
    <w:link w:val="Piedepgina"/>
    <w:uiPriority w:val="99"/>
    <w:rsid w:val="00DD4CA4"/>
  </w:style>
  <w:style w:type="character" w:styleId="Hipervnculo">
    <w:name w:val="Hyperlink"/>
    <w:basedOn w:val="Fuentedeprrafopredeter"/>
    <w:uiPriority w:val="99"/>
    <w:unhideWhenUsed w:val="1"/>
    <w:rsid w:val="00DC7AC3"/>
    <w:rPr>
      <w:color w:val="0000ff"/>
      <w:u w:val="single"/>
    </w:rPr>
  </w:style>
  <w:style w:type="paragraph" w:styleId="Prrafodelista">
    <w:name w:val="List Paragraph"/>
    <w:basedOn w:val="Normal"/>
    <w:uiPriority w:val="34"/>
    <w:qFormat w:val="1"/>
    <w:rsid w:val="005029E9"/>
    <w:pPr>
      <w:ind w:left="720"/>
      <w:contextualSpacing w:val="1"/>
    </w:pPr>
  </w:style>
  <w:style w:type="table" w:styleId="Tabladecuadrcula5oscura-nfasis11" w:customStyle="1">
    <w:name w:val="Tabla de cuadrícula 5 oscura - Énfasis 11"/>
    <w:basedOn w:val="Tablanormal"/>
    <w:uiPriority w:val="50"/>
    <w:rsid w:val="00753088"/>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d9e2f3" w:themeFill="accent1"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4472c4" w:themeFill="accent1"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4472c4" w:themeFill="accent1"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4472c4" w:themeFill="accent1"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4472c4" w:themeFill="accent1" w:val="clear"/>
      </w:tcPr>
    </w:tblStylePr>
    <w:tblStylePr w:type="band1Vert">
      <w:tblPr/>
      <w:tcPr>
        <w:shd w:color="auto" w:fill="b4c6e7" w:themeFill="accent1" w:themeFillTint="000066" w:val="clear"/>
      </w:tcPr>
    </w:tblStylePr>
    <w:tblStylePr w:type="band1Horz">
      <w:tblPr/>
      <w:tcPr>
        <w:shd w:color="auto" w:fill="b4c6e7" w:themeFill="accent1" w:themeFillTint="000066" w:val="clear"/>
      </w:tcPr>
    </w:tblStylePr>
  </w:style>
  <w:style w:type="character" w:styleId="Hipervnculovisitado">
    <w:name w:val="FollowedHyperlink"/>
    <w:basedOn w:val="Fuentedeprrafopredeter"/>
    <w:uiPriority w:val="99"/>
    <w:semiHidden w:val="1"/>
    <w:unhideWhenUsed w:val="1"/>
    <w:rsid w:val="00C06719"/>
    <w:rPr>
      <w:color w:val="954f72" w:themeColor="followedHyperlink"/>
      <w:u w:val="single"/>
    </w:rPr>
  </w:style>
  <w:style w:type="character" w:styleId="m6445620330082090912gmail-msohyperlink" w:customStyle="1">
    <w:name w:val="m_6445620330082090912gmail-msohyperlink"/>
    <w:basedOn w:val="Fuentedeprrafopredeter"/>
    <w:rsid w:val="003E5965"/>
  </w:style>
  <w:style w:type="character" w:styleId="Refdecomentario">
    <w:name w:val="annotation reference"/>
    <w:basedOn w:val="Fuentedeprrafopredeter"/>
    <w:uiPriority w:val="99"/>
    <w:semiHidden w:val="1"/>
    <w:unhideWhenUsed w:val="1"/>
    <w:rsid w:val="00724D15"/>
    <w:rPr>
      <w:sz w:val="16"/>
      <w:szCs w:val="16"/>
    </w:rPr>
  </w:style>
  <w:style w:type="paragraph" w:styleId="Textocomentario">
    <w:name w:val="annotation text"/>
    <w:basedOn w:val="Normal"/>
    <w:link w:val="TextocomentarioCar"/>
    <w:uiPriority w:val="99"/>
    <w:semiHidden w:val="1"/>
    <w:unhideWhenUsed w:val="1"/>
    <w:rsid w:val="00724D15"/>
    <w:rPr>
      <w:sz w:val="20"/>
      <w:szCs w:val="20"/>
    </w:rPr>
  </w:style>
  <w:style w:type="character" w:styleId="TextocomentarioCar" w:customStyle="1">
    <w:name w:val="Texto comentario Car"/>
    <w:basedOn w:val="Fuentedeprrafopredeter"/>
    <w:link w:val="Textocomentario"/>
    <w:uiPriority w:val="99"/>
    <w:semiHidden w:val="1"/>
    <w:rsid w:val="00724D15"/>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724D15"/>
    <w:rPr>
      <w:b w:val="1"/>
      <w:bCs w:val="1"/>
    </w:rPr>
  </w:style>
  <w:style w:type="character" w:styleId="AsuntodelcomentarioCar" w:customStyle="1">
    <w:name w:val="Asunto del comentario Car"/>
    <w:basedOn w:val="TextocomentarioCar"/>
    <w:link w:val="Asuntodelcomentario"/>
    <w:uiPriority w:val="99"/>
    <w:semiHidden w:val="1"/>
    <w:rsid w:val="00724D15"/>
    <w:rPr>
      <w:b w:val="1"/>
      <w:bCs w:val="1"/>
      <w:sz w:val="20"/>
      <w:szCs w:val="20"/>
    </w:rPr>
  </w:style>
  <w:style w:type="character" w:styleId="Mencinsinresolver">
    <w:name w:val="Unresolved Mention"/>
    <w:basedOn w:val="Fuentedeprrafopredeter"/>
    <w:uiPriority w:val="99"/>
    <w:semiHidden w:val="1"/>
    <w:unhideWhenUsed w:val="1"/>
    <w:rsid w:val="003D3C57"/>
    <w:rPr>
      <w:color w:val="605e5c"/>
      <w:shd w:color="auto" w:fill="e1dfdd" w:val="clear"/>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0.0" w:type="dxa"/>
        <w:left w:w="115.0" w:type="dxa"/>
        <w:bottom w:w="0.0" w:type="dxa"/>
        <w:right w:w="115.0" w:type="dxa"/>
      </w:tblCellMar>
    </w:tblPr>
    <w:tcPr>
      <w:shd w:color="auto" w:fill="d9e2f3" w:val="clear"/>
    </w:tcPr>
    <w:tblStylePr w:type="firstRow">
      <w:rPr>
        <w:b w:val="1"/>
        <w:color w:val="ffffff"/>
      </w:rPr>
      <w:tblPr/>
      <w:tcPr>
        <w:tcBorders>
          <w:top w:color="ffffff" w:space="0" w:sz="4" w:val="single"/>
          <w:left w:color="ffffff" w:space="0" w:sz="4" w:val="single"/>
          <w:right w:color="ffffff" w:space="0" w:sz="4" w:val="single"/>
          <w:insideH w:space="0" w:sz="0" w:val="nil"/>
          <w:insideV w:space="0" w:sz="0" w:val="nil"/>
        </w:tcBorders>
        <w:shd w:color="auto" w:fill="4472c4" w:val="clear"/>
      </w:tcPr>
    </w:tblStylePr>
    <w:tblStylePr w:type="lastRow">
      <w:rPr>
        <w:b w:val="1"/>
        <w:color w:val="ffffff"/>
      </w:rPr>
      <w:tblPr/>
      <w:tcPr>
        <w:tcBorders>
          <w:left w:color="ffffff" w:space="0" w:sz="4" w:val="single"/>
          <w:bottom w:color="ffffff" w:space="0" w:sz="4" w:val="single"/>
          <w:right w:color="ffffff" w:space="0" w:sz="4" w:val="single"/>
          <w:insideH w:space="0" w:sz="0" w:val="nil"/>
          <w:insideV w:space="0" w:sz="0" w:val="nil"/>
        </w:tcBorders>
        <w:shd w:color="auto" w:fill="4472c4" w:val="clear"/>
      </w:tcPr>
    </w:tblStylePr>
    <w:tblStylePr w:type="firstCol">
      <w:rPr>
        <w:b w:val="1"/>
        <w:color w:val="ffffff"/>
      </w:rPr>
      <w:tblPr/>
      <w:tcPr>
        <w:tcBorders>
          <w:top w:color="ffffff" w:space="0" w:sz="4" w:val="single"/>
          <w:left w:color="ffffff" w:space="0" w:sz="4" w:val="single"/>
          <w:bottom w:color="ffffff" w:space="0" w:sz="4" w:val="single"/>
          <w:insideV w:space="0" w:sz="0" w:val="nil"/>
        </w:tcBorders>
        <w:shd w:color="auto" w:fill="4472c4" w:val="clear"/>
      </w:tcPr>
    </w:tblStylePr>
    <w:tblStylePr w:type="lastCol">
      <w:rPr>
        <w:b w:val="1"/>
        <w:color w:val="ffffff"/>
      </w:rPr>
      <w:tblPr/>
      <w:tcPr>
        <w:tcBorders>
          <w:top w:color="ffffff" w:space="0" w:sz="4" w:val="single"/>
          <w:bottom w:color="ffffff" w:space="0" w:sz="4" w:val="single"/>
          <w:right w:color="ffffff" w:space="0" w:sz="4" w:val="single"/>
          <w:insideV w:space="0" w:sz="0" w:val="nil"/>
        </w:tcBorders>
        <w:shd w:color="auto" w:fill="4472c4" w:val="clear"/>
      </w:tcPr>
    </w:tblStylePr>
    <w:tblStylePr w:type="band1Vert">
      <w:tblPr/>
      <w:tcPr>
        <w:shd w:color="auto" w:fill="b4c6e7" w:val="clear"/>
      </w:tcPr>
    </w:tblStylePr>
    <w:tblStylePr w:type="band1Horz">
      <w:tblPr/>
      <w:tcPr>
        <w:shd w:color="auto" w:fill="b4c6e7" w:val="clear"/>
      </w:tcPr>
    </w:tblStylePr>
  </w:style>
  <w:style w:type="table" w:styleId="a0" w:customStyle="1">
    <w:basedOn w:val="TableNormal"/>
    <w:tblPr>
      <w:tblStyleRowBandSize w:val="1"/>
      <w:tblStyleColBandSize w:val="1"/>
      <w:tblCellMar>
        <w:top w:w="0.0" w:type="dxa"/>
        <w:left w:w="115.0" w:type="dxa"/>
        <w:bottom w:w="0.0" w:type="dxa"/>
        <w:right w:w="115.0" w:type="dxa"/>
      </w:tblCellMar>
    </w:tblPr>
    <w:tcPr>
      <w:shd w:color="auto" w:fill="d9e2f3" w:val="clear"/>
    </w:tcPr>
    <w:tblStylePr w:type="firstRow">
      <w:rPr>
        <w:b w:val="1"/>
        <w:color w:val="ffffff"/>
      </w:rPr>
      <w:tblPr/>
      <w:tcPr>
        <w:tcBorders>
          <w:top w:color="ffffff" w:space="0" w:sz="4" w:val="single"/>
          <w:left w:color="ffffff" w:space="0" w:sz="4" w:val="single"/>
          <w:right w:color="ffffff" w:space="0" w:sz="4" w:val="single"/>
          <w:insideH w:space="0" w:sz="0" w:val="nil"/>
          <w:insideV w:space="0" w:sz="0" w:val="nil"/>
        </w:tcBorders>
        <w:shd w:color="auto" w:fill="4472c4" w:val="clear"/>
      </w:tcPr>
    </w:tblStylePr>
    <w:tblStylePr w:type="lastRow">
      <w:rPr>
        <w:b w:val="1"/>
        <w:color w:val="ffffff"/>
      </w:rPr>
      <w:tblPr/>
      <w:tcPr>
        <w:tcBorders>
          <w:left w:color="ffffff" w:space="0" w:sz="4" w:val="single"/>
          <w:bottom w:color="ffffff" w:space="0" w:sz="4" w:val="single"/>
          <w:right w:color="ffffff" w:space="0" w:sz="4" w:val="single"/>
          <w:insideH w:space="0" w:sz="0" w:val="nil"/>
          <w:insideV w:space="0" w:sz="0" w:val="nil"/>
        </w:tcBorders>
        <w:shd w:color="auto" w:fill="4472c4" w:val="clear"/>
      </w:tcPr>
    </w:tblStylePr>
    <w:tblStylePr w:type="firstCol">
      <w:rPr>
        <w:b w:val="1"/>
        <w:color w:val="ffffff"/>
      </w:rPr>
      <w:tblPr/>
      <w:tcPr>
        <w:tcBorders>
          <w:top w:color="ffffff" w:space="0" w:sz="4" w:val="single"/>
          <w:left w:color="ffffff" w:space="0" w:sz="4" w:val="single"/>
          <w:bottom w:color="ffffff" w:space="0" w:sz="4" w:val="single"/>
          <w:insideV w:space="0" w:sz="0" w:val="nil"/>
        </w:tcBorders>
        <w:shd w:color="auto" w:fill="4472c4" w:val="clear"/>
      </w:tcPr>
    </w:tblStylePr>
    <w:tblStylePr w:type="lastCol">
      <w:rPr>
        <w:b w:val="1"/>
        <w:color w:val="ffffff"/>
      </w:rPr>
      <w:tblPr/>
      <w:tcPr>
        <w:tcBorders>
          <w:top w:color="ffffff" w:space="0" w:sz="4" w:val="single"/>
          <w:bottom w:color="ffffff" w:space="0" w:sz="4" w:val="single"/>
          <w:right w:color="ffffff" w:space="0" w:sz="4" w:val="single"/>
          <w:insideV w:space="0" w:sz="0" w:val="nil"/>
        </w:tcBorders>
        <w:shd w:color="auto" w:fill="4472c4" w:val="clear"/>
      </w:tcPr>
    </w:tblStylePr>
    <w:tblStylePr w:type="band1Vert">
      <w:tblPr/>
      <w:tcPr>
        <w:shd w:color="auto" w:fill="b4c6e7" w:val="clear"/>
      </w:tcPr>
    </w:tblStylePr>
    <w:tblStylePr w:type="band1Horz">
      <w:tblPr/>
      <w:tcPr>
        <w:shd w:color="auto" w:fill="b4c6e7" w:val="clear"/>
      </w:tcPr>
    </w:tblStylePr>
  </w:style>
  <w:style w:type="table" w:styleId="a1" w:customStyle="1">
    <w:basedOn w:val="TableNormal"/>
    <w:tblPr>
      <w:tblStyleRowBandSize w:val="1"/>
      <w:tblStyleColBandSize w:val="1"/>
      <w:tblCellMar>
        <w:top w:w="0.0" w:type="dxa"/>
        <w:left w:w="115.0" w:type="dxa"/>
        <w:bottom w:w="0.0" w:type="dxa"/>
        <w:right w:w="115.0" w:type="dxa"/>
      </w:tblCellMar>
    </w:tblPr>
    <w:tcPr>
      <w:shd w:color="auto" w:fill="d9e2f3" w:val="clear"/>
    </w:tcPr>
    <w:tblStylePr w:type="firstRow">
      <w:rPr>
        <w:b w:val="1"/>
        <w:color w:val="ffffff"/>
      </w:rPr>
      <w:tblPr/>
      <w:tcPr>
        <w:tcBorders>
          <w:top w:color="ffffff" w:space="0" w:sz="4" w:val="single"/>
          <w:left w:color="ffffff" w:space="0" w:sz="4" w:val="single"/>
          <w:right w:color="ffffff" w:space="0" w:sz="4" w:val="single"/>
          <w:insideH w:space="0" w:sz="0" w:val="nil"/>
          <w:insideV w:space="0" w:sz="0" w:val="nil"/>
        </w:tcBorders>
        <w:shd w:color="auto" w:fill="4472c4" w:val="clear"/>
      </w:tcPr>
    </w:tblStylePr>
    <w:tblStylePr w:type="lastRow">
      <w:rPr>
        <w:b w:val="1"/>
        <w:color w:val="ffffff"/>
      </w:rPr>
      <w:tblPr/>
      <w:tcPr>
        <w:tcBorders>
          <w:left w:color="ffffff" w:space="0" w:sz="4" w:val="single"/>
          <w:bottom w:color="ffffff" w:space="0" w:sz="4" w:val="single"/>
          <w:right w:color="ffffff" w:space="0" w:sz="4" w:val="single"/>
          <w:insideH w:space="0" w:sz="0" w:val="nil"/>
          <w:insideV w:space="0" w:sz="0" w:val="nil"/>
        </w:tcBorders>
        <w:shd w:color="auto" w:fill="4472c4" w:val="clear"/>
      </w:tcPr>
    </w:tblStylePr>
    <w:tblStylePr w:type="firstCol">
      <w:rPr>
        <w:b w:val="1"/>
        <w:color w:val="ffffff"/>
      </w:rPr>
      <w:tblPr/>
      <w:tcPr>
        <w:tcBorders>
          <w:top w:color="ffffff" w:space="0" w:sz="4" w:val="single"/>
          <w:left w:color="ffffff" w:space="0" w:sz="4" w:val="single"/>
          <w:bottom w:color="ffffff" w:space="0" w:sz="4" w:val="single"/>
          <w:insideV w:space="0" w:sz="0" w:val="nil"/>
        </w:tcBorders>
        <w:shd w:color="auto" w:fill="4472c4" w:val="clear"/>
      </w:tcPr>
    </w:tblStylePr>
    <w:tblStylePr w:type="lastCol">
      <w:rPr>
        <w:b w:val="1"/>
        <w:color w:val="ffffff"/>
      </w:rPr>
      <w:tblPr/>
      <w:tcPr>
        <w:tcBorders>
          <w:top w:color="ffffff" w:space="0" w:sz="4" w:val="single"/>
          <w:bottom w:color="ffffff" w:space="0" w:sz="4" w:val="single"/>
          <w:right w:color="ffffff" w:space="0" w:sz="4" w:val="single"/>
          <w:insideV w:space="0" w:sz="0" w:val="nil"/>
        </w:tcBorders>
        <w:shd w:color="auto" w:fill="4472c4" w:val="clear"/>
      </w:tcPr>
    </w:tblStylePr>
    <w:tblStylePr w:type="band1Vert">
      <w:tblPr/>
      <w:tcPr>
        <w:shd w:color="auto" w:fill="b4c6e7" w:val="clear"/>
      </w:tcPr>
    </w:tblStylePr>
    <w:tblStylePr w:type="band1Horz">
      <w:tblPr/>
      <w:tcPr>
        <w:shd w:color="auto" w:fill="b4c6e7" w:val="clear"/>
      </w:tcPr>
    </w:tblStylePr>
  </w:style>
  <w:style w:type="table" w:styleId="a2" w:customStyle="1">
    <w:basedOn w:val="TableNormal"/>
    <w:tblPr>
      <w:tblStyleRowBandSize w:val="1"/>
      <w:tblStyleColBandSize w:val="1"/>
      <w:tblCellMar>
        <w:top w:w="0.0" w:type="dxa"/>
        <w:left w:w="115.0" w:type="dxa"/>
        <w:bottom w:w="0.0" w:type="dxa"/>
        <w:right w:w="115.0" w:type="dxa"/>
      </w:tblCellMar>
    </w:tblPr>
    <w:tcPr>
      <w:shd w:color="auto" w:fill="d9e2f3" w:val="clear"/>
    </w:tcPr>
    <w:tblStylePr w:type="firstRow">
      <w:rPr>
        <w:b w:val="1"/>
        <w:color w:val="ffffff"/>
      </w:rPr>
      <w:tblPr/>
      <w:tcPr>
        <w:tcBorders>
          <w:top w:color="ffffff" w:space="0" w:sz="4" w:val="single"/>
          <w:left w:color="ffffff" w:space="0" w:sz="4" w:val="single"/>
          <w:right w:color="ffffff" w:space="0" w:sz="4" w:val="single"/>
          <w:insideH w:space="0" w:sz="0" w:val="nil"/>
          <w:insideV w:space="0" w:sz="0" w:val="nil"/>
        </w:tcBorders>
        <w:shd w:color="auto" w:fill="4472c4" w:val="clear"/>
      </w:tcPr>
    </w:tblStylePr>
    <w:tblStylePr w:type="lastRow">
      <w:rPr>
        <w:b w:val="1"/>
        <w:color w:val="ffffff"/>
      </w:rPr>
      <w:tblPr/>
      <w:tcPr>
        <w:tcBorders>
          <w:left w:color="ffffff" w:space="0" w:sz="4" w:val="single"/>
          <w:bottom w:color="ffffff" w:space="0" w:sz="4" w:val="single"/>
          <w:right w:color="ffffff" w:space="0" w:sz="4" w:val="single"/>
          <w:insideH w:space="0" w:sz="0" w:val="nil"/>
          <w:insideV w:space="0" w:sz="0" w:val="nil"/>
        </w:tcBorders>
        <w:shd w:color="auto" w:fill="4472c4" w:val="clear"/>
      </w:tcPr>
    </w:tblStylePr>
    <w:tblStylePr w:type="firstCol">
      <w:rPr>
        <w:b w:val="1"/>
        <w:color w:val="ffffff"/>
      </w:rPr>
      <w:tblPr/>
      <w:tcPr>
        <w:tcBorders>
          <w:top w:color="ffffff" w:space="0" w:sz="4" w:val="single"/>
          <w:left w:color="ffffff" w:space="0" w:sz="4" w:val="single"/>
          <w:bottom w:color="ffffff" w:space="0" w:sz="4" w:val="single"/>
          <w:insideV w:space="0" w:sz="0" w:val="nil"/>
        </w:tcBorders>
        <w:shd w:color="auto" w:fill="4472c4" w:val="clear"/>
      </w:tcPr>
    </w:tblStylePr>
    <w:tblStylePr w:type="lastCol">
      <w:rPr>
        <w:b w:val="1"/>
        <w:color w:val="ffffff"/>
      </w:rPr>
      <w:tblPr/>
      <w:tcPr>
        <w:tcBorders>
          <w:top w:color="ffffff" w:space="0" w:sz="4" w:val="single"/>
          <w:bottom w:color="ffffff" w:space="0" w:sz="4" w:val="single"/>
          <w:right w:color="ffffff" w:space="0" w:sz="4" w:val="single"/>
          <w:insideV w:space="0" w:sz="0" w:val="nil"/>
        </w:tcBorders>
        <w:shd w:color="auto" w:fill="4472c4" w:val="clear"/>
      </w:tcPr>
    </w:tblStylePr>
    <w:tblStylePr w:type="band1Vert">
      <w:tblPr/>
      <w:tcPr>
        <w:shd w:color="auto" w:fill="b4c6e7" w:val="clear"/>
      </w:tcPr>
    </w:tblStylePr>
    <w:tblStylePr w:type="band1Horz">
      <w:tblPr/>
      <w:tcPr>
        <w:shd w:color="auto" w:fill="b4c6e7" w:val="clear"/>
      </w:tcPr>
    </w:tblStylePr>
  </w:style>
  <w:style w:type="table" w:styleId="a3" w:customStyle="1">
    <w:basedOn w:val="TableNormal"/>
    <w:tblPr>
      <w:tblStyleRowBandSize w:val="1"/>
      <w:tblStyleColBandSize w:val="1"/>
      <w:tblCellMar>
        <w:top w:w="0.0" w:type="dxa"/>
        <w:left w:w="115.0" w:type="dxa"/>
        <w:bottom w:w="0.0" w:type="dxa"/>
        <w:right w:w="115.0" w:type="dxa"/>
      </w:tblCellMar>
    </w:tblPr>
    <w:tcPr>
      <w:shd w:color="auto" w:fill="d9e2f3" w:val="clear"/>
    </w:tcPr>
    <w:tblStylePr w:type="firstRow">
      <w:rPr>
        <w:b w:val="1"/>
        <w:color w:val="ffffff"/>
      </w:rPr>
      <w:tblPr/>
      <w:tcPr>
        <w:tcBorders>
          <w:top w:color="ffffff" w:space="0" w:sz="4" w:val="single"/>
          <w:left w:color="ffffff" w:space="0" w:sz="4" w:val="single"/>
          <w:right w:color="ffffff" w:space="0" w:sz="4" w:val="single"/>
          <w:insideH w:space="0" w:sz="0" w:val="nil"/>
          <w:insideV w:space="0" w:sz="0" w:val="nil"/>
        </w:tcBorders>
        <w:shd w:color="auto" w:fill="4472c4" w:val="clear"/>
      </w:tcPr>
    </w:tblStylePr>
    <w:tblStylePr w:type="lastRow">
      <w:rPr>
        <w:b w:val="1"/>
        <w:color w:val="ffffff"/>
      </w:rPr>
      <w:tblPr/>
      <w:tcPr>
        <w:tcBorders>
          <w:left w:color="ffffff" w:space="0" w:sz="4" w:val="single"/>
          <w:bottom w:color="ffffff" w:space="0" w:sz="4" w:val="single"/>
          <w:right w:color="ffffff" w:space="0" w:sz="4" w:val="single"/>
          <w:insideH w:space="0" w:sz="0" w:val="nil"/>
          <w:insideV w:space="0" w:sz="0" w:val="nil"/>
        </w:tcBorders>
        <w:shd w:color="auto" w:fill="4472c4" w:val="clear"/>
      </w:tcPr>
    </w:tblStylePr>
    <w:tblStylePr w:type="firstCol">
      <w:rPr>
        <w:b w:val="1"/>
        <w:color w:val="ffffff"/>
      </w:rPr>
      <w:tblPr/>
      <w:tcPr>
        <w:tcBorders>
          <w:top w:color="ffffff" w:space="0" w:sz="4" w:val="single"/>
          <w:left w:color="ffffff" w:space="0" w:sz="4" w:val="single"/>
          <w:bottom w:color="ffffff" w:space="0" w:sz="4" w:val="single"/>
          <w:insideV w:space="0" w:sz="0" w:val="nil"/>
        </w:tcBorders>
        <w:shd w:color="auto" w:fill="4472c4" w:val="clear"/>
      </w:tcPr>
    </w:tblStylePr>
    <w:tblStylePr w:type="lastCol">
      <w:rPr>
        <w:b w:val="1"/>
        <w:color w:val="ffffff"/>
      </w:rPr>
      <w:tblPr/>
      <w:tcPr>
        <w:tcBorders>
          <w:top w:color="ffffff" w:space="0" w:sz="4" w:val="single"/>
          <w:bottom w:color="ffffff" w:space="0" w:sz="4" w:val="single"/>
          <w:right w:color="ffffff" w:space="0" w:sz="4" w:val="single"/>
          <w:insideV w:space="0" w:sz="0" w:val="nil"/>
        </w:tcBorders>
        <w:shd w:color="auto" w:fill="4472c4" w:val="clear"/>
      </w:tcPr>
    </w:tblStylePr>
    <w:tblStylePr w:type="band1Vert">
      <w:tblPr/>
      <w:tcPr>
        <w:shd w:color="auto" w:fill="b4c6e7" w:val="clear"/>
      </w:tcPr>
    </w:tblStylePr>
    <w:tblStylePr w:type="band1Horz">
      <w:tblPr/>
      <w:tcPr>
        <w:shd w:color="auto" w:fill="b4c6e7" w:val="clear"/>
      </w:tcPr>
    </w:tblStylePr>
  </w:style>
  <w:style w:type="table" w:styleId="a4" w:customStyle="1">
    <w:basedOn w:val="TableNormal"/>
    <w:tblPr>
      <w:tblStyleRowBandSize w:val="1"/>
      <w:tblStyleColBandSize w:val="1"/>
      <w:tblCellMar>
        <w:top w:w="0.0" w:type="dxa"/>
        <w:left w:w="115.0" w:type="dxa"/>
        <w:bottom w:w="0.0" w:type="dxa"/>
        <w:right w:w="115.0" w:type="dxa"/>
      </w:tblCellMar>
    </w:tblPr>
    <w:tcPr>
      <w:shd w:color="auto" w:fill="d9e2f3" w:val="clear"/>
    </w:tcPr>
    <w:tblStylePr w:type="firstRow">
      <w:rPr>
        <w:b w:val="1"/>
        <w:color w:val="ffffff"/>
      </w:rPr>
      <w:tblPr/>
      <w:tcPr>
        <w:tcBorders>
          <w:top w:color="ffffff" w:space="0" w:sz="4" w:val="single"/>
          <w:left w:color="ffffff" w:space="0" w:sz="4" w:val="single"/>
          <w:right w:color="ffffff" w:space="0" w:sz="4" w:val="single"/>
          <w:insideH w:space="0" w:sz="0" w:val="nil"/>
          <w:insideV w:space="0" w:sz="0" w:val="nil"/>
        </w:tcBorders>
        <w:shd w:color="auto" w:fill="4472c4" w:val="clear"/>
      </w:tcPr>
    </w:tblStylePr>
    <w:tblStylePr w:type="lastRow">
      <w:rPr>
        <w:b w:val="1"/>
        <w:color w:val="ffffff"/>
      </w:rPr>
      <w:tblPr/>
      <w:tcPr>
        <w:tcBorders>
          <w:left w:color="ffffff" w:space="0" w:sz="4" w:val="single"/>
          <w:bottom w:color="ffffff" w:space="0" w:sz="4" w:val="single"/>
          <w:right w:color="ffffff" w:space="0" w:sz="4" w:val="single"/>
          <w:insideH w:space="0" w:sz="0" w:val="nil"/>
          <w:insideV w:space="0" w:sz="0" w:val="nil"/>
        </w:tcBorders>
        <w:shd w:color="auto" w:fill="4472c4" w:val="clear"/>
      </w:tcPr>
    </w:tblStylePr>
    <w:tblStylePr w:type="firstCol">
      <w:rPr>
        <w:b w:val="1"/>
        <w:color w:val="ffffff"/>
      </w:rPr>
      <w:tblPr/>
      <w:tcPr>
        <w:tcBorders>
          <w:top w:color="ffffff" w:space="0" w:sz="4" w:val="single"/>
          <w:left w:color="ffffff" w:space="0" w:sz="4" w:val="single"/>
          <w:bottom w:color="ffffff" w:space="0" w:sz="4" w:val="single"/>
          <w:insideV w:space="0" w:sz="0" w:val="nil"/>
        </w:tcBorders>
        <w:shd w:color="auto" w:fill="4472c4" w:val="clear"/>
      </w:tcPr>
    </w:tblStylePr>
    <w:tblStylePr w:type="lastCol">
      <w:rPr>
        <w:b w:val="1"/>
        <w:color w:val="ffffff"/>
      </w:rPr>
      <w:tblPr/>
      <w:tcPr>
        <w:tcBorders>
          <w:top w:color="ffffff" w:space="0" w:sz="4" w:val="single"/>
          <w:bottom w:color="ffffff" w:space="0" w:sz="4" w:val="single"/>
          <w:right w:color="ffffff" w:space="0" w:sz="4" w:val="single"/>
          <w:insideV w:space="0" w:sz="0" w:val="nil"/>
        </w:tcBorders>
        <w:shd w:color="auto" w:fill="4472c4" w:val="clear"/>
      </w:tcPr>
    </w:tblStylePr>
    <w:tblStylePr w:type="band1Vert">
      <w:tblPr/>
      <w:tcPr>
        <w:shd w:color="auto" w:fill="b4c6e7" w:val="clear"/>
      </w:tcPr>
    </w:tblStylePr>
    <w:tblStylePr w:type="band1Horz">
      <w:tblPr/>
      <w:tcPr>
        <w:shd w:color="auto" w:fill="b4c6e7" w:val="clear"/>
      </w:tcPr>
    </w:tblStylePr>
  </w:style>
  <w:style w:type="table" w:styleId="a5" w:customStyle="1">
    <w:basedOn w:val="TableNormal"/>
    <w:tblPr>
      <w:tblStyleRowBandSize w:val="1"/>
      <w:tblStyleColBandSize w:val="1"/>
      <w:tblCellMar>
        <w:top w:w="0.0" w:type="dxa"/>
        <w:left w:w="115.0" w:type="dxa"/>
        <w:bottom w:w="0.0" w:type="dxa"/>
        <w:right w:w="115.0" w:type="dxa"/>
      </w:tblCellMar>
    </w:tblPr>
    <w:tcPr>
      <w:shd w:color="auto" w:fill="d9e2f3" w:val="clear"/>
    </w:tcPr>
    <w:tblStylePr w:type="firstRow">
      <w:rPr>
        <w:b w:val="1"/>
        <w:color w:val="ffffff"/>
      </w:rPr>
      <w:tblPr/>
      <w:tcPr>
        <w:tcBorders>
          <w:top w:color="ffffff" w:space="0" w:sz="4" w:val="single"/>
          <w:left w:color="ffffff" w:space="0" w:sz="4" w:val="single"/>
          <w:right w:color="ffffff" w:space="0" w:sz="4" w:val="single"/>
          <w:insideH w:space="0" w:sz="0" w:val="nil"/>
          <w:insideV w:space="0" w:sz="0" w:val="nil"/>
        </w:tcBorders>
        <w:shd w:color="auto" w:fill="4472c4" w:val="clear"/>
      </w:tcPr>
    </w:tblStylePr>
    <w:tblStylePr w:type="lastRow">
      <w:rPr>
        <w:b w:val="1"/>
        <w:color w:val="ffffff"/>
      </w:rPr>
      <w:tblPr/>
      <w:tcPr>
        <w:tcBorders>
          <w:left w:color="ffffff" w:space="0" w:sz="4" w:val="single"/>
          <w:bottom w:color="ffffff" w:space="0" w:sz="4" w:val="single"/>
          <w:right w:color="ffffff" w:space="0" w:sz="4" w:val="single"/>
          <w:insideH w:space="0" w:sz="0" w:val="nil"/>
          <w:insideV w:space="0" w:sz="0" w:val="nil"/>
        </w:tcBorders>
        <w:shd w:color="auto" w:fill="4472c4" w:val="clear"/>
      </w:tcPr>
    </w:tblStylePr>
    <w:tblStylePr w:type="firstCol">
      <w:rPr>
        <w:b w:val="1"/>
        <w:color w:val="ffffff"/>
      </w:rPr>
      <w:tblPr/>
      <w:tcPr>
        <w:tcBorders>
          <w:top w:color="ffffff" w:space="0" w:sz="4" w:val="single"/>
          <w:left w:color="ffffff" w:space="0" w:sz="4" w:val="single"/>
          <w:bottom w:color="ffffff" w:space="0" w:sz="4" w:val="single"/>
          <w:insideV w:space="0" w:sz="0" w:val="nil"/>
        </w:tcBorders>
        <w:shd w:color="auto" w:fill="4472c4" w:val="clear"/>
      </w:tcPr>
    </w:tblStylePr>
    <w:tblStylePr w:type="lastCol">
      <w:rPr>
        <w:b w:val="1"/>
        <w:color w:val="ffffff"/>
      </w:rPr>
      <w:tblPr/>
      <w:tcPr>
        <w:tcBorders>
          <w:top w:color="ffffff" w:space="0" w:sz="4" w:val="single"/>
          <w:bottom w:color="ffffff" w:space="0" w:sz="4" w:val="single"/>
          <w:right w:color="ffffff" w:space="0" w:sz="4" w:val="single"/>
          <w:insideV w:space="0" w:sz="0" w:val="nil"/>
        </w:tcBorders>
        <w:shd w:color="auto" w:fill="4472c4" w:val="clear"/>
      </w:tcPr>
    </w:tblStylePr>
    <w:tblStylePr w:type="band1Vert">
      <w:tblPr/>
      <w:tcPr>
        <w:shd w:color="auto" w:fill="b4c6e7" w:val="clear"/>
      </w:tcPr>
    </w:tblStylePr>
    <w:tblStylePr w:type="band1Horz">
      <w:tblPr/>
      <w:tcPr>
        <w:shd w:color="auto" w:fill="b4c6e7" w:val="clear"/>
      </w:tcPr>
    </w:tblStylePr>
  </w:style>
  <w:style w:type="table" w:styleId="a6" w:customStyle="1">
    <w:basedOn w:val="TableNormal"/>
    <w:tblPr>
      <w:tblStyleRowBandSize w:val="1"/>
      <w:tblStyleColBandSize w:val="1"/>
      <w:tblCellMar>
        <w:top w:w="0.0" w:type="dxa"/>
        <w:left w:w="115.0" w:type="dxa"/>
        <w:bottom w:w="0.0" w:type="dxa"/>
        <w:right w:w="115.0" w:type="dxa"/>
      </w:tblCellMar>
    </w:tblPr>
    <w:tcPr>
      <w:shd w:color="auto" w:fill="d9e2f3" w:val="clear"/>
    </w:tcPr>
    <w:tblStylePr w:type="firstRow">
      <w:rPr>
        <w:b w:val="1"/>
        <w:color w:val="ffffff"/>
      </w:rPr>
      <w:tblPr/>
      <w:tcPr>
        <w:tcBorders>
          <w:top w:color="ffffff" w:space="0" w:sz="4" w:val="single"/>
          <w:left w:color="ffffff" w:space="0" w:sz="4" w:val="single"/>
          <w:right w:color="ffffff" w:space="0" w:sz="4" w:val="single"/>
          <w:insideH w:space="0" w:sz="0" w:val="nil"/>
          <w:insideV w:space="0" w:sz="0" w:val="nil"/>
        </w:tcBorders>
        <w:shd w:color="auto" w:fill="4472c4" w:val="clear"/>
      </w:tcPr>
    </w:tblStylePr>
    <w:tblStylePr w:type="lastRow">
      <w:rPr>
        <w:b w:val="1"/>
        <w:color w:val="ffffff"/>
      </w:rPr>
      <w:tblPr/>
      <w:tcPr>
        <w:tcBorders>
          <w:left w:color="ffffff" w:space="0" w:sz="4" w:val="single"/>
          <w:bottom w:color="ffffff" w:space="0" w:sz="4" w:val="single"/>
          <w:right w:color="ffffff" w:space="0" w:sz="4" w:val="single"/>
          <w:insideH w:space="0" w:sz="0" w:val="nil"/>
          <w:insideV w:space="0" w:sz="0" w:val="nil"/>
        </w:tcBorders>
        <w:shd w:color="auto" w:fill="4472c4" w:val="clear"/>
      </w:tcPr>
    </w:tblStylePr>
    <w:tblStylePr w:type="firstCol">
      <w:rPr>
        <w:b w:val="1"/>
        <w:color w:val="ffffff"/>
      </w:rPr>
      <w:tblPr/>
      <w:tcPr>
        <w:tcBorders>
          <w:top w:color="ffffff" w:space="0" w:sz="4" w:val="single"/>
          <w:left w:color="ffffff" w:space="0" w:sz="4" w:val="single"/>
          <w:bottom w:color="ffffff" w:space="0" w:sz="4" w:val="single"/>
          <w:insideV w:space="0" w:sz="0" w:val="nil"/>
        </w:tcBorders>
        <w:shd w:color="auto" w:fill="4472c4" w:val="clear"/>
      </w:tcPr>
    </w:tblStylePr>
    <w:tblStylePr w:type="lastCol">
      <w:rPr>
        <w:b w:val="1"/>
        <w:color w:val="ffffff"/>
      </w:rPr>
      <w:tblPr/>
      <w:tcPr>
        <w:tcBorders>
          <w:top w:color="ffffff" w:space="0" w:sz="4" w:val="single"/>
          <w:bottom w:color="ffffff" w:space="0" w:sz="4" w:val="single"/>
          <w:right w:color="ffffff" w:space="0" w:sz="4" w:val="single"/>
          <w:insideV w:space="0" w:sz="0" w:val="nil"/>
        </w:tcBorders>
        <w:shd w:color="auto" w:fill="4472c4" w:val="clear"/>
      </w:tcPr>
    </w:tblStylePr>
    <w:tblStylePr w:type="band1Vert">
      <w:tblPr/>
      <w:tcPr>
        <w:shd w:color="auto" w:fill="b4c6e7" w:val="clear"/>
      </w:tcPr>
    </w:tblStylePr>
    <w:tblStylePr w:type="band1Horz">
      <w:tblPr/>
      <w:tcPr>
        <w:shd w:color="auto" w:fill="b4c6e7" w:val="clear"/>
      </w:tcPr>
    </w:tblStylePr>
  </w:style>
  <w:style w:type="table" w:styleId="a7" w:customStyle="1">
    <w:basedOn w:val="TableNormal"/>
    <w:tblPr>
      <w:tblStyleRowBandSize w:val="1"/>
      <w:tblStyleColBandSize w:val="1"/>
      <w:tblCellMar>
        <w:top w:w="0.0" w:type="dxa"/>
        <w:left w:w="115.0" w:type="dxa"/>
        <w:bottom w:w="0.0" w:type="dxa"/>
        <w:right w:w="115.0" w:type="dxa"/>
      </w:tblCellMar>
    </w:tblPr>
    <w:tcPr>
      <w:shd w:color="auto" w:fill="d9e2f3" w:val="clear"/>
    </w:tcPr>
    <w:tblStylePr w:type="firstRow">
      <w:rPr>
        <w:b w:val="1"/>
        <w:color w:val="ffffff"/>
      </w:rPr>
      <w:tblPr/>
      <w:tcPr>
        <w:tcBorders>
          <w:top w:color="ffffff" w:space="0" w:sz="4" w:val="single"/>
          <w:left w:color="ffffff" w:space="0" w:sz="4" w:val="single"/>
          <w:right w:color="ffffff" w:space="0" w:sz="4" w:val="single"/>
          <w:insideH w:space="0" w:sz="0" w:val="nil"/>
          <w:insideV w:space="0" w:sz="0" w:val="nil"/>
        </w:tcBorders>
        <w:shd w:color="auto" w:fill="4472c4" w:val="clear"/>
      </w:tcPr>
    </w:tblStylePr>
    <w:tblStylePr w:type="lastRow">
      <w:rPr>
        <w:b w:val="1"/>
        <w:color w:val="ffffff"/>
      </w:rPr>
      <w:tblPr/>
      <w:tcPr>
        <w:tcBorders>
          <w:left w:color="ffffff" w:space="0" w:sz="4" w:val="single"/>
          <w:bottom w:color="ffffff" w:space="0" w:sz="4" w:val="single"/>
          <w:right w:color="ffffff" w:space="0" w:sz="4" w:val="single"/>
          <w:insideH w:space="0" w:sz="0" w:val="nil"/>
          <w:insideV w:space="0" w:sz="0" w:val="nil"/>
        </w:tcBorders>
        <w:shd w:color="auto" w:fill="4472c4" w:val="clear"/>
      </w:tcPr>
    </w:tblStylePr>
    <w:tblStylePr w:type="firstCol">
      <w:rPr>
        <w:b w:val="1"/>
        <w:color w:val="ffffff"/>
      </w:rPr>
      <w:tblPr/>
      <w:tcPr>
        <w:tcBorders>
          <w:top w:color="ffffff" w:space="0" w:sz="4" w:val="single"/>
          <w:left w:color="ffffff" w:space="0" w:sz="4" w:val="single"/>
          <w:bottom w:color="ffffff" w:space="0" w:sz="4" w:val="single"/>
          <w:insideV w:space="0" w:sz="0" w:val="nil"/>
        </w:tcBorders>
        <w:shd w:color="auto" w:fill="4472c4" w:val="clear"/>
      </w:tcPr>
    </w:tblStylePr>
    <w:tblStylePr w:type="lastCol">
      <w:rPr>
        <w:b w:val="1"/>
        <w:color w:val="ffffff"/>
      </w:rPr>
      <w:tblPr/>
      <w:tcPr>
        <w:tcBorders>
          <w:top w:color="ffffff" w:space="0" w:sz="4" w:val="single"/>
          <w:bottom w:color="ffffff" w:space="0" w:sz="4" w:val="single"/>
          <w:right w:color="ffffff" w:space="0" w:sz="4" w:val="single"/>
          <w:insideV w:space="0" w:sz="0" w:val="nil"/>
        </w:tcBorders>
        <w:shd w:color="auto" w:fill="4472c4" w:val="clear"/>
      </w:tcPr>
    </w:tblStylePr>
    <w:tblStylePr w:type="band1Vert">
      <w:tblPr/>
      <w:tcPr>
        <w:shd w:color="auto" w:fill="b4c6e7" w:val="clear"/>
      </w:tcPr>
    </w:tblStylePr>
    <w:tblStylePr w:type="band1Horz">
      <w:tblPr/>
      <w:tcPr>
        <w:shd w:color="auto" w:fill="b4c6e7" w:val="clear"/>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cPr>
      <w:shd w:fill="d9e2f3" w:val="clear"/>
    </w:tcPr>
    <w:tblStylePr w:type="band1Horz">
      <w:tcPr>
        <w:shd w:fill="b4c6e7" w:val="clear"/>
      </w:tcPr>
    </w:tblStylePr>
    <w:tblStylePr w:type="band1Vert">
      <w:tcPr>
        <w:shd w:fill="b4c6e7" w:val="clear"/>
      </w:tcPr>
    </w:tblStylePr>
    <w:tblStylePr w:type="firstCol">
      <w:rPr>
        <w:b w:val="1"/>
        <w:color w:val="ffffff"/>
      </w:rPr>
      <w:tcPr>
        <w:tcBorders>
          <w:top w:color="ffffff" w:space="0" w:sz="4" w:val="single"/>
          <w:left w:color="ffffff" w:space="0" w:sz="4" w:val="single"/>
          <w:bottom w:color="ffffff" w:space="0" w:sz="4" w:val="single"/>
          <w:insideV w:color="000000" w:space="0" w:sz="0" w:val="nil"/>
        </w:tcBorders>
        <w:shd w:fill="4472c4" w:val="clear"/>
      </w:tcPr>
    </w:tblStylePr>
    <w:tblStylePr w:type="firstRow">
      <w:rPr>
        <w:b w:val="1"/>
        <w:color w:val="ffffff"/>
      </w:rPr>
      <w:tcPr>
        <w:tcBorders>
          <w:top w:color="ffffff" w:space="0" w:sz="4" w:val="single"/>
          <w:left w:color="ffffff" w:space="0" w:sz="4" w:val="single"/>
          <w:right w:color="ffffff" w:space="0" w:sz="4" w:val="single"/>
          <w:insideH w:color="000000" w:space="0" w:sz="0" w:val="nil"/>
          <w:insideV w:color="000000" w:space="0" w:sz="0" w:val="nil"/>
        </w:tcBorders>
        <w:shd w:fill="4472c4" w:val="clear"/>
      </w:tcPr>
    </w:tblStylePr>
    <w:tblStylePr w:type="lastCol">
      <w:rPr>
        <w:b w:val="1"/>
        <w:color w:val="ffffff"/>
      </w:rPr>
      <w:tcPr>
        <w:tcBorders>
          <w:top w:color="ffffff" w:space="0" w:sz="4" w:val="single"/>
          <w:bottom w:color="ffffff" w:space="0" w:sz="4" w:val="single"/>
          <w:right w:color="ffffff" w:space="0" w:sz="4" w:val="single"/>
          <w:insideV w:color="000000" w:space="0" w:sz="0" w:val="nil"/>
        </w:tcBorders>
        <w:shd w:fill="4472c4" w:val="clear"/>
      </w:tcPr>
    </w:tblStylePr>
    <w:tblStylePr w:type="lastRow">
      <w:rPr>
        <w:b w:val="1"/>
        <w:color w:val="ffffff"/>
      </w:rPr>
      <w:tcPr>
        <w:tcBorders>
          <w:left w:color="ffffff" w:space="0" w:sz="4" w:val="single"/>
          <w:bottom w:color="ffffff" w:space="0" w:sz="4" w:val="single"/>
          <w:right w:color="ffffff" w:space="0" w:sz="4" w:val="single"/>
          <w:insideH w:color="000000" w:space="0" w:sz="0" w:val="nil"/>
          <w:insideV w:color="000000" w:space="0" w:sz="0" w:val="nil"/>
        </w:tcBorders>
        <w:shd w:fill="4472c4" w:val="clear"/>
      </w:tcPr>
    </w:tblStylePr>
  </w:style>
  <w:style w:type="table" w:styleId="Table2">
    <w:basedOn w:val="TableNormal"/>
    <w:tblPr>
      <w:tblStyleRowBandSize w:val="1"/>
      <w:tblStyleColBandSize w:val="1"/>
      <w:tblCellMar>
        <w:top w:w="0.0" w:type="dxa"/>
        <w:left w:w="115.0" w:type="dxa"/>
        <w:bottom w:w="0.0" w:type="dxa"/>
        <w:right w:w="115.0" w:type="dxa"/>
      </w:tblCellMar>
    </w:tblPr>
    <w:tcPr>
      <w:shd w:fill="d9e2f3" w:val="clear"/>
    </w:tcPr>
    <w:tblStylePr w:type="band1Horz">
      <w:tcPr>
        <w:shd w:fill="b4c6e7" w:val="clear"/>
      </w:tcPr>
    </w:tblStylePr>
    <w:tblStylePr w:type="band1Vert">
      <w:tcPr>
        <w:shd w:fill="b4c6e7" w:val="clear"/>
      </w:tcPr>
    </w:tblStylePr>
    <w:tblStylePr w:type="firstCol">
      <w:rPr>
        <w:b w:val="1"/>
        <w:color w:val="ffffff"/>
      </w:rPr>
      <w:tcPr>
        <w:tcBorders>
          <w:top w:color="ffffff" w:space="0" w:sz="4" w:val="single"/>
          <w:left w:color="ffffff" w:space="0" w:sz="4" w:val="single"/>
          <w:bottom w:color="ffffff" w:space="0" w:sz="4" w:val="single"/>
          <w:insideV w:color="000000" w:space="0" w:sz="0" w:val="nil"/>
        </w:tcBorders>
        <w:shd w:fill="4472c4" w:val="clear"/>
      </w:tcPr>
    </w:tblStylePr>
    <w:tblStylePr w:type="firstRow">
      <w:rPr>
        <w:b w:val="1"/>
        <w:color w:val="ffffff"/>
      </w:rPr>
      <w:tcPr>
        <w:tcBorders>
          <w:top w:color="ffffff" w:space="0" w:sz="4" w:val="single"/>
          <w:left w:color="ffffff" w:space="0" w:sz="4" w:val="single"/>
          <w:right w:color="ffffff" w:space="0" w:sz="4" w:val="single"/>
          <w:insideH w:color="000000" w:space="0" w:sz="0" w:val="nil"/>
          <w:insideV w:color="000000" w:space="0" w:sz="0" w:val="nil"/>
        </w:tcBorders>
        <w:shd w:fill="4472c4" w:val="clear"/>
      </w:tcPr>
    </w:tblStylePr>
    <w:tblStylePr w:type="lastCol">
      <w:rPr>
        <w:b w:val="1"/>
        <w:color w:val="ffffff"/>
      </w:rPr>
      <w:tcPr>
        <w:tcBorders>
          <w:top w:color="ffffff" w:space="0" w:sz="4" w:val="single"/>
          <w:bottom w:color="ffffff" w:space="0" w:sz="4" w:val="single"/>
          <w:right w:color="ffffff" w:space="0" w:sz="4" w:val="single"/>
          <w:insideV w:color="000000" w:space="0" w:sz="0" w:val="nil"/>
        </w:tcBorders>
        <w:shd w:fill="4472c4" w:val="clear"/>
      </w:tcPr>
    </w:tblStylePr>
    <w:tblStylePr w:type="lastRow">
      <w:rPr>
        <w:b w:val="1"/>
        <w:color w:val="ffffff"/>
      </w:rPr>
      <w:tcPr>
        <w:tcBorders>
          <w:left w:color="ffffff" w:space="0" w:sz="4" w:val="single"/>
          <w:bottom w:color="ffffff" w:space="0" w:sz="4" w:val="single"/>
          <w:right w:color="ffffff" w:space="0" w:sz="4" w:val="single"/>
          <w:insideH w:color="000000" w:space="0" w:sz="0" w:val="nil"/>
          <w:insideV w:color="000000" w:space="0" w:sz="0" w:val="nil"/>
        </w:tcBorders>
        <w:shd w:fill="4472c4" w:val="clear"/>
      </w:tcPr>
    </w:tblStylePr>
  </w:style>
  <w:style w:type="table" w:styleId="Table3">
    <w:basedOn w:val="TableNormal"/>
    <w:tblPr>
      <w:tblStyleRowBandSize w:val="1"/>
      <w:tblStyleColBandSize w:val="1"/>
      <w:tblCellMar>
        <w:top w:w="0.0" w:type="dxa"/>
        <w:left w:w="115.0" w:type="dxa"/>
        <w:bottom w:w="0.0" w:type="dxa"/>
        <w:right w:w="115.0" w:type="dxa"/>
      </w:tblCellMar>
    </w:tblPr>
    <w:tcPr>
      <w:shd w:fill="d9e2f3" w:val="clear"/>
    </w:tcPr>
    <w:tblStylePr w:type="band1Horz">
      <w:tcPr>
        <w:shd w:fill="b4c6e7" w:val="clear"/>
      </w:tcPr>
    </w:tblStylePr>
    <w:tblStylePr w:type="band1Vert">
      <w:tcPr>
        <w:shd w:fill="b4c6e7" w:val="clear"/>
      </w:tcPr>
    </w:tblStylePr>
    <w:tblStylePr w:type="firstCol">
      <w:rPr>
        <w:b w:val="1"/>
        <w:color w:val="ffffff"/>
      </w:rPr>
      <w:tcPr>
        <w:tcBorders>
          <w:top w:color="ffffff" w:space="0" w:sz="4" w:val="single"/>
          <w:left w:color="ffffff" w:space="0" w:sz="4" w:val="single"/>
          <w:bottom w:color="ffffff" w:space="0" w:sz="4" w:val="single"/>
          <w:insideV w:color="000000" w:space="0" w:sz="0" w:val="nil"/>
        </w:tcBorders>
        <w:shd w:fill="4472c4" w:val="clear"/>
      </w:tcPr>
    </w:tblStylePr>
    <w:tblStylePr w:type="firstRow">
      <w:rPr>
        <w:b w:val="1"/>
        <w:color w:val="ffffff"/>
      </w:rPr>
      <w:tcPr>
        <w:tcBorders>
          <w:top w:color="ffffff" w:space="0" w:sz="4" w:val="single"/>
          <w:left w:color="ffffff" w:space="0" w:sz="4" w:val="single"/>
          <w:right w:color="ffffff" w:space="0" w:sz="4" w:val="single"/>
          <w:insideH w:color="000000" w:space="0" w:sz="0" w:val="nil"/>
          <w:insideV w:color="000000" w:space="0" w:sz="0" w:val="nil"/>
        </w:tcBorders>
        <w:shd w:fill="4472c4" w:val="clear"/>
      </w:tcPr>
    </w:tblStylePr>
    <w:tblStylePr w:type="lastCol">
      <w:rPr>
        <w:b w:val="1"/>
        <w:color w:val="ffffff"/>
      </w:rPr>
      <w:tcPr>
        <w:tcBorders>
          <w:top w:color="ffffff" w:space="0" w:sz="4" w:val="single"/>
          <w:bottom w:color="ffffff" w:space="0" w:sz="4" w:val="single"/>
          <w:right w:color="ffffff" w:space="0" w:sz="4" w:val="single"/>
          <w:insideV w:color="000000" w:space="0" w:sz="0" w:val="nil"/>
        </w:tcBorders>
        <w:shd w:fill="4472c4" w:val="clear"/>
      </w:tcPr>
    </w:tblStylePr>
    <w:tblStylePr w:type="lastRow">
      <w:rPr>
        <w:b w:val="1"/>
        <w:color w:val="ffffff"/>
      </w:rPr>
      <w:tcPr>
        <w:tcBorders>
          <w:left w:color="ffffff" w:space="0" w:sz="4" w:val="single"/>
          <w:bottom w:color="ffffff" w:space="0" w:sz="4" w:val="single"/>
          <w:right w:color="ffffff" w:space="0" w:sz="4" w:val="single"/>
          <w:insideH w:color="000000" w:space="0" w:sz="0" w:val="nil"/>
          <w:insideV w:color="000000" w:space="0" w:sz="0" w:val="nil"/>
        </w:tcBorders>
        <w:shd w:fill="4472c4" w:val="clear"/>
      </w:tcPr>
    </w:tblStylePr>
  </w:style>
  <w:style w:type="table" w:styleId="Table4">
    <w:basedOn w:val="TableNormal"/>
    <w:tblPr>
      <w:tblStyleRowBandSize w:val="1"/>
      <w:tblStyleColBandSize w:val="1"/>
      <w:tblCellMar>
        <w:top w:w="0.0" w:type="dxa"/>
        <w:left w:w="115.0" w:type="dxa"/>
        <w:bottom w:w="0.0" w:type="dxa"/>
        <w:right w:w="115.0" w:type="dxa"/>
      </w:tblCellMar>
    </w:tblPr>
    <w:tcPr>
      <w:shd w:fill="d9e2f3" w:val="clear"/>
    </w:tcPr>
    <w:tblStylePr w:type="band1Horz">
      <w:tcPr>
        <w:shd w:fill="b4c6e7" w:val="clear"/>
      </w:tcPr>
    </w:tblStylePr>
    <w:tblStylePr w:type="band1Vert">
      <w:tcPr>
        <w:shd w:fill="b4c6e7" w:val="clear"/>
      </w:tcPr>
    </w:tblStylePr>
    <w:tblStylePr w:type="firstCol">
      <w:rPr>
        <w:b w:val="1"/>
        <w:color w:val="ffffff"/>
      </w:rPr>
      <w:tcPr>
        <w:tcBorders>
          <w:top w:color="ffffff" w:space="0" w:sz="4" w:val="single"/>
          <w:left w:color="ffffff" w:space="0" w:sz="4" w:val="single"/>
          <w:bottom w:color="ffffff" w:space="0" w:sz="4" w:val="single"/>
          <w:insideV w:color="000000" w:space="0" w:sz="0" w:val="nil"/>
        </w:tcBorders>
        <w:shd w:fill="4472c4" w:val="clear"/>
      </w:tcPr>
    </w:tblStylePr>
    <w:tblStylePr w:type="firstRow">
      <w:rPr>
        <w:b w:val="1"/>
        <w:color w:val="ffffff"/>
      </w:rPr>
      <w:tcPr>
        <w:tcBorders>
          <w:top w:color="ffffff" w:space="0" w:sz="4" w:val="single"/>
          <w:left w:color="ffffff" w:space="0" w:sz="4" w:val="single"/>
          <w:right w:color="ffffff" w:space="0" w:sz="4" w:val="single"/>
          <w:insideH w:color="000000" w:space="0" w:sz="0" w:val="nil"/>
          <w:insideV w:color="000000" w:space="0" w:sz="0" w:val="nil"/>
        </w:tcBorders>
        <w:shd w:fill="4472c4" w:val="clear"/>
      </w:tcPr>
    </w:tblStylePr>
    <w:tblStylePr w:type="lastCol">
      <w:rPr>
        <w:b w:val="1"/>
        <w:color w:val="ffffff"/>
      </w:rPr>
      <w:tcPr>
        <w:tcBorders>
          <w:top w:color="ffffff" w:space="0" w:sz="4" w:val="single"/>
          <w:bottom w:color="ffffff" w:space="0" w:sz="4" w:val="single"/>
          <w:right w:color="ffffff" w:space="0" w:sz="4" w:val="single"/>
          <w:insideV w:color="000000" w:space="0" w:sz="0" w:val="nil"/>
        </w:tcBorders>
        <w:shd w:fill="4472c4" w:val="clear"/>
      </w:tcPr>
    </w:tblStylePr>
    <w:tblStylePr w:type="lastRow">
      <w:rPr>
        <w:b w:val="1"/>
        <w:color w:val="ffffff"/>
      </w:rPr>
      <w:tcPr>
        <w:tcBorders>
          <w:left w:color="ffffff" w:space="0" w:sz="4" w:val="single"/>
          <w:bottom w:color="ffffff" w:space="0" w:sz="4" w:val="single"/>
          <w:right w:color="ffffff" w:space="0" w:sz="4" w:val="single"/>
          <w:insideH w:color="000000" w:space="0" w:sz="0" w:val="nil"/>
          <w:insideV w:color="000000" w:space="0" w:sz="0" w:val="nil"/>
        </w:tcBorders>
        <w:shd w:fill="4472c4" w:val="clear"/>
      </w:tcPr>
    </w:tblStylePr>
  </w:style>
  <w:style w:type="table" w:styleId="Table5">
    <w:basedOn w:val="TableNormal"/>
    <w:tblPr>
      <w:tblStyleRowBandSize w:val="1"/>
      <w:tblStyleColBandSize w:val="1"/>
      <w:tblCellMar>
        <w:top w:w="0.0" w:type="dxa"/>
        <w:left w:w="115.0" w:type="dxa"/>
        <w:bottom w:w="0.0" w:type="dxa"/>
        <w:right w:w="115.0" w:type="dxa"/>
      </w:tblCellMar>
    </w:tblPr>
    <w:tcPr>
      <w:shd w:fill="d9e2f3" w:val="clear"/>
    </w:tcPr>
    <w:tblStylePr w:type="band1Horz">
      <w:tcPr>
        <w:shd w:fill="b4c6e7" w:val="clear"/>
      </w:tcPr>
    </w:tblStylePr>
    <w:tblStylePr w:type="band1Vert">
      <w:tcPr>
        <w:shd w:fill="b4c6e7" w:val="clear"/>
      </w:tcPr>
    </w:tblStylePr>
    <w:tblStylePr w:type="firstCol">
      <w:rPr>
        <w:b w:val="1"/>
        <w:color w:val="ffffff"/>
      </w:rPr>
      <w:tcPr>
        <w:tcBorders>
          <w:top w:color="ffffff" w:space="0" w:sz="4" w:val="single"/>
          <w:left w:color="ffffff" w:space="0" w:sz="4" w:val="single"/>
          <w:bottom w:color="ffffff" w:space="0" w:sz="4" w:val="single"/>
          <w:insideV w:color="000000" w:space="0" w:sz="0" w:val="nil"/>
        </w:tcBorders>
        <w:shd w:fill="4472c4" w:val="clear"/>
      </w:tcPr>
    </w:tblStylePr>
    <w:tblStylePr w:type="firstRow">
      <w:rPr>
        <w:b w:val="1"/>
        <w:color w:val="ffffff"/>
      </w:rPr>
      <w:tcPr>
        <w:tcBorders>
          <w:top w:color="ffffff" w:space="0" w:sz="4" w:val="single"/>
          <w:left w:color="ffffff" w:space="0" w:sz="4" w:val="single"/>
          <w:right w:color="ffffff" w:space="0" w:sz="4" w:val="single"/>
          <w:insideH w:color="000000" w:space="0" w:sz="0" w:val="nil"/>
          <w:insideV w:color="000000" w:space="0" w:sz="0" w:val="nil"/>
        </w:tcBorders>
        <w:shd w:fill="4472c4" w:val="clear"/>
      </w:tcPr>
    </w:tblStylePr>
    <w:tblStylePr w:type="lastCol">
      <w:rPr>
        <w:b w:val="1"/>
        <w:color w:val="ffffff"/>
      </w:rPr>
      <w:tcPr>
        <w:tcBorders>
          <w:top w:color="ffffff" w:space="0" w:sz="4" w:val="single"/>
          <w:bottom w:color="ffffff" w:space="0" w:sz="4" w:val="single"/>
          <w:right w:color="ffffff" w:space="0" w:sz="4" w:val="single"/>
          <w:insideV w:color="000000" w:space="0" w:sz="0" w:val="nil"/>
        </w:tcBorders>
        <w:shd w:fill="4472c4" w:val="clear"/>
      </w:tcPr>
    </w:tblStylePr>
    <w:tblStylePr w:type="lastRow">
      <w:rPr>
        <w:b w:val="1"/>
        <w:color w:val="ffffff"/>
      </w:rPr>
      <w:tcPr>
        <w:tcBorders>
          <w:left w:color="ffffff" w:space="0" w:sz="4" w:val="single"/>
          <w:bottom w:color="ffffff" w:space="0" w:sz="4" w:val="single"/>
          <w:right w:color="ffffff" w:space="0" w:sz="4" w:val="single"/>
          <w:insideH w:color="000000" w:space="0" w:sz="0" w:val="nil"/>
          <w:insideV w:color="000000" w:space="0" w:sz="0" w:val="nil"/>
        </w:tcBorders>
        <w:shd w:fill="4472c4" w:val="clear"/>
      </w:tcPr>
    </w:tblStylePr>
  </w:style>
  <w:style w:type="table" w:styleId="Table6">
    <w:basedOn w:val="TableNormal"/>
    <w:tblPr>
      <w:tblStyleRowBandSize w:val="1"/>
      <w:tblStyleColBandSize w:val="1"/>
      <w:tblCellMar>
        <w:top w:w="0.0" w:type="dxa"/>
        <w:left w:w="115.0" w:type="dxa"/>
        <w:bottom w:w="0.0" w:type="dxa"/>
        <w:right w:w="115.0" w:type="dxa"/>
      </w:tblCellMar>
    </w:tblPr>
    <w:tcPr>
      <w:shd w:fill="d9e2f3" w:val="clear"/>
    </w:tcPr>
    <w:tblStylePr w:type="band1Horz">
      <w:tcPr>
        <w:shd w:fill="b4c6e7" w:val="clear"/>
      </w:tcPr>
    </w:tblStylePr>
    <w:tblStylePr w:type="band1Vert">
      <w:tcPr>
        <w:shd w:fill="b4c6e7" w:val="clear"/>
      </w:tcPr>
    </w:tblStylePr>
    <w:tblStylePr w:type="firstCol">
      <w:rPr>
        <w:b w:val="1"/>
        <w:color w:val="ffffff"/>
      </w:rPr>
      <w:tcPr>
        <w:tcBorders>
          <w:top w:color="ffffff" w:space="0" w:sz="4" w:val="single"/>
          <w:left w:color="ffffff" w:space="0" w:sz="4" w:val="single"/>
          <w:bottom w:color="ffffff" w:space="0" w:sz="4" w:val="single"/>
          <w:insideV w:color="000000" w:space="0" w:sz="0" w:val="nil"/>
        </w:tcBorders>
        <w:shd w:fill="4472c4" w:val="clear"/>
      </w:tcPr>
    </w:tblStylePr>
    <w:tblStylePr w:type="firstRow">
      <w:rPr>
        <w:b w:val="1"/>
        <w:color w:val="ffffff"/>
      </w:rPr>
      <w:tcPr>
        <w:tcBorders>
          <w:top w:color="ffffff" w:space="0" w:sz="4" w:val="single"/>
          <w:left w:color="ffffff" w:space="0" w:sz="4" w:val="single"/>
          <w:right w:color="ffffff" w:space="0" w:sz="4" w:val="single"/>
          <w:insideH w:color="000000" w:space="0" w:sz="0" w:val="nil"/>
          <w:insideV w:color="000000" w:space="0" w:sz="0" w:val="nil"/>
        </w:tcBorders>
        <w:shd w:fill="4472c4" w:val="clear"/>
      </w:tcPr>
    </w:tblStylePr>
    <w:tblStylePr w:type="lastCol">
      <w:rPr>
        <w:b w:val="1"/>
        <w:color w:val="ffffff"/>
      </w:rPr>
      <w:tcPr>
        <w:tcBorders>
          <w:top w:color="ffffff" w:space="0" w:sz="4" w:val="single"/>
          <w:bottom w:color="ffffff" w:space="0" w:sz="4" w:val="single"/>
          <w:right w:color="ffffff" w:space="0" w:sz="4" w:val="single"/>
          <w:insideV w:color="000000" w:space="0" w:sz="0" w:val="nil"/>
        </w:tcBorders>
        <w:shd w:fill="4472c4" w:val="clear"/>
      </w:tcPr>
    </w:tblStylePr>
    <w:tblStylePr w:type="lastRow">
      <w:rPr>
        <w:b w:val="1"/>
        <w:color w:val="ffffff"/>
      </w:rPr>
      <w:tcPr>
        <w:tcBorders>
          <w:left w:color="ffffff" w:space="0" w:sz="4" w:val="single"/>
          <w:bottom w:color="ffffff" w:space="0" w:sz="4" w:val="single"/>
          <w:right w:color="ffffff" w:space="0" w:sz="4" w:val="single"/>
          <w:insideH w:color="000000" w:space="0" w:sz="0" w:val="nil"/>
          <w:insideV w:color="000000" w:space="0" w:sz="0" w:val="nil"/>
        </w:tcBorders>
        <w:shd w:fill="4472c4" w:val="clear"/>
      </w:tcPr>
    </w:tblStylePr>
  </w:style>
  <w:style w:type="table" w:styleId="Table7">
    <w:basedOn w:val="TableNormal"/>
    <w:tblPr>
      <w:tblStyleRowBandSize w:val="1"/>
      <w:tblStyleColBandSize w:val="1"/>
      <w:tblCellMar>
        <w:top w:w="0.0" w:type="dxa"/>
        <w:left w:w="115.0" w:type="dxa"/>
        <w:bottom w:w="0.0" w:type="dxa"/>
        <w:right w:w="115.0" w:type="dxa"/>
      </w:tblCellMar>
    </w:tblPr>
    <w:tcPr>
      <w:shd w:fill="d9e2f3" w:val="clear"/>
    </w:tcPr>
    <w:tblStylePr w:type="band1Horz">
      <w:tcPr>
        <w:shd w:fill="b4c6e7" w:val="clear"/>
      </w:tcPr>
    </w:tblStylePr>
    <w:tblStylePr w:type="band1Vert">
      <w:tcPr>
        <w:shd w:fill="b4c6e7" w:val="clear"/>
      </w:tcPr>
    </w:tblStylePr>
    <w:tblStylePr w:type="firstCol">
      <w:rPr>
        <w:b w:val="1"/>
        <w:color w:val="ffffff"/>
      </w:rPr>
      <w:tcPr>
        <w:tcBorders>
          <w:top w:color="ffffff" w:space="0" w:sz="4" w:val="single"/>
          <w:left w:color="ffffff" w:space="0" w:sz="4" w:val="single"/>
          <w:bottom w:color="ffffff" w:space="0" w:sz="4" w:val="single"/>
          <w:insideV w:color="000000" w:space="0" w:sz="0" w:val="nil"/>
        </w:tcBorders>
        <w:shd w:fill="4472c4" w:val="clear"/>
      </w:tcPr>
    </w:tblStylePr>
    <w:tblStylePr w:type="firstRow">
      <w:rPr>
        <w:b w:val="1"/>
        <w:color w:val="ffffff"/>
      </w:rPr>
      <w:tcPr>
        <w:tcBorders>
          <w:top w:color="ffffff" w:space="0" w:sz="4" w:val="single"/>
          <w:left w:color="ffffff" w:space="0" w:sz="4" w:val="single"/>
          <w:right w:color="ffffff" w:space="0" w:sz="4" w:val="single"/>
          <w:insideH w:color="000000" w:space="0" w:sz="0" w:val="nil"/>
          <w:insideV w:color="000000" w:space="0" w:sz="0" w:val="nil"/>
        </w:tcBorders>
        <w:shd w:fill="4472c4" w:val="clear"/>
      </w:tcPr>
    </w:tblStylePr>
    <w:tblStylePr w:type="lastCol">
      <w:rPr>
        <w:b w:val="1"/>
        <w:color w:val="ffffff"/>
      </w:rPr>
      <w:tcPr>
        <w:tcBorders>
          <w:top w:color="ffffff" w:space="0" w:sz="4" w:val="single"/>
          <w:bottom w:color="ffffff" w:space="0" w:sz="4" w:val="single"/>
          <w:right w:color="ffffff" w:space="0" w:sz="4" w:val="single"/>
          <w:insideV w:color="000000" w:space="0" w:sz="0" w:val="nil"/>
        </w:tcBorders>
        <w:shd w:fill="4472c4" w:val="clear"/>
      </w:tcPr>
    </w:tblStylePr>
    <w:tblStylePr w:type="lastRow">
      <w:rPr>
        <w:b w:val="1"/>
        <w:color w:val="ffffff"/>
      </w:rPr>
      <w:tcPr>
        <w:tcBorders>
          <w:left w:color="ffffff" w:space="0" w:sz="4" w:val="single"/>
          <w:bottom w:color="ffffff" w:space="0" w:sz="4" w:val="single"/>
          <w:right w:color="ffffff" w:space="0" w:sz="4" w:val="single"/>
          <w:insideH w:color="000000" w:space="0" w:sz="0" w:val="nil"/>
          <w:insideV w:color="000000" w:space="0" w:sz="0" w:val="nil"/>
        </w:tcBorders>
        <w:shd w:fill="4472c4" w:val="clear"/>
      </w:tcPr>
    </w:tblStylePr>
  </w:style>
  <w:style w:type="table" w:styleId="Table8">
    <w:basedOn w:val="TableNormal"/>
    <w:tblPr>
      <w:tblStyleRowBandSize w:val="1"/>
      <w:tblStyleColBandSize w:val="1"/>
      <w:tblCellMar>
        <w:top w:w="0.0" w:type="dxa"/>
        <w:left w:w="115.0" w:type="dxa"/>
        <w:bottom w:w="0.0" w:type="dxa"/>
        <w:right w:w="115.0" w:type="dxa"/>
      </w:tblCellMar>
    </w:tblPr>
    <w:tcPr>
      <w:shd w:fill="d9e2f3" w:val="clear"/>
    </w:tcPr>
    <w:tblStylePr w:type="band1Horz">
      <w:tcPr>
        <w:shd w:fill="b4c6e7" w:val="clear"/>
      </w:tcPr>
    </w:tblStylePr>
    <w:tblStylePr w:type="band1Vert">
      <w:tcPr>
        <w:shd w:fill="b4c6e7" w:val="clear"/>
      </w:tcPr>
    </w:tblStylePr>
    <w:tblStylePr w:type="firstCol">
      <w:rPr>
        <w:b w:val="1"/>
        <w:color w:val="ffffff"/>
      </w:rPr>
      <w:tcPr>
        <w:tcBorders>
          <w:top w:color="ffffff" w:space="0" w:sz="4" w:val="single"/>
          <w:left w:color="ffffff" w:space="0" w:sz="4" w:val="single"/>
          <w:bottom w:color="ffffff" w:space="0" w:sz="4" w:val="single"/>
          <w:insideV w:color="000000" w:space="0" w:sz="0" w:val="nil"/>
        </w:tcBorders>
        <w:shd w:fill="4472c4" w:val="clear"/>
      </w:tcPr>
    </w:tblStylePr>
    <w:tblStylePr w:type="firstRow">
      <w:rPr>
        <w:b w:val="1"/>
        <w:color w:val="ffffff"/>
      </w:rPr>
      <w:tcPr>
        <w:tcBorders>
          <w:top w:color="ffffff" w:space="0" w:sz="4" w:val="single"/>
          <w:left w:color="ffffff" w:space="0" w:sz="4" w:val="single"/>
          <w:right w:color="ffffff" w:space="0" w:sz="4" w:val="single"/>
          <w:insideH w:color="000000" w:space="0" w:sz="0" w:val="nil"/>
          <w:insideV w:color="000000" w:space="0" w:sz="0" w:val="nil"/>
        </w:tcBorders>
        <w:shd w:fill="4472c4" w:val="clear"/>
      </w:tcPr>
    </w:tblStylePr>
    <w:tblStylePr w:type="lastCol">
      <w:rPr>
        <w:b w:val="1"/>
        <w:color w:val="ffffff"/>
      </w:rPr>
      <w:tcPr>
        <w:tcBorders>
          <w:top w:color="ffffff" w:space="0" w:sz="4" w:val="single"/>
          <w:bottom w:color="ffffff" w:space="0" w:sz="4" w:val="single"/>
          <w:right w:color="ffffff" w:space="0" w:sz="4" w:val="single"/>
          <w:insideV w:color="000000" w:space="0" w:sz="0" w:val="nil"/>
        </w:tcBorders>
        <w:shd w:fill="4472c4" w:val="clear"/>
      </w:tcPr>
    </w:tblStylePr>
    <w:tblStylePr w:type="lastRow">
      <w:rPr>
        <w:b w:val="1"/>
        <w:color w:val="ffffff"/>
      </w:rPr>
      <w:tcPr>
        <w:tcBorders>
          <w:left w:color="ffffff" w:space="0" w:sz="4" w:val="single"/>
          <w:bottom w:color="ffffff" w:space="0" w:sz="4" w:val="single"/>
          <w:right w:color="ffffff" w:space="0" w:sz="4" w:val="single"/>
          <w:insideH w:color="000000" w:space="0" w:sz="0" w:val="nil"/>
          <w:insideV w:color="000000" w:space="0" w:sz="0" w:val="nil"/>
        </w:tcBorders>
        <w:shd w:fill="4472c4" w:val="clear"/>
      </w:tcPr>
    </w:tblStylePr>
  </w:style>
  <w:style w:type="table" w:styleId="Table9">
    <w:basedOn w:val="TableNormal"/>
    <w:tblPr>
      <w:tblStyleRowBandSize w:val="1"/>
      <w:tblStyleColBandSize w:val="1"/>
      <w:tblCellMar>
        <w:top w:w="0.0" w:type="dxa"/>
        <w:left w:w="115.0" w:type="dxa"/>
        <w:bottom w:w="0.0" w:type="dxa"/>
        <w:right w:w="115.0" w:type="dxa"/>
      </w:tblCellMar>
    </w:tblPr>
    <w:tcPr>
      <w:shd w:fill="d9e2f3" w:val="clear"/>
    </w:tcPr>
    <w:tblStylePr w:type="band1Horz">
      <w:tcPr>
        <w:shd w:fill="b4c6e7" w:val="clear"/>
      </w:tcPr>
    </w:tblStylePr>
    <w:tblStylePr w:type="band1Vert">
      <w:tcPr>
        <w:shd w:fill="b4c6e7" w:val="clear"/>
      </w:tcPr>
    </w:tblStylePr>
    <w:tblStylePr w:type="firstCol">
      <w:rPr>
        <w:b w:val="1"/>
        <w:color w:val="ffffff"/>
      </w:rPr>
      <w:tcPr>
        <w:tcBorders>
          <w:top w:color="ffffff" w:space="0" w:sz="4" w:val="single"/>
          <w:left w:color="ffffff" w:space="0" w:sz="4" w:val="single"/>
          <w:bottom w:color="ffffff" w:space="0" w:sz="4" w:val="single"/>
          <w:insideV w:color="000000" w:space="0" w:sz="0" w:val="nil"/>
        </w:tcBorders>
        <w:shd w:fill="4472c4" w:val="clear"/>
      </w:tcPr>
    </w:tblStylePr>
    <w:tblStylePr w:type="firstRow">
      <w:rPr>
        <w:b w:val="1"/>
        <w:color w:val="ffffff"/>
      </w:rPr>
      <w:tcPr>
        <w:tcBorders>
          <w:top w:color="ffffff" w:space="0" w:sz="4" w:val="single"/>
          <w:left w:color="ffffff" w:space="0" w:sz="4" w:val="single"/>
          <w:right w:color="ffffff" w:space="0" w:sz="4" w:val="single"/>
          <w:insideH w:color="000000" w:space="0" w:sz="0" w:val="nil"/>
          <w:insideV w:color="000000" w:space="0" w:sz="0" w:val="nil"/>
        </w:tcBorders>
        <w:shd w:fill="4472c4" w:val="clear"/>
      </w:tcPr>
    </w:tblStylePr>
    <w:tblStylePr w:type="lastCol">
      <w:rPr>
        <w:b w:val="1"/>
        <w:color w:val="ffffff"/>
      </w:rPr>
      <w:tcPr>
        <w:tcBorders>
          <w:top w:color="ffffff" w:space="0" w:sz="4" w:val="single"/>
          <w:bottom w:color="ffffff" w:space="0" w:sz="4" w:val="single"/>
          <w:right w:color="ffffff" w:space="0" w:sz="4" w:val="single"/>
          <w:insideV w:color="000000" w:space="0" w:sz="0" w:val="nil"/>
        </w:tcBorders>
        <w:shd w:fill="4472c4" w:val="clear"/>
      </w:tcPr>
    </w:tblStylePr>
    <w:tblStylePr w:type="lastRow">
      <w:rPr>
        <w:b w:val="1"/>
        <w:color w:val="ffffff"/>
      </w:rPr>
      <w:tcPr>
        <w:tcBorders>
          <w:left w:color="ffffff" w:space="0" w:sz="4" w:val="single"/>
          <w:bottom w:color="ffffff" w:space="0" w:sz="4" w:val="single"/>
          <w:right w:color="ffffff" w:space="0" w:sz="4" w:val="single"/>
          <w:insideH w:color="000000" w:space="0" w:sz="0" w:val="nil"/>
          <w:insideV w:color="000000" w:space="0" w:sz="0" w:val="nil"/>
        </w:tcBorders>
        <w:shd w:fill="4472c4" w:val="clear"/>
      </w:tcPr>
    </w:tblStylePr>
  </w:style>
</w:styles>
</file>

<file path=word/_rels/document.xml.rels><?xml version="1.0" encoding="UTF-8" standalone="yes"?><Relationships xmlns="http://schemas.openxmlformats.org/package/2006/relationships"><Relationship Id="rId20" Type="http://schemas.openxmlformats.org/officeDocument/2006/relationships/hyperlink" Target="https://motos.coches.net/" TargetMode="External"/><Relationship Id="rId11" Type="http://schemas.openxmlformats.org/officeDocument/2006/relationships/hyperlink" Target="https://www.fotocasa.es" TargetMode="External"/><Relationship Id="rId22" Type="http://schemas.openxmlformats.org/officeDocument/2006/relationships/hyperlink" Target="http://adevinta.es" TargetMode="External"/><Relationship Id="rId10" Type="http://schemas.openxmlformats.org/officeDocument/2006/relationships/hyperlink" Target="https://www.fotocasa.es" TargetMode="External"/><Relationship Id="rId21" Type="http://schemas.openxmlformats.org/officeDocument/2006/relationships/hyperlink" Target="https://www.milanuncios.com/" TargetMode="External"/><Relationship Id="rId13" Type="http://schemas.openxmlformats.org/officeDocument/2006/relationships/hyperlink" Target="https://www.fotocasa.es/indice/" TargetMode="External"/><Relationship Id="rId24" Type="http://schemas.openxmlformats.org/officeDocument/2006/relationships/footer" Target="footer1.xml"/><Relationship Id="rId12" Type="http://schemas.openxmlformats.org/officeDocument/2006/relationships/hyperlink" Target="https://www.fotocasa.es" TargetMode="External"/><Relationship Id="rId23" Type="http://schemas.openxmlformats.org/officeDocument/2006/relationships/hyperlink" Target="mailto:comunicacion@fotocasa.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chart" Target="charts/chart1.xml"/><Relationship Id="rId15" Type="http://schemas.openxmlformats.org/officeDocument/2006/relationships/hyperlink" Target="https://www.fotocasa.es/es/quienes-somos/" TargetMode="External"/><Relationship Id="rId14" Type="http://schemas.openxmlformats.org/officeDocument/2006/relationships/hyperlink" Target="http://prensa.fotocasa.es" TargetMode="External"/><Relationship Id="rId17" Type="http://schemas.openxmlformats.org/officeDocument/2006/relationships/hyperlink" Target="https://www.habitaclia.com/" TargetMode="External"/><Relationship Id="rId16" Type="http://schemas.openxmlformats.org/officeDocument/2006/relationships/hyperlink" Target="https://www.fotocasa.es/es/" TargetMode="External"/><Relationship Id="rId5" Type="http://schemas.openxmlformats.org/officeDocument/2006/relationships/styles" Target="styles.xml"/><Relationship Id="rId19" Type="http://schemas.openxmlformats.org/officeDocument/2006/relationships/hyperlink" Target="https://www.coches.net/" TargetMode="External"/><Relationship Id="rId6" Type="http://schemas.openxmlformats.org/officeDocument/2006/relationships/customXml" Target="../customXML/item1.xml"/><Relationship Id="rId18" Type="http://schemas.openxmlformats.org/officeDocument/2006/relationships/hyperlink" Target="https://www.infojobs.net/" TargetMode="External"/><Relationship Id="rId7" Type="http://schemas.openxmlformats.org/officeDocument/2006/relationships/image" Target="media/image1.png"/><Relationship Id="rId8" Type="http://schemas.openxmlformats.org/officeDocument/2006/relationships/hyperlink" Target="https://www.fotocasa.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OpenSansLight-regular.ttf"/><Relationship Id="rId4" Type="http://schemas.openxmlformats.org/officeDocument/2006/relationships/font" Target="fonts/OpenSansLight-bold.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OpenSansLight-italic.ttf"/><Relationship Id="rId6" Type="http://schemas.openxmlformats.org/officeDocument/2006/relationships/font" Target="fonts/OpenSansLight-boldItalic.ttf"/><Relationship Id="rId7" Type="http://schemas.openxmlformats.org/officeDocument/2006/relationships/font" Target="fonts/OpenSans-regular.ttf"/><Relationship Id="rId8" Type="http://schemas.openxmlformats.org/officeDocument/2006/relationships/font" Target="fonts/OpenSan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microsoft.com/office/2011/relationships/chartStyle" Target="style1.xml"/><Relationship Id="rId2" Type="http://schemas.microsoft.com/office/2011/relationships/chartColorStyle" Target="colors1.xml"/><Relationship Id="rId3" Type="http://schemas.openxmlformats.org/officeDocument/2006/relationships/themeOverride" Target="../theme/themeOverride1.xml"/><Relationship Id="rId4" Type="http://schemas.openxmlformats.org/officeDocument/2006/relationships/oleObject" Target="file:///I:\Mi%20unidad\01-SCHIBSTED\03-NOTAS%20DE%20PRENSA\02-ALQUILER\2024\11-NOVIEMBRE\PRENSA%20ALQUILER%20noviembre%202024.xlsm" TargetMode="External"/><Relationship Id="rId5"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ivotFmts>
      <c:pivotFmt>
        <c:idx val="0"/>
        <c:spPr>
          <a:solidFill>
            <a:schemeClr val="accent5">
              <a:lumMod val="40000"/>
              <a:lumOff val="60000"/>
            </a:schemeClr>
          </a:solidFill>
          <a:ln>
            <a:noFill/>
          </a:ln>
          <a:effectLst/>
        </c:spPr>
        <c:marker>
          <c:symbol val="none"/>
        </c:marker>
        <c:dLbl>
          <c:idx val="0"/>
          <c:spPr>
            <a:noFill/>
            <a:ln>
              <a:noFill/>
            </a:ln>
            <a:effectLst/>
          </c:spPr>
          <c:txPr>
            <a:bodyPr rot="0" spcFirstLastPara="1" vertOverflow="ellipsis" vert="horz" wrap="square" anchor="ctr" anchorCtr="1"/>
            <a:lstStyle/>
            <a:p>
              <a:pPr>
                <a:defRPr sz="700" b="1" i="0" u="none" strike="noStrike" kern="1200" baseline="0">
                  <a:solidFill>
                    <a:schemeClr val="tx1">
                      <a:lumMod val="75000"/>
                      <a:lumOff val="25000"/>
                    </a:schemeClr>
                  </a:solidFill>
                  <a:latin typeface="Open Sans"/>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extLst>
        </c:dLbl>
      </c:pivotFmt>
      <c:pivotFmt>
        <c:idx val="1"/>
        <c:spPr>
          <a:solidFill>
            <a:srgbClr val="61C2C7"/>
          </a:solidFill>
          <a:ln>
            <a:noFill/>
          </a:ln>
          <a:effectLst/>
        </c:spPr>
        <c:marker>
          <c:symbol val="none"/>
        </c:marker>
        <c:dLbl>
          <c:idx val="0"/>
          <c:spPr>
            <a:solidFill>
              <a:srgbClr val="61C2C7"/>
            </a:solidFill>
            <a:ln>
              <a:noFill/>
            </a:ln>
            <a:effectLst/>
          </c:spPr>
          <c:txPr>
            <a:bodyPr rot="0" spcFirstLastPara="1" vertOverflow="clip" horzOverflow="clip" vert="horz" wrap="square" lIns="36576" tIns="18288" rIns="36576" bIns="18288" anchor="ctr" anchorCtr="1">
              <a:spAutoFit/>
            </a:bodyPr>
            <a:lstStyle/>
            <a:p>
              <a:pPr>
                <a:defRPr sz="700" b="1" i="0" u="none" strike="noStrike" kern="1200" baseline="0">
                  <a:solidFill>
                    <a:schemeClr val="bg1"/>
                  </a:solidFill>
                  <a:latin typeface="Open Sans"/>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flowChartConnector">
                  <a:avLst/>
                </a:prstGeom>
                <a:noFill/>
                <a:ln>
                  <a:noFill/>
                </a:ln>
              </c15:spPr>
            </c:ext>
          </c:extLst>
        </c:dLbl>
      </c:pivotFmt>
      <c:pivotFmt>
        <c:idx val="2"/>
        <c:spPr>
          <a:solidFill>
            <a:schemeClr val="accent5">
              <a:lumMod val="75000"/>
            </a:schemeClr>
          </a:solidFill>
          <a:ln cap="rnd">
            <a:solidFill>
              <a:schemeClr val="accent5">
                <a:lumMod val="75000"/>
              </a:schemeClr>
            </a:solidFill>
          </a:ln>
          <a:effectLst/>
          <a:scene3d>
            <a:camera prst="orthographicFront"/>
            <a:lightRig rig="threePt" dir="t"/>
          </a:scene3d>
          <a:sp3d/>
        </c:spPr>
        <c:marker>
          <c:symbol val="none"/>
        </c:marker>
        <c:dLbl>
          <c:idx val="0"/>
          <c:spPr>
            <a:noFill/>
            <a:ln>
              <a:noFill/>
            </a:ln>
            <a:effectLst/>
          </c:spPr>
          <c:txPr>
            <a:bodyPr rot="0" spcFirstLastPara="1" vertOverflow="ellipsis" vert="horz" wrap="square" anchor="ctr" anchorCtr="1"/>
            <a:lstStyle/>
            <a:p>
              <a:pPr>
                <a:defRPr sz="700" b="1" i="0" u="none" strike="noStrike" kern="1200" baseline="0">
                  <a:solidFill>
                    <a:schemeClr val="tx1">
                      <a:lumMod val="75000"/>
                      <a:lumOff val="25000"/>
                    </a:schemeClr>
                  </a:solidFill>
                  <a:latin typeface="Open Sans"/>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extLst>
        </c:dLbl>
      </c:pivotFmt>
      <c:pivotFmt>
        <c:idx val="3"/>
        <c:dLbl>
          <c:idx val="0"/>
          <c:spPr>
            <a:solidFill>
              <a:srgbClr val="61C2C7"/>
            </a:solidFill>
            <a:ln>
              <a:noFill/>
            </a:ln>
            <a:effectLst/>
          </c:spPr>
          <c:txPr>
            <a:bodyPr rot="0" spcFirstLastPara="1" vertOverflow="clip" horzOverflow="clip" vert="horz" wrap="square" lIns="36576" tIns="18288" rIns="36576" bIns="18288" anchor="ctr" anchorCtr="1">
              <a:spAutoFit/>
            </a:bodyPr>
            <a:lstStyle/>
            <a:p>
              <a:pPr>
                <a:defRPr sz="700" b="1" i="0" u="none" strike="noStrike" kern="1200" baseline="0">
                  <a:solidFill>
                    <a:schemeClr val="bg1"/>
                  </a:solidFill>
                  <a:latin typeface="Open Sans"/>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flowChartConnector">
                  <a:avLst/>
                </a:prstGeom>
                <a:noFill/>
                <a:ln>
                  <a:noFill/>
                </a:ln>
              </c15:spPr>
              <c15:layout>
                <c:manualLayout>
                  <c:w val="7.3423245171276671E-2"/>
                  <c:h val="0.12885840854129021"/>
                </c:manualLayout>
              </c15:layout>
            </c:ext>
          </c:extLst>
        </c:dLbl>
      </c:pivotFmt>
      <c:pivotFmt>
        <c:idx val="4"/>
        <c:dLbl>
          <c:idx val="0"/>
          <c:spPr>
            <a:solidFill>
              <a:srgbClr val="61C2C7"/>
            </a:solidFill>
            <a:ln>
              <a:noFill/>
            </a:ln>
            <a:effectLst/>
          </c:spPr>
          <c:txPr>
            <a:bodyPr rot="0" spcFirstLastPara="1" vertOverflow="clip" horzOverflow="clip" vert="horz" wrap="square" lIns="36576" tIns="18288" rIns="36576" bIns="18288" anchor="ctr" anchorCtr="1">
              <a:spAutoFit/>
            </a:bodyPr>
            <a:lstStyle/>
            <a:p>
              <a:pPr>
                <a:defRPr sz="700" b="1" i="0" u="none" strike="noStrike" kern="1200" baseline="0">
                  <a:solidFill>
                    <a:schemeClr val="bg1"/>
                  </a:solidFill>
                  <a:latin typeface="Open Sans"/>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flowChartConnector">
                  <a:avLst/>
                </a:prstGeom>
                <a:noFill/>
                <a:ln>
                  <a:noFill/>
                </a:ln>
              </c15:spPr>
              <c15:layout>
                <c:manualLayout>
                  <c:w val="7.3423245171276671E-2"/>
                  <c:h val="0.11946614470988752"/>
                </c:manualLayout>
              </c15:layout>
            </c:ext>
          </c:extLst>
        </c:dLbl>
      </c:pivotFmt>
      <c:pivotFmt>
        <c:idx val="5"/>
        <c:dLbl>
          <c:idx val="0"/>
          <c:spPr>
            <a:solidFill>
              <a:srgbClr val="61C2C7"/>
            </a:solidFill>
            <a:ln>
              <a:noFill/>
            </a:ln>
            <a:effectLst/>
          </c:spPr>
          <c:txPr>
            <a:bodyPr rot="0" spcFirstLastPara="1" vertOverflow="clip" horzOverflow="clip" vert="horz" wrap="square" lIns="36576" tIns="18288" rIns="36576" bIns="18288" anchor="ctr" anchorCtr="1">
              <a:spAutoFit/>
            </a:bodyPr>
            <a:lstStyle/>
            <a:p>
              <a:pPr>
                <a:defRPr sz="700" b="1" i="0" u="none" strike="noStrike" kern="1200" baseline="0">
                  <a:solidFill>
                    <a:schemeClr val="bg1"/>
                  </a:solidFill>
                  <a:latin typeface="Open Sans"/>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flowChartConnector">
                  <a:avLst/>
                </a:prstGeom>
                <a:noFill/>
                <a:ln>
                  <a:noFill/>
                </a:ln>
              </c15:spPr>
              <c15:layout>
                <c:manualLayout>
                  <c:w val="7.3423245171276671E-2"/>
                  <c:h val="0.12885840854129024"/>
                </c:manualLayout>
              </c15:layout>
            </c:ext>
          </c:extLst>
        </c:dLbl>
      </c:pivotFmt>
      <c:pivotFmt>
        <c:idx val="6"/>
        <c:dLbl>
          <c:idx val="0"/>
          <c:spPr>
            <a:solidFill>
              <a:srgbClr val="61C2C7"/>
            </a:solidFill>
            <a:ln>
              <a:noFill/>
            </a:ln>
            <a:effectLst/>
          </c:spPr>
          <c:txPr>
            <a:bodyPr rot="0" spcFirstLastPara="1" vertOverflow="clip" horzOverflow="clip" vert="horz" wrap="square" lIns="36576" tIns="18288" rIns="36576" bIns="18288" anchor="ctr" anchorCtr="1">
              <a:spAutoFit/>
            </a:bodyPr>
            <a:lstStyle/>
            <a:p>
              <a:pPr>
                <a:defRPr sz="700" b="1" i="0" u="none" strike="noStrike" kern="1200" baseline="0">
                  <a:solidFill>
                    <a:schemeClr val="bg1"/>
                  </a:solidFill>
                  <a:latin typeface="Open Sans"/>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flowChartConnector">
                  <a:avLst/>
                </a:prstGeom>
                <a:noFill/>
                <a:ln>
                  <a:noFill/>
                </a:ln>
              </c15:spPr>
              <c15:layout>
                <c:manualLayout>
                  <c:w val="7.3423245171276671E-2"/>
                  <c:h val="0.11633539009941996"/>
                </c:manualLayout>
              </c15:layout>
            </c:ext>
          </c:extLst>
        </c:dLbl>
      </c:pivotFmt>
      <c:pivotFmt>
        <c:idx val="7"/>
        <c:dLbl>
          <c:idx val="0"/>
          <c:spPr>
            <a:noFill/>
            <a:ln>
              <a:noFill/>
            </a:ln>
            <a:effectLst/>
          </c:spPr>
          <c:txPr>
            <a:bodyPr rot="0" spcFirstLastPara="1" vertOverflow="ellipsis" vert="horz" wrap="square" anchor="ctr" anchorCtr="1"/>
            <a:lstStyle/>
            <a:p>
              <a:pPr>
                <a:defRPr sz="700" b="1" i="0" u="none" strike="noStrike" kern="1200" baseline="0">
                  <a:solidFill>
                    <a:schemeClr val="tx1">
                      <a:lumMod val="75000"/>
                      <a:lumOff val="25000"/>
                    </a:schemeClr>
                  </a:solidFill>
                  <a:latin typeface="Open Sans"/>
                  <a:ea typeface="+mn-ea"/>
                  <a:cs typeface="+mn-cs"/>
                </a:defRPr>
              </a:pPr>
              <a:endParaRPr lang="es-ES"/>
            </a:p>
          </c:txPr>
          <c:showLegendKey val="0"/>
          <c:showVal val="0"/>
          <c:showCatName val="0"/>
          <c:showSerName val="0"/>
          <c:showPercent val="0"/>
          <c:showBubbleSize val="0"/>
          <c:extLst>
            <c:ext xmlns:c15="http://schemas.microsoft.com/office/drawing/2012/chart" uri="{CE6537A1-D6FC-4f65-9D91-7224C49458BB}"/>
          </c:extLst>
        </c:dLbl>
      </c:pivotFmt>
      <c:pivotFmt>
        <c:idx val="8"/>
        <c:dLbl>
          <c:idx val="0"/>
          <c:numFmt formatCode="#,##0.0\ &quot;%&quot;" sourceLinked="0"/>
          <c:spPr>
            <a:noFill/>
            <a:ln>
              <a:noFill/>
            </a:ln>
            <a:effectLst/>
          </c:spPr>
          <c:txPr>
            <a:bodyPr rot="0" spcFirstLastPara="1" vertOverflow="ellipsis" vert="horz" wrap="square" anchor="ctr" anchorCtr="1"/>
            <a:lstStyle/>
            <a:p>
              <a:pPr>
                <a:defRPr sz="700" b="1" i="0" u="none" strike="noStrike" kern="1200" baseline="0">
                  <a:solidFill>
                    <a:schemeClr val="tx1">
                      <a:lumMod val="75000"/>
                      <a:lumOff val="25000"/>
                    </a:schemeClr>
                  </a:solidFill>
                  <a:latin typeface="Open Sans"/>
                  <a:ea typeface="+mn-ea"/>
                  <a:cs typeface="+mn-cs"/>
                </a:defRPr>
              </a:pPr>
              <a:endParaRPr lang="es-ES"/>
            </a:p>
          </c:txPr>
          <c:showLegendKey val="1"/>
          <c:showVal val="1"/>
          <c:showCatName val="1"/>
          <c:showSerName val="1"/>
          <c:showPercent val="1"/>
          <c:showBubbleSize val="1"/>
          <c:extLst>
            <c:ext xmlns:c15="http://schemas.microsoft.com/office/drawing/2012/chart" uri="{CE6537A1-D6FC-4f65-9D91-7224C49458BB}"/>
          </c:extLst>
        </c:dLbl>
      </c:pivotFmt>
      <c:pivotFmt>
        <c:idx val="9"/>
        <c:dLbl>
          <c:idx val="0"/>
          <c:spPr>
            <a:solidFill>
              <a:srgbClr val="61C2C7"/>
            </a:solidFill>
            <a:ln>
              <a:noFill/>
            </a:ln>
            <a:effectLst/>
          </c:spPr>
          <c:txPr>
            <a:bodyPr rot="0" spcFirstLastPara="1" vertOverflow="clip" horzOverflow="clip" vert="horz" wrap="square" lIns="36576" tIns="18288" rIns="36576" bIns="18288" anchor="ctr" anchorCtr="1">
              <a:spAutoFit/>
            </a:bodyPr>
            <a:lstStyle/>
            <a:p>
              <a:pPr>
                <a:defRPr sz="700" b="1" i="0" u="none" strike="noStrike" kern="1200" baseline="0">
                  <a:solidFill>
                    <a:schemeClr val="bg1"/>
                  </a:solidFill>
                  <a:latin typeface="Open Sans"/>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flowChartConnector">
                  <a:avLst/>
                </a:prstGeom>
                <a:noFill/>
                <a:ln>
                  <a:noFill/>
                </a:ln>
              </c15:spPr>
              <c15:layout>
                <c:manualLayout>
                  <c:w val="7.9132221471931705E-2"/>
                  <c:h val="0.11579751872236264"/>
                </c:manualLayout>
              </c15:layout>
            </c:ext>
          </c:extLst>
        </c:dLbl>
      </c:pivotFmt>
      <c:pivotFmt>
        <c:idx val="10"/>
        <c:dLbl>
          <c:idx val="0"/>
          <c:spPr>
            <a:solidFill>
              <a:srgbClr val="61C2C7"/>
            </a:solidFill>
            <a:ln>
              <a:noFill/>
            </a:ln>
            <a:effectLst/>
          </c:spPr>
          <c:txPr>
            <a:bodyPr rot="0" spcFirstLastPara="1" vertOverflow="clip" horzOverflow="clip" vert="horz" wrap="square" lIns="36576" tIns="18288" rIns="36576" bIns="18288" anchor="ctr" anchorCtr="1">
              <a:spAutoFit/>
            </a:bodyPr>
            <a:lstStyle/>
            <a:p>
              <a:pPr>
                <a:defRPr sz="700" b="1" i="0" u="none" strike="noStrike" kern="1200" baseline="0">
                  <a:solidFill>
                    <a:schemeClr val="bg1"/>
                  </a:solidFill>
                  <a:latin typeface="Open Sans"/>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flowChartConnector">
                  <a:avLst/>
                </a:prstGeom>
                <a:noFill/>
                <a:ln>
                  <a:noFill/>
                </a:ln>
              </c15:spPr>
              <c15:layout>
                <c:manualLayout>
                  <c:w val="8.3122831284244206E-2"/>
                  <c:h val="0.13317993013091828"/>
                </c:manualLayout>
              </c15:layout>
            </c:ext>
          </c:extLst>
        </c:dLbl>
      </c:pivotFmt>
      <c:pivotFmt>
        <c:idx val="11"/>
        <c:dLbl>
          <c:idx val="0"/>
          <c:spPr>
            <a:solidFill>
              <a:srgbClr val="61C2C7"/>
            </a:solidFill>
            <a:ln>
              <a:noFill/>
            </a:ln>
            <a:effectLst/>
          </c:spPr>
          <c:txPr>
            <a:bodyPr rot="0" spcFirstLastPara="1" vertOverflow="clip" horzOverflow="clip" vert="horz" wrap="square" lIns="36576" tIns="18288" rIns="36576" bIns="18288" anchor="ctr" anchorCtr="1">
              <a:spAutoFit/>
            </a:bodyPr>
            <a:lstStyle/>
            <a:p>
              <a:pPr>
                <a:defRPr sz="700" b="1" i="0" u="none" strike="noStrike" kern="1200" baseline="0">
                  <a:solidFill>
                    <a:schemeClr val="bg1"/>
                  </a:solidFill>
                  <a:latin typeface="Open Sans"/>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flowChartConnector">
                  <a:avLst/>
                </a:prstGeom>
                <a:noFill/>
                <a:ln>
                  <a:noFill/>
                </a:ln>
              </c15:spPr>
              <c15:layout>
                <c:manualLayout>
                  <c:w val="7.7136916565775454E-2"/>
                  <c:h val="0.12970344784920718"/>
                </c:manualLayout>
              </c15:layout>
            </c:ext>
          </c:extLst>
        </c:dLbl>
      </c:pivotFmt>
    </c:pivotFmts>
    <c:plotArea>
      <c:layout>
        <c:manualLayout>
          <c:layoutTarget val="inner"/>
          <c:xMode val="edge"/>
          <c:yMode val="edge"/>
          <c:x val="3.6829246611553235E-2"/>
          <c:y val="5.4332915216672162E-2"/>
          <c:w val="0.93187213265646462"/>
          <c:h val="0.73574395704354434"/>
        </c:manualLayout>
      </c:layout>
      <c:barChart>
        <c:barDir val="col"/>
        <c:grouping val="clustered"/>
        <c:varyColors val="0"/>
        <c:ser>
          <c:idx val="0"/>
          <c:order val="0"/>
          <c:tx>
            <c:strRef>
              <c:f>Hoja6!$C$25</c:f>
              <c:strCache>
                <c:ptCount val="1"/>
                <c:pt idx="0">
                  <c:v> % mensual</c:v>
                </c:pt>
              </c:strCache>
            </c:strRef>
          </c:tx>
          <c:spPr>
            <a:solidFill>
              <a:srgbClr val="E7E6E6">
                <a:lumMod val="75000"/>
              </a:srgbClr>
            </a:solidFill>
            <a:ln>
              <a:noFill/>
            </a:ln>
            <a:effectLst/>
          </c:spPr>
          <c:invertIfNegative val="0"/>
          <c:dLbls>
            <c:dLbl>
              <c:idx val="3"/>
              <c:layout>
                <c:manualLayout>
                  <c:x val="0"/>
                  <c:y val="1.67714847782269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0A1-41B2-85F7-E6E5491E7A38}"/>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Open Sans"/>
                    <a:ea typeface="+mn-ea"/>
                    <a:cs typeface="+mn-cs"/>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Hoja6!$A$26:$B$38</c:f>
              <c:multiLvlStrCache>
                <c:ptCount val="13"/>
                <c:lvl>
                  <c:pt idx="0">
                    <c:v>NOV</c:v>
                  </c:pt>
                  <c:pt idx="1">
                    <c:v>DIC</c:v>
                  </c:pt>
                  <c:pt idx="2">
                    <c:v>ENE</c:v>
                  </c:pt>
                  <c:pt idx="3">
                    <c:v>FEB</c:v>
                  </c:pt>
                  <c:pt idx="4">
                    <c:v>MAR</c:v>
                  </c:pt>
                  <c:pt idx="5">
                    <c:v>ABR</c:v>
                  </c:pt>
                  <c:pt idx="6">
                    <c:v>MAY</c:v>
                  </c:pt>
                  <c:pt idx="7">
                    <c:v>JUN</c:v>
                  </c:pt>
                  <c:pt idx="8">
                    <c:v>JUL</c:v>
                  </c:pt>
                  <c:pt idx="9">
                    <c:v>AGO</c:v>
                  </c:pt>
                  <c:pt idx="10">
                    <c:v>SEP</c:v>
                  </c:pt>
                  <c:pt idx="11">
                    <c:v>OCT</c:v>
                  </c:pt>
                  <c:pt idx="12">
                    <c:v>NOV</c:v>
                  </c:pt>
                </c:lvl>
                <c:lvl>
                  <c:pt idx="0">
                    <c:v>2023</c:v>
                  </c:pt>
                  <c:pt idx="2">
                    <c:v>2024</c:v>
                  </c:pt>
                </c:lvl>
              </c:multiLvlStrCache>
            </c:multiLvlStrRef>
          </c:cat>
          <c:val>
            <c:numRef>
              <c:f>Hoja6!$C$26:$C$38</c:f>
              <c:numCache>
                <c:formatCode>0.0%</c:formatCode>
                <c:ptCount val="13"/>
                <c:pt idx="0">
                  <c:v>1.9590382902938457E-2</c:v>
                </c:pt>
                <c:pt idx="1">
                  <c:v>1.8340611353711865E-2</c:v>
                </c:pt>
                <c:pt idx="2">
                  <c:v>1.0291595197255508E-2</c:v>
                </c:pt>
                <c:pt idx="3">
                  <c:v>4.159592529711377E-2</c:v>
                </c:pt>
                <c:pt idx="4">
                  <c:v>7.3349633251833628E-3</c:v>
                </c:pt>
                <c:pt idx="5">
                  <c:v>-4.8543689320387313E-3</c:v>
                </c:pt>
                <c:pt idx="6">
                  <c:v>1.4227642276422821E-2</c:v>
                </c:pt>
                <c:pt idx="7">
                  <c:v>1.4028056112224362E-2</c:v>
                </c:pt>
                <c:pt idx="8">
                  <c:v>-4.7430830039526086E-3</c:v>
                </c:pt>
                <c:pt idx="9">
                  <c:v>-1.5091342335186617E-2</c:v>
                </c:pt>
                <c:pt idx="10">
                  <c:v>-3.387096774193548E-2</c:v>
                </c:pt>
                <c:pt idx="11">
                  <c:v>2.9215358931552558E-2</c:v>
                </c:pt>
                <c:pt idx="12">
                  <c:v>6.4882400648824071E-2</c:v>
                </c:pt>
              </c:numCache>
            </c:numRef>
          </c:val>
          <c:extLst>
            <c:ext xmlns:c16="http://schemas.microsoft.com/office/drawing/2014/chart" uri="{C3380CC4-5D6E-409C-BE32-E72D297353CC}">
              <c16:uniqueId val="{00000001-60A1-41B2-85F7-E6E5491E7A38}"/>
            </c:ext>
          </c:extLst>
        </c:ser>
        <c:ser>
          <c:idx val="1"/>
          <c:order val="1"/>
          <c:tx>
            <c:strRef>
              <c:f>Hoja6!$D$25</c:f>
              <c:strCache>
                <c:ptCount val="1"/>
                <c:pt idx="0">
                  <c:v> % interanual</c:v>
                </c:pt>
              </c:strCache>
            </c:strRef>
          </c:tx>
          <c:spPr>
            <a:solidFill>
              <a:srgbClr val="4472C4">
                <a:lumMod val="75000"/>
              </a:srgbClr>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Open Sans"/>
                    <a:ea typeface="+mn-ea"/>
                    <a:cs typeface="+mn-cs"/>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Hoja6!$A$26:$B$38</c:f>
              <c:multiLvlStrCache>
                <c:ptCount val="13"/>
                <c:lvl>
                  <c:pt idx="0">
                    <c:v>NOV</c:v>
                  </c:pt>
                  <c:pt idx="1">
                    <c:v>DIC</c:v>
                  </c:pt>
                  <c:pt idx="2">
                    <c:v>ENE</c:v>
                  </c:pt>
                  <c:pt idx="3">
                    <c:v>FEB</c:v>
                  </c:pt>
                  <c:pt idx="4">
                    <c:v>MAR</c:v>
                  </c:pt>
                  <c:pt idx="5">
                    <c:v>ABR</c:v>
                  </c:pt>
                  <c:pt idx="6">
                    <c:v>MAY</c:v>
                  </c:pt>
                  <c:pt idx="7">
                    <c:v>JUN</c:v>
                  </c:pt>
                  <c:pt idx="8">
                    <c:v>JUL</c:v>
                  </c:pt>
                  <c:pt idx="9">
                    <c:v>AGO</c:v>
                  </c:pt>
                  <c:pt idx="10">
                    <c:v>SEP</c:v>
                  </c:pt>
                  <c:pt idx="11">
                    <c:v>OCT</c:v>
                  </c:pt>
                  <c:pt idx="12">
                    <c:v>NOV</c:v>
                  </c:pt>
                </c:lvl>
                <c:lvl>
                  <c:pt idx="0">
                    <c:v>2023</c:v>
                  </c:pt>
                  <c:pt idx="2">
                    <c:v>2024</c:v>
                  </c:pt>
                </c:lvl>
              </c:multiLvlStrCache>
            </c:multiLvlStrRef>
          </c:cat>
          <c:val>
            <c:numRef>
              <c:f>Hoja6!$D$26:$D$38</c:f>
              <c:numCache>
                <c:formatCode>0.0%</c:formatCode>
                <c:ptCount val="13"/>
                <c:pt idx="0">
                  <c:v>6.1167747914735886E-2</c:v>
                </c:pt>
                <c:pt idx="1">
                  <c:v>5.7116953762466074E-2</c:v>
                </c:pt>
                <c:pt idx="2">
                  <c:v>5.0847457627118509E-2</c:v>
                </c:pt>
                <c:pt idx="3">
                  <c:v>7.3490813648293948E-2</c:v>
                </c:pt>
                <c:pt idx="4">
                  <c:v>7.0129870129870014E-2</c:v>
                </c:pt>
                <c:pt idx="5">
                  <c:v>5.2181351582549294E-2</c:v>
                </c:pt>
                <c:pt idx="6">
                  <c:v>7.0815450643776909E-2</c:v>
                </c:pt>
                <c:pt idx="7">
                  <c:v>8.9577950043066401E-2</c:v>
                </c:pt>
                <c:pt idx="8">
                  <c:v>8.6281276962899056E-2</c:v>
                </c:pt>
                <c:pt idx="9">
                  <c:v>9.3474426807760191E-2</c:v>
                </c:pt>
                <c:pt idx="10">
                  <c:v>7.4439461883408081E-2</c:v>
                </c:pt>
                <c:pt idx="11">
                  <c:v>9.7951914514692748E-2</c:v>
                </c:pt>
                <c:pt idx="12">
                  <c:v>0.14672489082969445</c:v>
                </c:pt>
              </c:numCache>
            </c:numRef>
          </c:val>
          <c:extLst>
            <c:ext xmlns:c16="http://schemas.microsoft.com/office/drawing/2014/chart" uri="{C3380CC4-5D6E-409C-BE32-E72D297353CC}">
              <c16:uniqueId val="{00000002-60A1-41B2-85F7-E6E5491E7A38}"/>
            </c:ext>
          </c:extLst>
        </c:ser>
        <c:dLbls>
          <c:showLegendKey val="0"/>
          <c:showVal val="0"/>
          <c:showCatName val="0"/>
          <c:showSerName val="0"/>
          <c:showPercent val="0"/>
          <c:showBubbleSize val="0"/>
        </c:dLbls>
        <c:gapWidth val="219"/>
        <c:overlap val="-23"/>
        <c:axId val="714532111"/>
        <c:axId val="1020150815"/>
      </c:barChart>
      <c:catAx>
        <c:axId val="714532111"/>
        <c:scaling>
          <c:orientation val="minMax"/>
        </c:scaling>
        <c:delete val="0"/>
        <c:axPos val="b"/>
        <c:numFmt formatCode="General" sourceLinked="1"/>
        <c:majorTickMark val="none"/>
        <c:minorTickMark val="none"/>
        <c:tickLblPos val="low"/>
        <c:spPr>
          <a:noFill/>
          <a:ln w="9525" cap="flat" cmpd="sng" algn="ctr">
            <a:no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Open Sans"/>
                <a:ea typeface="+mn-ea"/>
                <a:cs typeface="+mn-cs"/>
              </a:defRPr>
            </a:pPr>
            <a:endParaRPr lang="es-ES"/>
          </a:p>
        </c:txPr>
        <c:crossAx val="1020150815"/>
        <c:crosses val="autoZero"/>
        <c:auto val="1"/>
        <c:lblAlgn val="ctr"/>
        <c:lblOffset val="100"/>
        <c:noMultiLvlLbl val="0"/>
      </c:catAx>
      <c:valAx>
        <c:axId val="1020150815"/>
        <c:scaling>
          <c:orientation val="minMax"/>
        </c:scaling>
        <c:delete val="1"/>
        <c:axPos val="l"/>
        <c:numFmt formatCode="0.0%" sourceLinked="1"/>
        <c:majorTickMark val="none"/>
        <c:minorTickMark val="none"/>
        <c:tickLblPos val="nextTo"/>
        <c:crossAx val="714532111"/>
        <c:crosses val="autoZero"/>
        <c:crossBetween val="between"/>
      </c:valAx>
      <c:spPr>
        <a:noFill/>
        <a:ln>
          <a:noFill/>
        </a:ln>
        <a:effectLst/>
      </c:spPr>
    </c:plotArea>
    <c:legend>
      <c:legendPos val="r"/>
      <c:legendEntry>
        <c:idx val="0"/>
        <c:txPr>
          <a:bodyPr rot="0" spcFirstLastPara="1" vertOverflow="ellipsis" vert="horz" wrap="square" anchor="ctr" anchorCtr="1"/>
          <a:lstStyle/>
          <a:p>
            <a:pPr>
              <a:defRPr sz="800" b="0" i="0" u="none" strike="noStrike" kern="1200" baseline="0">
                <a:solidFill>
                  <a:schemeClr val="tx1">
                    <a:lumMod val="65000"/>
                    <a:lumOff val="35000"/>
                  </a:schemeClr>
                </a:solidFill>
                <a:latin typeface="Open Sans"/>
                <a:ea typeface="+mn-ea"/>
                <a:cs typeface="+mn-cs"/>
              </a:defRPr>
            </a:pPr>
            <a:endParaRPr lang="es-ES"/>
          </a:p>
        </c:txPr>
      </c:legendEntry>
      <c:layout>
        <c:manualLayout>
          <c:xMode val="edge"/>
          <c:yMode val="edge"/>
          <c:x val="8.1070809443353917E-2"/>
          <c:y val="0.90818309181362333"/>
          <c:w val="0.84466034053435624"/>
          <c:h val="8.9817520266249257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Open Sans"/>
              <a:ea typeface="+mn-ea"/>
              <a:cs typeface="+mn-cs"/>
            </a:defRPr>
          </a:pPr>
          <a:endParaRPr lang="es-ES"/>
        </a:p>
      </c:txPr>
    </c:legend>
    <c:plotVisOnly val="1"/>
    <c:dispBlanksAs val="gap"/>
    <c:showDLblsOverMax val="0"/>
    <c:extLst/>
  </c:chart>
  <c:spPr>
    <a:solidFill>
      <a:schemeClr val="bg1"/>
    </a:solidFill>
    <a:ln w="9525" cap="flat" cmpd="sng" algn="ctr">
      <a:noFill/>
      <a:round/>
    </a:ln>
    <a:effectLst/>
  </c:spPr>
  <c:txPr>
    <a:bodyPr/>
    <a:lstStyle/>
    <a:p>
      <a:pPr>
        <a:defRPr sz="800" b="1">
          <a:latin typeface="Open Sans"/>
        </a:defRPr>
      </a:pPr>
      <a:endParaRPr lang="es-ES"/>
    </a:p>
  </c:txPr>
  <c:externalData r:id="rId4">
    <c:autoUpdate val="0"/>
  </c:externalData>
  <c:userShapes r:id="rId5"/>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0.04377</cdr:x>
      <cdr:y>0.58711</cdr:y>
    </cdr:from>
    <cdr:to>
      <cdr:x>0.95221</cdr:x>
      <cdr:y>0.58711</cdr:y>
    </cdr:to>
    <cdr:cxnSp macro="">
      <cdr:nvCxnSpPr>
        <cdr:cNvPr id="6" name="Conector recto 5">
          <a:extLst xmlns:a="http://schemas.openxmlformats.org/drawingml/2006/main">
            <a:ext uri="{FF2B5EF4-FFF2-40B4-BE49-F238E27FC236}">
              <a16:creationId xmlns:a16="http://schemas.microsoft.com/office/drawing/2014/main" id="{95FDED51-2779-4F3D-84FE-1C764C29DBAA}"/>
            </a:ext>
          </a:extLst>
        </cdr:cNvPr>
        <cdr:cNvCxnSpPr/>
      </cdr:nvCxnSpPr>
      <cdr:spPr>
        <a:xfrm xmlns:a="http://schemas.openxmlformats.org/drawingml/2006/main">
          <a:off x="232185" y="1795612"/>
          <a:ext cx="4818644" cy="0"/>
        </a:xfrm>
        <a:prstGeom xmlns:a="http://schemas.openxmlformats.org/drawingml/2006/main" prst="line">
          <a:avLst/>
        </a:prstGeom>
        <a:ln xmlns:a="http://schemas.openxmlformats.org/drawingml/2006/main" w="9525" cmpd="sng">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9I5V736S9QswniU9Y6JI/TSEeQ==">CgMxLjAyCGguZ2pkZ3hzMgloLjJzOGV5bzE4AHIhMWdudHZEVFZkUTUwWVlEYU9TWms1SDdpaThYNzZKckFK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2024-05-29T14:05:00Z</dcterms:created>
  <dc:creator>Patricia Ranilla Checa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2024-02-06T12:20:30Z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32155b42-5118-4e37-94f2-fef8b188b727</vt:lpwstr>
  </property>
  <property fmtid="{D5CDD505-2E9C-101B-9397-08002B2CF9AE}" pid="7" name="MSIP_Label_defa4170-0d19-0005-0004-bc88714345d2_ActionId">
    <vt:lpwstr>572215ff-0998-41f6-b2ff-fd247d42801c</vt:lpwstr>
  </property>
  <property fmtid="{D5CDD505-2E9C-101B-9397-08002B2CF9AE}" pid="8" name="MSIP_Label_defa4170-0d19-0005-0004-bc88714345d2_ContentBits">
    <vt:lpwstr>0</vt:lpwstr>
  </property>
</Properties>
</file>