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13BC9" w14:textId="77777777" w:rsidR="006551E9" w:rsidRDefault="00000000">
      <w:r>
        <w:rPr>
          <w:noProof/>
        </w:rPr>
        <w:drawing>
          <wp:anchor distT="0" distB="0" distL="114300" distR="114300" simplePos="0" relativeHeight="251658240" behindDoc="0" locked="0" layoutInCell="1" hidden="0" allowOverlap="1" wp14:anchorId="67FD323B" wp14:editId="777CE516">
            <wp:simplePos x="0" y="0"/>
            <wp:positionH relativeFrom="column">
              <wp:posOffset>-1080116</wp:posOffset>
            </wp:positionH>
            <wp:positionV relativeFrom="paragraph">
              <wp:posOffset>-654665</wp:posOffset>
            </wp:positionV>
            <wp:extent cx="7581265" cy="1019175"/>
            <wp:effectExtent l="0" t="0" r="0" b="0"/>
            <wp:wrapNone/>
            <wp:docPr id="20668166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92F6EC0" w14:textId="77777777" w:rsidR="006551E9" w:rsidRDefault="006551E9">
      <w:pPr>
        <w:jc w:val="right"/>
        <w:rPr>
          <w:rFonts w:ascii="National" w:eastAsia="National" w:hAnsi="National" w:cs="National"/>
          <w:color w:val="303AB2"/>
          <w:sz w:val="36"/>
          <w:szCs w:val="36"/>
        </w:rPr>
      </w:pPr>
    </w:p>
    <w:p w14:paraId="3BB8A8C5" w14:textId="77777777" w:rsidR="006551E9" w:rsidRDefault="006551E9">
      <w:pPr>
        <w:rPr>
          <w:rFonts w:ascii="National" w:eastAsia="National" w:hAnsi="National" w:cs="National"/>
          <w:color w:val="303AB2"/>
          <w:sz w:val="18"/>
          <w:szCs w:val="18"/>
        </w:rPr>
      </w:pPr>
    </w:p>
    <w:p w14:paraId="362F726C" w14:textId="77777777" w:rsidR="006551E9" w:rsidRDefault="00000000">
      <w:pPr>
        <w:spacing w:line="276" w:lineRule="auto"/>
        <w:jc w:val="center"/>
        <w:rPr>
          <w:rFonts w:ascii="National" w:eastAsia="National" w:hAnsi="National" w:cs="National"/>
          <w:b/>
          <w:color w:val="1DBDC5"/>
          <w:sz w:val="28"/>
          <w:szCs w:val="28"/>
        </w:rPr>
      </w:pPr>
      <w:r>
        <w:rPr>
          <w:rFonts w:ascii="National" w:eastAsia="National" w:hAnsi="National" w:cs="National"/>
          <w:b/>
          <w:color w:val="1DBDC5"/>
          <w:sz w:val="28"/>
          <w:szCs w:val="28"/>
        </w:rPr>
        <w:t xml:space="preserve">CONOCIMIENTO SOBRE LA LEY DE VIVIENDA </w:t>
      </w:r>
    </w:p>
    <w:p w14:paraId="55455F71" w14:textId="77777777" w:rsidR="006551E9" w:rsidRPr="0014590B" w:rsidRDefault="00000000">
      <w:pPr>
        <w:jc w:val="center"/>
        <w:rPr>
          <w:rFonts w:ascii="Open Sans" w:eastAsia="Open Sans" w:hAnsi="Open Sans" w:cs="Open Sans"/>
          <w:color w:val="303AB2"/>
          <w:sz w:val="18"/>
          <w:szCs w:val="18"/>
        </w:rPr>
      </w:pPr>
      <w:r w:rsidRPr="0014590B">
        <w:rPr>
          <w:rFonts w:ascii="National" w:eastAsia="National" w:hAnsi="National" w:cs="National"/>
          <w:b/>
          <w:color w:val="303AB2"/>
          <w:sz w:val="46"/>
          <w:szCs w:val="46"/>
        </w:rPr>
        <w:t>El 42% de los españoles que conoce la ley de vivienda cree que dificulta el acceso al alquiler</w:t>
      </w:r>
    </w:p>
    <w:p w14:paraId="6D6D8E70" w14:textId="77777777" w:rsidR="006551E9" w:rsidRDefault="006551E9" w:rsidP="0014590B">
      <w:pPr>
        <w:spacing w:line="276" w:lineRule="auto"/>
        <w:jc w:val="both"/>
        <w:rPr>
          <w:rFonts w:ascii="Open Sans" w:eastAsia="Open Sans" w:hAnsi="Open Sans" w:cs="Open Sans"/>
        </w:rPr>
      </w:pPr>
    </w:p>
    <w:p w14:paraId="1EFE3DD9" w14:textId="77777777" w:rsidR="006551E9"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Se incrementa el conocimiento general de la ley de vivienda y ahora la mitad de la población ya la conoce (50%), cuatro puntos porcentuales más</w:t>
      </w:r>
    </w:p>
    <w:p w14:paraId="1A977BAF" w14:textId="77777777" w:rsidR="006551E9"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En el mercado de alquiler son los arrendadores los que tienen un mayor conocimiento de la nueva ley, alcanzando el 70%</w:t>
      </w:r>
    </w:p>
    <w:p w14:paraId="4070B7D9" w14:textId="77777777" w:rsidR="006551E9"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La creciente sensación de que la ley complica el alquiler como inquilino se observa especialmente entre los segmentos más jóvenes</w:t>
      </w:r>
    </w:p>
    <w:p w14:paraId="3F49E06A" w14:textId="77777777" w:rsidR="006551E9"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 xml:space="preserve">Todos los colectivos del mercado son pesimistas respecto al impacto que tienen en el mercado las distintas medidas de la norma </w:t>
      </w:r>
    </w:p>
    <w:p w14:paraId="1499AB15" w14:textId="77777777" w:rsidR="006551E9" w:rsidRDefault="006551E9">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66450E35" w14:textId="77777777" w:rsidR="006551E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17 de diciembre de 2024</w:t>
      </w:r>
    </w:p>
    <w:p w14:paraId="023EEF55" w14:textId="77777777" w:rsidR="006551E9" w:rsidRDefault="006551E9">
      <w:pPr>
        <w:pBdr>
          <w:top w:val="nil"/>
          <w:left w:val="nil"/>
          <w:bottom w:val="nil"/>
          <w:right w:val="nil"/>
          <w:between w:val="nil"/>
        </w:pBdr>
        <w:spacing w:line="276" w:lineRule="auto"/>
        <w:jc w:val="both"/>
        <w:rPr>
          <w:rFonts w:ascii="Open Sans" w:eastAsia="Open Sans" w:hAnsi="Open Sans" w:cs="Open Sans"/>
        </w:rPr>
      </w:pPr>
    </w:p>
    <w:p w14:paraId="43704ED2" w14:textId="77777777" w:rsidR="006551E9" w:rsidRDefault="00000000">
      <w:pPr>
        <w:spacing w:line="276" w:lineRule="auto"/>
        <w:jc w:val="both"/>
        <w:rPr>
          <w:rFonts w:ascii="Open Sans" w:eastAsia="Open Sans" w:hAnsi="Open Sans" w:cs="Open Sans"/>
        </w:rPr>
      </w:pPr>
      <w:r>
        <w:rPr>
          <w:rFonts w:ascii="Open Sans" w:eastAsia="Open Sans" w:hAnsi="Open Sans" w:cs="Open Sans"/>
        </w:rPr>
        <w:t xml:space="preserve">Se incrementa el conocimiento general de la ley de vivienda entre la población española, de manera que ya alcanza a la mitad de la población, un 50%. Este porcentaje está cuatro puntos por encima del 46% registrado en febrero de 2024.  No obstante, el 42% reconoce que su información acerca de la misma es escasa mientras que únicamente el 8% responde afirmativamente con rotundidad que posee un gran conocimiento de la norma. Así se desprende del último análisis de </w:t>
      </w:r>
      <w:r>
        <w:rPr>
          <w:rFonts w:ascii="Open Sans" w:eastAsia="Open Sans" w:hAnsi="Open Sans" w:cs="Open Sans"/>
          <w:b/>
        </w:rPr>
        <w:t xml:space="preserve">Fotocasa </w:t>
      </w:r>
      <w:proofErr w:type="spellStart"/>
      <w:r>
        <w:rPr>
          <w:rFonts w:ascii="Open Sans" w:eastAsia="Open Sans" w:hAnsi="Open Sans" w:cs="Open Sans"/>
          <w:b/>
        </w:rPr>
        <w:t>Research</w:t>
      </w:r>
      <w:proofErr w:type="spellEnd"/>
      <w:r>
        <w:rPr>
          <w:rFonts w:ascii="Open Sans" w:eastAsia="Open Sans" w:hAnsi="Open Sans" w:cs="Open Sans"/>
        </w:rPr>
        <w:t xml:space="preserve"> “</w:t>
      </w:r>
      <w:r>
        <w:rPr>
          <w:rFonts w:ascii="Open Sans" w:eastAsia="Open Sans" w:hAnsi="Open Sans" w:cs="Open Sans"/>
          <w:b/>
          <w:i/>
        </w:rPr>
        <w:t>Conocimiento de la ley de vivienda entre los españoles</w:t>
      </w:r>
      <w:r>
        <w:rPr>
          <w:rFonts w:ascii="Open Sans" w:eastAsia="Open Sans" w:hAnsi="Open Sans" w:cs="Open Sans"/>
        </w:rPr>
        <w:t xml:space="preserve">”, que realiza cada año para ver qué opinión hay sobre la ley y si va ganando más conocimiento entre la población. </w:t>
      </w:r>
    </w:p>
    <w:p w14:paraId="57292342" w14:textId="77777777" w:rsidR="0014590B" w:rsidRDefault="0014590B">
      <w:pPr>
        <w:spacing w:line="276" w:lineRule="auto"/>
        <w:jc w:val="both"/>
        <w:rPr>
          <w:rFonts w:ascii="Open Sans" w:eastAsia="Open Sans" w:hAnsi="Open Sans" w:cs="Open Sans"/>
        </w:rPr>
      </w:pPr>
    </w:p>
    <w:p w14:paraId="4DBCE13E" w14:textId="77777777" w:rsidR="0014590B" w:rsidRDefault="0014590B" w:rsidP="0014590B">
      <w:pPr>
        <w:spacing w:line="276" w:lineRule="auto"/>
        <w:jc w:val="both"/>
        <w:rPr>
          <w:rFonts w:ascii="Open Sans" w:eastAsia="Open Sans" w:hAnsi="Open Sans" w:cs="Open Sans"/>
          <w:b/>
          <w:bCs/>
        </w:rPr>
      </w:pPr>
      <w:r>
        <w:rPr>
          <w:rFonts w:ascii="Open Sans" w:eastAsia="Open Sans" w:hAnsi="Open Sans" w:cs="Open Sans"/>
        </w:rPr>
        <w:t xml:space="preserve">“Es positivo que el conocimiento de la norma haya alcanzado a la mitad de la población activa en el sector, ya que permite a los ciudadanos tomar decisiones más informadas en relación con el mercado. Sin embargo, la ley no ha logrado generar confianza entre quienes interactúan con ella, especialmente entre los jóvenes y los arrendadores, que muestran descontento. Quienes conocen la norma, perciben que dificulta el acceso al alquiler. En el último año y medio en el que la ley ha estado en vigor, se ha generado un clima de inseguridad jurídica y desconfianza, además de aumentos de precios, escasez de oferta y altos </w:t>
      </w:r>
      <w:r>
        <w:rPr>
          <w:rFonts w:ascii="Open Sans" w:eastAsia="Open Sans" w:hAnsi="Open Sans" w:cs="Open Sans"/>
        </w:rPr>
        <w:lastRenderedPageBreak/>
        <w:t xml:space="preserve">requisitos de entrada, expulsando a los colectivos con rentas más bajas”, </w:t>
      </w:r>
      <w:r w:rsidRPr="0014590B">
        <w:rPr>
          <w:rFonts w:ascii="Open Sans" w:eastAsia="Open Sans" w:hAnsi="Open Sans" w:cs="Open Sans"/>
          <w:b/>
          <w:bCs/>
        </w:rPr>
        <w:t xml:space="preserve">comenta María Matos, directora de Estudios y portavoz de </w:t>
      </w:r>
      <w:hyperlink r:id="rId9">
        <w:r w:rsidRPr="0014590B">
          <w:rPr>
            <w:rFonts w:ascii="Open Sans" w:eastAsia="Open Sans" w:hAnsi="Open Sans" w:cs="Open Sans"/>
            <w:b/>
            <w:bCs/>
            <w:color w:val="1155CC"/>
            <w:u w:val="single"/>
          </w:rPr>
          <w:t>Fotocasa</w:t>
        </w:r>
      </w:hyperlink>
      <w:r w:rsidRPr="0014590B">
        <w:rPr>
          <w:rFonts w:ascii="Open Sans" w:eastAsia="Open Sans" w:hAnsi="Open Sans" w:cs="Open Sans"/>
          <w:b/>
          <w:bCs/>
        </w:rPr>
        <w:t xml:space="preserve">. </w:t>
      </w:r>
    </w:p>
    <w:p w14:paraId="18BBDDDF" w14:textId="77777777" w:rsidR="0014590B" w:rsidRPr="0014590B" w:rsidRDefault="0014590B" w:rsidP="0014590B">
      <w:pPr>
        <w:spacing w:line="276" w:lineRule="auto"/>
        <w:jc w:val="both"/>
        <w:rPr>
          <w:rFonts w:ascii="Open Sans Light" w:eastAsia="Open Sans Light" w:hAnsi="Open Sans Light" w:cs="Open Sans Light"/>
          <w:b/>
          <w:bCs/>
          <w:color w:val="303AB2"/>
        </w:rPr>
      </w:pPr>
    </w:p>
    <w:p w14:paraId="2F869CE2" w14:textId="77777777" w:rsidR="006551E9" w:rsidRDefault="00000000">
      <w:pPr>
        <w:spacing w:line="276" w:lineRule="auto"/>
        <w:jc w:val="center"/>
        <w:rPr>
          <w:rFonts w:ascii="Open Sans" w:eastAsia="Open Sans" w:hAnsi="Open Sans" w:cs="Open Sans"/>
        </w:rPr>
      </w:pPr>
      <w:r>
        <w:rPr>
          <w:rFonts w:ascii="Open Sans" w:eastAsia="Open Sans" w:hAnsi="Open Sans" w:cs="Open Sans"/>
          <w:noProof/>
        </w:rPr>
        <w:drawing>
          <wp:inline distT="0" distB="0" distL="0" distR="0" wp14:anchorId="0D6D6D2A" wp14:editId="3A019496">
            <wp:extent cx="5809682" cy="3485040"/>
            <wp:effectExtent l="0" t="0" r="0" b="0"/>
            <wp:docPr id="2066816626" name="image4.jp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Gráfico, Gráfico circular&#10;&#10;Descripción generada automáticamente"/>
                    <pic:cNvPicPr preferRelativeResize="0"/>
                  </pic:nvPicPr>
                  <pic:blipFill>
                    <a:blip r:embed="rId10"/>
                    <a:srcRect/>
                    <a:stretch>
                      <a:fillRect/>
                    </a:stretch>
                  </pic:blipFill>
                  <pic:spPr>
                    <a:xfrm>
                      <a:off x="0" y="0"/>
                      <a:ext cx="5809682" cy="3485040"/>
                    </a:xfrm>
                    <a:prstGeom prst="rect">
                      <a:avLst/>
                    </a:prstGeom>
                    <a:ln/>
                  </pic:spPr>
                </pic:pic>
              </a:graphicData>
            </a:graphic>
          </wp:inline>
        </w:drawing>
      </w:r>
    </w:p>
    <w:p w14:paraId="5A3D4F2F" w14:textId="77777777" w:rsidR="006551E9" w:rsidRDefault="006551E9">
      <w:pPr>
        <w:spacing w:line="276" w:lineRule="auto"/>
        <w:jc w:val="both"/>
        <w:rPr>
          <w:rFonts w:ascii="Open Sans" w:eastAsia="Open Sans" w:hAnsi="Open Sans" w:cs="Open Sans"/>
        </w:rPr>
      </w:pPr>
    </w:p>
    <w:p w14:paraId="766F5E61" w14:textId="77777777" w:rsidR="006551E9" w:rsidRDefault="006551E9">
      <w:pPr>
        <w:spacing w:line="276" w:lineRule="auto"/>
        <w:jc w:val="both"/>
        <w:rPr>
          <w:rFonts w:ascii="Open Sans Light" w:eastAsia="Open Sans Light" w:hAnsi="Open Sans Light" w:cs="Open Sans Light"/>
          <w:b/>
          <w:color w:val="303AB2"/>
        </w:rPr>
      </w:pPr>
    </w:p>
    <w:p w14:paraId="2984AF24" w14:textId="77777777" w:rsidR="006551E9" w:rsidRDefault="00000000">
      <w:p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Crecen las opiniones de impacto negativo de la ley</w:t>
      </w:r>
    </w:p>
    <w:p w14:paraId="623FD450" w14:textId="77777777" w:rsidR="006551E9" w:rsidRDefault="006551E9">
      <w:pPr>
        <w:spacing w:line="276" w:lineRule="auto"/>
        <w:jc w:val="both"/>
        <w:rPr>
          <w:rFonts w:ascii="Open Sans" w:eastAsia="Open Sans" w:hAnsi="Open Sans" w:cs="Open Sans"/>
        </w:rPr>
      </w:pPr>
    </w:p>
    <w:p w14:paraId="45C0F1E8" w14:textId="77777777" w:rsidR="006551E9" w:rsidRDefault="00000000">
      <w:pPr>
        <w:spacing w:line="276" w:lineRule="auto"/>
        <w:jc w:val="both"/>
        <w:rPr>
          <w:rFonts w:ascii="Open Sans" w:eastAsia="Open Sans" w:hAnsi="Open Sans" w:cs="Open Sans"/>
        </w:rPr>
      </w:pPr>
      <w:r>
        <w:rPr>
          <w:rFonts w:ascii="Open Sans" w:eastAsia="Open Sans" w:hAnsi="Open Sans" w:cs="Open Sans"/>
        </w:rPr>
        <w:t xml:space="preserve">En cuanto a la percepción del efecto que la norma tiene sobre el mercado, </w:t>
      </w:r>
      <w:r>
        <w:rPr>
          <w:rFonts w:ascii="Open Sans" w:eastAsia="Open Sans" w:hAnsi="Open Sans" w:cs="Open Sans"/>
          <w:b/>
        </w:rPr>
        <w:t>aumentan las sensaciones negativas entre los encuestados que afirman conocer la ley</w:t>
      </w:r>
      <w:r>
        <w:rPr>
          <w:rFonts w:ascii="Open Sans" w:eastAsia="Open Sans" w:hAnsi="Open Sans" w:cs="Open Sans"/>
        </w:rPr>
        <w:t>. Y es que, cuando se trata de valorar si con ella es más fácil o difícil realizar determinadas acciones en el mercado, la mayoría se decanta por el segundo supuesto y, además de forma creciente respecto a los análisis anteriores.</w:t>
      </w:r>
    </w:p>
    <w:p w14:paraId="160D19E4" w14:textId="77777777" w:rsidR="006551E9" w:rsidRDefault="006551E9">
      <w:pPr>
        <w:spacing w:line="276" w:lineRule="auto"/>
        <w:jc w:val="both"/>
        <w:rPr>
          <w:rFonts w:ascii="Open Sans" w:eastAsia="Open Sans" w:hAnsi="Open Sans" w:cs="Open Sans"/>
        </w:rPr>
      </w:pPr>
    </w:p>
    <w:p w14:paraId="0FA6F3AF" w14:textId="77777777" w:rsidR="006551E9" w:rsidRDefault="00000000">
      <w:pPr>
        <w:spacing w:line="276" w:lineRule="auto"/>
        <w:jc w:val="both"/>
        <w:rPr>
          <w:rFonts w:ascii="Open Sans" w:eastAsia="Open Sans" w:hAnsi="Open Sans" w:cs="Open Sans"/>
          <w:b/>
        </w:rPr>
      </w:pPr>
      <w:r>
        <w:rPr>
          <w:rFonts w:ascii="Open Sans" w:eastAsia="Open Sans" w:hAnsi="Open Sans" w:cs="Open Sans"/>
        </w:rPr>
        <w:t>Con respecto al</w:t>
      </w:r>
      <w:r>
        <w:rPr>
          <w:rFonts w:ascii="Open Sans" w:eastAsia="Open Sans" w:hAnsi="Open Sans" w:cs="Open Sans"/>
          <w:b/>
        </w:rPr>
        <w:t xml:space="preserve"> mercado del alquiler</w:t>
      </w:r>
      <w:r>
        <w:rPr>
          <w:rFonts w:ascii="Open Sans" w:eastAsia="Open Sans" w:hAnsi="Open Sans" w:cs="Open Sans"/>
        </w:rPr>
        <w:t xml:space="preserve"> sólo el 16% considera que con la regulación es más fácil alquilar una vivienda como inquilino, cuando en febrero de 2024 eran el 22%. Dado que estamos hablando del segmento del mercado hacia el que la norma se dirige fundamentalmente, este empeoramiento de las expectativas resulta especialmente significativo. Consecuentemente, la creencia general (42%, siete puntos más que en febrero) es que </w:t>
      </w:r>
      <w:r>
        <w:rPr>
          <w:rFonts w:ascii="Open Sans" w:eastAsia="Open Sans" w:hAnsi="Open Sans" w:cs="Open Sans"/>
          <w:b/>
        </w:rPr>
        <w:t>la ley de la vivienda complica los deseos de las personas que buscan alquilar un inmueble para residir en él.</w:t>
      </w:r>
    </w:p>
    <w:p w14:paraId="12DF285D" w14:textId="77777777" w:rsidR="006551E9" w:rsidRDefault="006551E9">
      <w:pPr>
        <w:spacing w:line="276" w:lineRule="auto"/>
        <w:jc w:val="both"/>
        <w:rPr>
          <w:rFonts w:ascii="Open Sans" w:eastAsia="Open Sans" w:hAnsi="Open Sans" w:cs="Open Sans"/>
        </w:rPr>
      </w:pPr>
    </w:p>
    <w:p w14:paraId="161C3C92" w14:textId="77777777" w:rsidR="006551E9"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Además, </w:t>
      </w:r>
      <w:r>
        <w:rPr>
          <w:rFonts w:ascii="Open Sans" w:eastAsia="Open Sans" w:hAnsi="Open Sans" w:cs="Open Sans"/>
          <w:b/>
        </w:rPr>
        <w:t>la creciente sensación de que la ley complica el alquiler como inquilino se observa especialmente entre los segmentos más jóvenes</w:t>
      </w:r>
      <w:r>
        <w:rPr>
          <w:rFonts w:ascii="Open Sans" w:eastAsia="Open Sans" w:hAnsi="Open Sans" w:cs="Open Sans"/>
        </w:rPr>
        <w:t>, tanto en los que cuentan entre 18 y 24 años (del 30% al 35%) como en el segmento inmediatamente superior (25-34 años), que lo consideran así en el 39% de los casos frene al 34% de seis meses antes. Una diferencia de cinco puntos porcentuales en ambos casos. Curiosamente, son aún más los mayores de 55 que comparten esta idea: 47%, once puntos más que el 36% de febrero de 2024.  Desde el lado del alquiler de una vivienda como arrendador también resulta abrumadoramente mayoritaria y creciente (45%, frente al 39% de febrero) la percepción negativa.</w:t>
      </w:r>
    </w:p>
    <w:p w14:paraId="544C7D23" w14:textId="77777777" w:rsidR="006551E9"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69AE1E66" wp14:editId="57D11C13">
            <wp:extent cx="5760720" cy="3455670"/>
            <wp:effectExtent l="0" t="0" r="0" b="0"/>
            <wp:docPr id="2066816625" name="image5.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Gráfico, Gráfico de barras&#10;&#10;Descripción generada automáticamente"/>
                    <pic:cNvPicPr preferRelativeResize="0"/>
                  </pic:nvPicPr>
                  <pic:blipFill>
                    <a:blip r:embed="rId11"/>
                    <a:srcRect/>
                    <a:stretch>
                      <a:fillRect/>
                    </a:stretch>
                  </pic:blipFill>
                  <pic:spPr>
                    <a:xfrm>
                      <a:off x="0" y="0"/>
                      <a:ext cx="5760720" cy="3455670"/>
                    </a:xfrm>
                    <a:prstGeom prst="rect">
                      <a:avLst/>
                    </a:prstGeom>
                    <a:ln/>
                  </pic:spPr>
                </pic:pic>
              </a:graphicData>
            </a:graphic>
          </wp:inline>
        </w:drawing>
      </w:r>
    </w:p>
    <w:p w14:paraId="53853D83" w14:textId="77777777" w:rsidR="0014590B" w:rsidRDefault="0014590B">
      <w:pPr>
        <w:spacing w:line="276" w:lineRule="auto"/>
        <w:jc w:val="both"/>
        <w:rPr>
          <w:rFonts w:ascii="Open Sans" w:eastAsia="Open Sans" w:hAnsi="Open Sans" w:cs="Open Sans"/>
        </w:rPr>
      </w:pPr>
    </w:p>
    <w:p w14:paraId="3FB1C087" w14:textId="77777777" w:rsidR="0014590B" w:rsidRDefault="0014590B">
      <w:pPr>
        <w:spacing w:line="276" w:lineRule="auto"/>
        <w:jc w:val="both"/>
        <w:rPr>
          <w:rFonts w:ascii="Open Sans" w:eastAsia="Open Sans" w:hAnsi="Open Sans" w:cs="Open Sans"/>
        </w:rPr>
      </w:pPr>
    </w:p>
    <w:p w14:paraId="1569883A" w14:textId="3995B79C" w:rsidR="006551E9" w:rsidRDefault="00000000">
      <w:pPr>
        <w:spacing w:line="276" w:lineRule="auto"/>
        <w:jc w:val="both"/>
        <w:rPr>
          <w:rFonts w:ascii="Open Sans" w:eastAsia="Open Sans" w:hAnsi="Open Sans" w:cs="Open Sans"/>
        </w:rPr>
      </w:pPr>
      <w:r>
        <w:rPr>
          <w:rFonts w:ascii="Open Sans" w:eastAsia="Open Sans" w:hAnsi="Open Sans" w:cs="Open Sans"/>
        </w:rPr>
        <w:t xml:space="preserve">Así, </w:t>
      </w:r>
      <w:r>
        <w:rPr>
          <w:rFonts w:ascii="Open Sans" w:eastAsia="Open Sans" w:hAnsi="Open Sans" w:cs="Open Sans"/>
          <w:b/>
        </w:rPr>
        <w:t>con respecto a la compra de un inmueble</w:t>
      </w:r>
      <w:r>
        <w:rPr>
          <w:rFonts w:ascii="Open Sans" w:eastAsia="Open Sans" w:hAnsi="Open Sans" w:cs="Open Sans"/>
        </w:rPr>
        <w:t xml:space="preserve">, el 39% (seis puntos porcentuales más que seis meses antes), consideran que la norma lo pone más difícil. Frente a estos, únicamente un 9% (en febrero eran el 14%) opinan que la situación es ahora más fácil. </w:t>
      </w:r>
    </w:p>
    <w:p w14:paraId="0C9BCAC0" w14:textId="77777777" w:rsidR="006551E9" w:rsidRDefault="00000000">
      <w:pPr>
        <w:spacing w:line="276" w:lineRule="auto"/>
        <w:jc w:val="center"/>
        <w:rPr>
          <w:rFonts w:ascii="Open Sans" w:eastAsia="Open Sans" w:hAnsi="Open Sans" w:cs="Open Sans"/>
        </w:rPr>
      </w:pPr>
      <w:r>
        <w:rPr>
          <w:rFonts w:ascii="Open Sans" w:eastAsia="Open Sans" w:hAnsi="Open Sans" w:cs="Open Sans"/>
          <w:noProof/>
        </w:rPr>
        <w:lastRenderedPageBreak/>
        <w:drawing>
          <wp:inline distT="0" distB="0" distL="0" distR="0" wp14:anchorId="0C2EE9C2" wp14:editId="7ECA7DAE">
            <wp:extent cx="5369786" cy="3221162"/>
            <wp:effectExtent l="0" t="0" r="0" b="0"/>
            <wp:docPr id="2066816628" name="image3.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Gráfico, Gráfico de barras&#10;&#10;Descripción generada automáticamente"/>
                    <pic:cNvPicPr preferRelativeResize="0"/>
                  </pic:nvPicPr>
                  <pic:blipFill>
                    <a:blip r:embed="rId12"/>
                    <a:srcRect/>
                    <a:stretch>
                      <a:fillRect/>
                    </a:stretch>
                  </pic:blipFill>
                  <pic:spPr>
                    <a:xfrm>
                      <a:off x="0" y="0"/>
                      <a:ext cx="5369786" cy="3221162"/>
                    </a:xfrm>
                    <a:prstGeom prst="rect">
                      <a:avLst/>
                    </a:prstGeom>
                    <a:ln/>
                  </pic:spPr>
                </pic:pic>
              </a:graphicData>
            </a:graphic>
          </wp:inline>
        </w:drawing>
      </w:r>
    </w:p>
    <w:p w14:paraId="4FBDEBA2" w14:textId="77777777" w:rsidR="006551E9" w:rsidRDefault="00000000">
      <w:pPr>
        <w:spacing w:line="276" w:lineRule="auto"/>
        <w:jc w:val="both"/>
        <w:rPr>
          <w:rFonts w:ascii="Open Sans" w:eastAsia="Open Sans" w:hAnsi="Open Sans" w:cs="Open Sans"/>
        </w:rPr>
      </w:pPr>
      <w:r>
        <w:rPr>
          <w:rFonts w:ascii="Open Sans" w:eastAsia="Open Sans" w:hAnsi="Open Sans" w:cs="Open Sans"/>
          <w:b/>
        </w:rPr>
        <w:t>En cuanto a la venta de una vivienda</w:t>
      </w:r>
      <w:r>
        <w:rPr>
          <w:rFonts w:ascii="Open Sans" w:eastAsia="Open Sans" w:hAnsi="Open Sans" w:cs="Open Sans"/>
        </w:rPr>
        <w:t>, el 32% cree que la regulación complica las cosas (en la anterior encuesta este porcentaje era del 29%). También en este caso son muchos menos (12%, frente al 14 % de seis meses antes) los que consideran que la ley facilita esta operación.</w:t>
      </w:r>
    </w:p>
    <w:p w14:paraId="4405956B" w14:textId="77777777" w:rsidR="006551E9" w:rsidRDefault="00000000">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394483FB" wp14:editId="1488131F">
            <wp:extent cx="5760720" cy="3455670"/>
            <wp:effectExtent l="0" t="0" r="0" b="0"/>
            <wp:docPr id="2066816627" name="image6.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Gráfico, Gráfico de barras&#10;&#10;Descripción generada automáticamente"/>
                    <pic:cNvPicPr preferRelativeResize="0"/>
                  </pic:nvPicPr>
                  <pic:blipFill>
                    <a:blip r:embed="rId13"/>
                    <a:srcRect/>
                    <a:stretch>
                      <a:fillRect/>
                    </a:stretch>
                  </pic:blipFill>
                  <pic:spPr>
                    <a:xfrm>
                      <a:off x="0" y="0"/>
                      <a:ext cx="5760720" cy="3455670"/>
                    </a:xfrm>
                    <a:prstGeom prst="rect">
                      <a:avLst/>
                    </a:prstGeom>
                    <a:ln/>
                  </pic:spPr>
                </pic:pic>
              </a:graphicData>
            </a:graphic>
          </wp:inline>
        </w:drawing>
      </w:r>
    </w:p>
    <w:p w14:paraId="25421578" w14:textId="77777777" w:rsidR="006551E9" w:rsidRDefault="006551E9">
      <w:pPr>
        <w:spacing w:line="276" w:lineRule="auto"/>
        <w:jc w:val="both"/>
        <w:rPr>
          <w:rFonts w:ascii="Open Sans" w:eastAsia="Open Sans" w:hAnsi="Open Sans" w:cs="Open Sans"/>
        </w:rPr>
      </w:pPr>
    </w:p>
    <w:p w14:paraId="0AEF9E88" w14:textId="77777777" w:rsidR="0014590B" w:rsidRDefault="0014590B">
      <w:pPr>
        <w:spacing w:line="276" w:lineRule="auto"/>
        <w:jc w:val="right"/>
        <w:rPr>
          <w:rFonts w:ascii="Open Sans Light" w:eastAsia="Open Sans Light" w:hAnsi="Open Sans Light" w:cs="Open Sans Light"/>
          <w:b/>
          <w:color w:val="303AB2"/>
        </w:rPr>
      </w:pPr>
    </w:p>
    <w:p w14:paraId="4107C9D9" w14:textId="77777777" w:rsidR="0014590B" w:rsidRDefault="0014590B">
      <w:pPr>
        <w:spacing w:line="276" w:lineRule="auto"/>
        <w:jc w:val="right"/>
        <w:rPr>
          <w:rFonts w:ascii="Open Sans Light" w:eastAsia="Open Sans Light" w:hAnsi="Open Sans Light" w:cs="Open Sans Light"/>
          <w:b/>
          <w:color w:val="303AB2"/>
        </w:rPr>
      </w:pPr>
    </w:p>
    <w:p w14:paraId="7CC12786" w14:textId="77777777" w:rsidR="0014590B" w:rsidRDefault="0014590B">
      <w:pPr>
        <w:spacing w:line="276" w:lineRule="auto"/>
        <w:jc w:val="right"/>
        <w:rPr>
          <w:rFonts w:ascii="Open Sans Light" w:eastAsia="Open Sans Light" w:hAnsi="Open Sans Light" w:cs="Open Sans Light"/>
          <w:b/>
          <w:color w:val="303AB2"/>
        </w:rPr>
      </w:pPr>
    </w:p>
    <w:p w14:paraId="039B09ED" w14:textId="77777777" w:rsidR="0014590B" w:rsidRDefault="0014590B">
      <w:pPr>
        <w:spacing w:line="276" w:lineRule="auto"/>
        <w:jc w:val="right"/>
        <w:rPr>
          <w:rFonts w:ascii="Open Sans Light" w:eastAsia="Open Sans Light" w:hAnsi="Open Sans Light" w:cs="Open Sans Light"/>
          <w:b/>
          <w:color w:val="303AB2"/>
        </w:rPr>
      </w:pPr>
    </w:p>
    <w:p w14:paraId="733E7023" w14:textId="19163279" w:rsidR="006551E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3D60DCDC" w14:textId="0E3F2CF8" w:rsidR="006551E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805BE5C" w14:textId="77777777" w:rsidR="006551E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F64B27B" w14:textId="77777777" w:rsidR="006551E9"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751FD11A" w14:textId="77777777" w:rsidR="006551E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60A5CA07" w14:textId="77777777" w:rsidR="006551E9"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53446AD9" w14:textId="77777777" w:rsidR="006551E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2C3EDCA" w14:textId="77777777" w:rsidR="006551E9"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1860187" w14:textId="77777777" w:rsidR="006551E9"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7CF552C9" w14:textId="77777777" w:rsidR="006551E9" w:rsidRDefault="006551E9">
      <w:pPr>
        <w:spacing w:line="276" w:lineRule="auto"/>
        <w:jc w:val="right"/>
        <w:rPr>
          <w:rFonts w:ascii="Open Sans" w:eastAsia="Open Sans" w:hAnsi="Open Sans" w:cs="Open Sans"/>
        </w:rPr>
      </w:pPr>
    </w:p>
    <w:p w14:paraId="6A75E972" w14:textId="77777777" w:rsidR="006551E9" w:rsidRDefault="006551E9">
      <w:pPr>
        <w:spacing w:line="276" w:lineRule="auto"/>
        <w:jc w:val="right"/>
        <w:rPr>
          <w:rFonts w:ascii="Open Sans" w:eastAsia="Open Sans" w:hAnsi="Open Sans" w:cs="Open Sans"/>
        </w:rPr>
      </w:pPr>
    </w:p>
    <w:p w14:paraId="4889A124" w14:textId="77777777" w:rsidR="006551E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2F7BD0A" w14:textId="77777777" w:rsidR="006551E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51C161A" w14:textId="77777777" w:rsidR="006551E9"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3188CBBF" w14:textId="77777777" w:rsidR="006551E9"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6551E9">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D9EBA" w14:textId="77777777" w:rsidR="002D53D5" w:rsidRDefault="002D53D5">
      <w:r>
        <w:separator/>
      </w:r>
    </w:p>
  </w:endnote>
  <w:endnote w:type="continuationSeparator" w:id="0">
    <w:p w14:paraId="31DAA55D" w14:textId="77777777" w:rsidR="002D53D5" w:rsidRDefault="002D5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B25AA78-168C-49A7-AE5E-9B146FF0EE0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8B79BE4-8E8D-433F-9126-71C4DA875017}"/>
    <w:embedBold r:id="rId3" w:fontKey="{4BFC718B-E49E-4231-9C81-191543B00F0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EFCF6DD-5D7D-4E2D-BC81-F2289F149E76}"/>
    <w:embedItalic r:id="rId5" w:fontKey="{A8731E8D-62E2-4192-B2B7-2467118CB42B}"/>
  </w:font>
  <w:font w:name="Cambria">
    <w:panose1 w:val="02040503050406030204"/>
    <w:charset w:val="00"/>
    <w:family w:val="roman"/>
    <w:pitch w:val="variable"/>
    <w:sig w:usb0="E00006FF" w:usb1="420024FF" w:usb2="02000000" w:usb3="00000000" w:csb0="0000019F" w:csb1="00000000"/>
    <w:embedRegular r:id="rId6" w:fontKey="{9FC18D9F-C173-48AA-BD12-3A59A81448B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50491326-695A-4957-849C-37FF11FCE9CF}"/>
    <w:embedBold r:id="rId8" w:fontKey="{D00F1E91-F798-41EC-B741-B8D6B58FE3C3}"/>
    <w:embedBoldItalic r:id="rId9" w:fontKey="{05864DD5-54FA-4B64-BEF4-DEEFC4456406}"/>
  </w:font>
  <w:font w:name="Open Sans Light">
    <w:charset w:val="00"/>
    <w:family w:val="swiss"/>
    <w:pitch w:val="variable"/>
    <w:sig w:usb0="E00002EF" w:usb1="4000205B" w:usb2="00000028" w:usb3="00000000" w:csb0="0000019F" w:csb1="00000000"/>
    <w:embedRegular r:id="rId10" w:fontKey="{57E347BD-2386-44BE-9A10-DE846F5D5445}"/>
    <w:embedBold r:id="rId11" w:fontKey="{36767E14-A263-496B-B3D5-34DC34D438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74195" w14:textId="77777777" w:rsidR="006551E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75E63AC" wp14:editId="3B228019">
          <wp:simplePos x="0" y="0"/>
          <wp:positionH relativeFrom="column">
            <wp:posOffset>-1068040</wp:posOffset>
          </wp:positionH>
          <wp:positionV relativeFrom="paragraph">
            <wp:posOffset>174608</wp:posOffset>
          </wp:positionV>
          <wp:extent cx="7670550" cy="451315"/>
          <wp:effectExtent l="0" t="0" r="0" b="0"/>
          <wp:wrapNone/>
          <wp:docPr id="20668166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76875" w14:textId="77777777" w:rsidR="002D53D5" w:rsidRDefault="002D53D5">
      <w:r>
        <w:separator/>
      </w:r>
    </w:p>
  </w:footnote>
  <w:footnote w:type="continuationSeparator" w:id="0">
    <w:p w14:paraId="0FE2B9D1" w14:textId="77777777" w:rsidR="002D53D5" w:rsidRDefault="002D53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F42C7A"/>
    <w:multiLevelType w:val="multilevel"/>
    <w:tmpl w:val="0BF64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28829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1E9"/>
    <w:rsid w:val="0014590B"/>
    <w:rsid w:val="002D53D5"/>
    <w:rsid w:val="006551E9"/>
    <w:rsid w:val="00FD1E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E69F0"/>
  <w15:docId w15:val="{66A001C4-D3E2-4439-8412-9280A8AF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81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a"/>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customStyle="1" w:styleId="paragraph">
    <w:name w:val="paragraph"/>
    <w:basedOn w:val="Normal"/>
    <w:rsid w:val="004630E0"/>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hFfImawrZ+NMbXqOeyPidZXWUw==">CgMxLjAyCWguMnM4ZXlvMTgAciExaVlNZnFfVWRuMnVuYjl5WHcxMFNkZ05lM2R2ZnprMTQ=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995</Words>
  <Characters>5475</Characters>
  <Application>Microsoft Office Word</Application>
  <DocSecurity>0</DocSecurity>
  <Lines>45</Lines>
  <Paragraphs>12</Paragraphs>
  <ScaleCrop>false</ScaleCrop>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2024-12-09T11:56:00Z</dcterms:modified>
</cp:coreProperties>
</file>