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DFD335" w14:textId="77777777" w:rsidR="00E53E04" w:rsidRDefault="00000000">
      <w:pPr>
        <w:jc w:val="both"/>
      </w:pPr>
      <w:r>
        <w:rPr>
          <w:noProof/>
        </w:rPr>
        <w:drawing>
          <wp:anchor distT="0" distB="0" distL="114300" distR="114300" simplePos="0" relativeHeight="251658240" behindDoc="0" locked="0" layoutInCell="1" hidden="0" allowOverlap="1" wp14:anchorId="50948939" wp14:editId="6D613DA0">
            <wp:simplePos x="0" y="0"/>
            <wp:positionH relativeFrom="column">
              <wp:posOffset>-1080127</wp:posOffset>
            </wp:positionH>
            <wp:positionV relativeFrom="paragraph">
              <wp:posOffset>-654678</wp:posOffset>
            </wp:positionV>
            <wp:extent cx="7581265" cy="1019175"/>
            <wp:effectExtent l="0" t="0" r="0" b="0"/>
            <wp:wrapNone/>
            <wp:docPr id="20937902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6B66788" w14:textId="77777777" w:rsidR="00E53E04" w:rsidRDefault="00E53E04">
      <w:pPr>
        <w:jc w:val="both"/>
        <w:rPr>
          <w:rFonts w:ascii="National" w:eastAsia="National" w:hAnsi="National" w:cs="National"/>
          <w:color w:val="303AB2"/>
          <w:sz w:val="36"/>
          <w:szCs w:val="36"/>
        </w:rPr>
      </w:pPr>
    </w:p>
    <w:p w14:paraId="6EAE869F" w14:textId="77777777" w:rsidR="00E53E04" w:rsidRDefault="00E53E04">
      <w:pPr>
        <w:jc w:val="both"/>
        <w:rPr>
          <w:rFonts w:ascii="National" w:eastAsia="National" w:hAnsi="National" w:cs="National"/>
          <w:color w:val="303AB2"/>
          <w:sz w:val="18"/>
          <w:szCs w:val="18"/>
        </w:rPr>
      </w:pPr>
    </w:p>
    <w:p w14:paraId="386F8723" w14:textId="77777777" w:rsidR="00E53E04"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COMPRADOR DE OBRA NUEVA EN ESPAÑA </w:t>
      </w:r>
    </w:p>
    <w:p w14:paraId="7B987D43" w14:textId="12B1F918" w:rsidR="00E53E04" w:rsidRPr="00507877" w:rsidRDefault="00A119A9">
      <w:pPr>
        <w:jc w:val="center"/>
        <w:rPr>
          <w:rFonts w:ascii="National" w:eastAsia="National" w:hAnsi="National" w:cs="National"/>
          <w:b/>
          <w:color w:val="303AB2"/>
          <w:sz w:val="52"/>
          <w:szCs w:val="52"/>
        </w:rPr>
      </w:pPr>
      <w:r w:rsidRPr="00507877">
        <w:rPr>
          <w:rFonts w:ascii="National" w:eastAsia="National" w:hAnsi="National" w:cs="National"/>
          <w:b/>
          <w:color w:val="303AB2"/>
          <w:sz w:val="52"/>
          <w:szCs w:val="52"/>
        </w:rPr>
        <w:t xml:space="preserve">Las mujeres ganan terreno en la demanda de vivienda de obra nueva: el 58% son mujeres frente al 42% de hombres </w:t>
      </w:r>
    </w:p>
    <w:p w14:paraId="240A5B6B" w14:textId="77777777" w:rsidR="00E53E04" w:rsidRPr="00233F5D" w:rsidRDefault="00E53E04">
      <w:pPr>
        <w:spacing w:line="276" w:lineRule="auto"/>
        <w:ind w:right="4"/>
        <w:jc w:val="both"/>
        <w:rPr>
          <w:rFonts w:ascii="Open Sans" w:eastAsia="Open Sans" w:hAnsi="Open Sans" w:cs="Open Sans"/>
          <w:color w:val="303AB2"/>
          <w:highlight w:val="yellow"/>
        </w:rPr>
      </w:pPr>
    </w:p>
    <w:p w14:paraId="4D0B09D2" w14:textId="3B320240" w:rsidR="0025069D" w:rsidRPr="00507877" w:rsidRDefault="0025069D">
      <w:pPr>
        <w:numPr>
          <w:ilvl w:val="0"/>
          <w:numId w:val="1"/>
        </w:numPr>
        <w:pBdr>
          <w:top w:val="nil"/>
          <w:left w:val="nil"/>
          <w:bottom w:val="nil"/>
          <w:right w:val="nil"/>
          <w:between w:val="nil"/>
        </w:pBdr>
        <w:jc w:val="both"/>
        <w:rPr>
          <w:rFonts w:ascii="Open Sans" w:eastAsia="Open Sans" w:hAnsi="Open Sans" w:cs="Open Sans"/>
          <w:color w:val="000000"/>
          <w:sz w:val="22"/>
          <w:szCs w:val="22"/>
        </w:rPr>
      </w:pPr>
      <w:r w:rsidRPr="00507877">
        <w:rPr>
          <w:rFonts w:ascii="Open Sans" w:eastAsia="Open Sans" w:hAnsi="Open Sans" w:cs="Open Sans"/>
          <w:color w:val="000000"/>
          <w:sz w:val="22"/>
          <w:szCs w:val="22"/>
        </w:rPr>
        <w:t>En un año la diferencia de género sigue creciendo ya que en 2023 el 56% eran mujeres y el 44% eran hombres</w:t>
      </w:r>
    </w:p>
    <w:p w14:paraId="5A45B51B" w14:textId="7BB3E1EF" w:rsidR="0025069D" w:rsidRPr="00507877" w:rsidRDefault="0025069D">
      <w:pPr>
        <w:numPr>
          <w:ilvl w:val="0"/>
          <w:numId w:val="1"/>
        </w:numPr>
        <w:pBdr>
          <w:top w:val="nil"/>
          <w:left w:val="nil"/>
          <w:bottom w:val="nil"/>
          <w:right w:val="nil"/>
          <w:between w:val="nil"/>
        </w:pBdr>
        <w:jc w:val="both"/>
        <w:rPr>
          <w:rFonts w:ascii="Open Sans" w:eastAsia="Open Sans" w:hAnsi="Open Sans" w:cs="Open Sans"/>
          <w:color w:val="000000"/>
          <w:sz w:val="22"/>
          <w:szCs w:val="22"/>
        </w:rPr>
      </w:pPr>
      <w:r w:rsidRPr="00507877">
        <w:rPr>
          <w:rFonts w:ascii="Open Sans" w:eastAsia="Open Sans" w:hAnsi="Open Sans" w:cs="Open Sans"/>
          <w:color w:val="000000"/>
          <w:sz w:val="22"/>
          <w:szCs w:val="22"/>
        </w:rPr>
        <w:t>También sube la edad media en un año de los 41 a los 44 años</w:t>
      </w:r>
    </w:p>
    <w:p w14:paraId="44F96BC8" w14:textId="1BCF815A" w:rsidR="0025069D" w:rsidRPr="00507877" w:rsidRDefault="0025069D">
      <w:pPr>
        <w:numPr>
          <w:ilvl w:val="0"/>
          <w:numId w:val="1"/>
        </w:numPr>
        <w:pBdr>
          <w:top w:val="nil"/>
          <w:left w:val="nil"/>
          <w:bottom w:val="nil"/>
          <w:right w:val="nil"/>
          <w:between w:val="nil"/>
        </w:pBdr>
        <w:jc w:val="both"/>
        <w:rPr>
          <w:rFonts w:ascii="Open Sans" w:eastAsia="Open Sans" w:hAnsi="Open Sans" w:cs="Open Sans"/>
          <w:color w:val="000000"/>
          <w:sz w:val="22"/>
          <w:szCs w:val="22"/>
        </w:rPr>
      </w:pPr>
      <w:r w:rsidRPr="00507877">
        <w:rPr>
          <w:rFonts w:ascii="Open Sans" w:eastAsia="Open Sans" w:hAnsi="Open Sans" w:cs="Open Sans"/>
          <w:color w:val="000000"/>
          <w:sz w:val="22"/>
          <w:szCs w:val="22"/>
        </w:rPr>
        <w:t>El 13% de los que contemplaron o compraron una vivienda de obra nueva viven solos, un 37% viven con su pareja e hijos y un 35% convive solo con su pareja</w:t>
      </w:r>
    </w:p>
    <w:p w14:paraId="37C517F9" w14:textId="68B736B3" w:rsidR="0025069D" w:rsidRPr="00507877" w:rsidRDefault="0025069D">
      <w:pPr>
        <w:numPr>
          <w:ilvl w:val="0"/>
          <w:numId w:val="1"/>
        </w:numPr>
        <w:pBdr>
          <w:top w:val="nil"/>
          <w:left w:val="nil"/>
          <w:bottom w:val="nil"/>
          <w:right w:val="nil"/>
          <w:between w:val="nil"/>
        </w:pBdr>
        <w:jc w:val="both"/>
        <w:rPr>
          <w:rFonts w:ascii="Open Sans" w:eastAsia="Open Sans" w:hAnsi="Open Sans" w:cs="Open Sans"/>
          <w:color w:val="000000"/>
          <w:sz w:val="22"/>
          <w:szCs w:val="22"/>
        </w:rPr>
      </w:pPr>
      <w:r>
        <w:rPr>
          <w:rFonts w:ascii="Open Sans" w:eastAsia="Open Sans" w:hAnsi="Open Sans" w:cs="Open Sans"/>
          <w:color w:val="000000"/>
          <w:sz w:val="22"/>
          <w:szCs w:val="22"/>
        </w:rPr>
        <w:t>Respecto a la procedencia de los demandantes de vivienda de obra nueva predominan los de Madrid (20%) y los de Andalucía (15%)</w:t>
      </w:r>
    </w:p>
    <w:p w14:paraId="3C8663F3" w14:textId="77777777" w:rsidR="0025069D" w:rsidRDefault="0025069D">
      <w:pPr>
        <w:pBdr>
          <w:top w:val="nil"/>
          <w:left w:val="nil"/>
          <w:bottom w:val="nil"/>
          <w:right w:val="nil"/>
          <w:between w:val="nil"/>
        </w:pBdr>
        <w:spacing w:line="276" w:lineRule="auto"/>
        <w:ind w:left="-426"/>
        <w:jc w:val="both"/>
        <w:rPr>
          <w:rFonts w:ascii="Open Sans" w:eastAsia="Open Sans" w:hAnsi="Open Sans" w:cs="Open Sans"/>
          <w:color w:val="000000"/>
          <w:sz w:val="22"/>
          <w:szCs w:val="22"/>
        </w:rPr>
      </w:pPr>
    </w:p>
    <w:p w14:paraId="723CD1FD" w14:textId="14EBFE45" w:rsidR="00E53E04" w:rsidRDefault="00000000">
      <w:pPr>
        <w:pBdr>
          <w:top w:val="nil"/>
          <w:left w:val="nil"/>
          <w:bottom w:val="nil"/>
          <w:right w:val="nil"/>
          <w:between w:val="nil"/>
        </w:pBdr>
        <w:spacing w:line="276" w:lineRule="auto"/>
        <w:ind w:left="-42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w:t>
      </w:r>
      <w:r w:rsidR="00233F5D">
        <w:rPr>
          <w:rFonts w:ascii="Open Sans Light" w:eastAsia="Open Sans Light" w:hAnsi="Open Sans Light" w:cs="Open Sans Light"/>
          <w:b/>
          <w:color w:val="303AB2"/>
          <w:sz w:val="22"/>
          <w:szCs w:val="22"/>
        </w:rPr>
        <w:t>, 27 de diciembre</w:t>
      </w:r>
      <w:r>
        <w:rPr>
          <w:rFonts w:ascii="Open Sans Light" w:eastAsia="Open Sans Light" w:hAnsi="Open Sans Light" w:cs="Open Sans Light"/>
          <w:b/>
          <w:color w:val="303AB2"/>
          <w:sz w:val="22"/>
          <w:szCs w:val="22"/>
        </w:rPr>
        <w:t xml:space="preserve"> de 2024</w:t>
      </w:r>
    </w:p>
    <w:p w14:paraId="2250CBBA" w14:textId="77777777" w:rsidR="00E53E04" w:rsidRDefault="00E53E04">
      <w:pPr>
        <w:pBdr>
          <w:top w:val="nil"/>
          <w:left w:val="nil"/>
          <w:bottom w:val="nil"/>
          <w:right w:val="nil"/>
          <w:between w:val="nil"/>
        </w:pBdr>
        <w:spacing w:line="276" w:lineRule="auto"/>
        <w:ind w:left="-426"/>
        <w:jc w:val="both"/>
        <w:rPr>
          <w:rFonts w:ascii="Open Sans" w:eastAsia="Open Sans" w:hAnsi="Open Sans" w:cs="Open Sans"/>
        </w:rPr>
      </w:pPr>
    </w:p>
    <w:p w14:paraId="16CD210D" w14:textId="1BBFE963" w:rsidR="00A57CD0" w:rsidRDefault="00A57CD0" w:rsidP="00A57CD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El 65% de los compradores de vivienda en 2024 ha tenido en cuenta la posibilidad de adquirir una vivienda de obra nueva. De éstos, si esbozamos un retrato tipo, se ve que </w:t>
      </w:r>
      <w:r w:rsidRPr="00507877">
        <w:rPr>
          <w:rFonts w:ascii="Open Sans" w:eastAsia="Open Sans" w:hAnsi="Open Sans" w:cs="Open Sans"/>
          <w:b/>
          <w:bCs/>
          <w:sz w:val="22"/>
          <w:szCs w:val="22"/>
        </w:rPr>
        <w:t>el 58% son mujeres y el 42% son hombres y se observa que la diferencia de género sigue creciendo después de que en 2023 las cifras fuesen del 56% y el 44%,</w:t>
      </w:r>
      <w:r>
        <w:rPr>
          <w:rFonts w:ascii="Open Sans" w:eastAsia="Open Sans" w:hAnsi="Open Sans" w:cs="Open Sans"/>
          <w:sz w:val="22"/>
          <w:szCs w:val="22"/>
        </w:rPr>
        <w:t xml:space="preserve"> respectivamente. En lo que se refiere a la media de edad, ésta sube de los 41 a los 44 años. </w:t>
      </w:r>
      <w:r w:rsidRPr="00A57CD0">
        <w:rPr>
          <w:rFonts w:ascii="Open Sans" w:eastAsia="Open Sans" w:hAnsi="Open Sans" w:cs="Open Sans"/>
          <w:sz w:val="22"/>
          <w:szCs w:val="22"/>
        </w:rPr>
        <w:t>Este hecho se debe a la reducción de la presencia de los jóvenes de 25-34 años, y al aumento del peso del colectivo más senior de 55-75 años.</w:t>
      </w:r>
      <w:r>
        <w:rPr>
          <w:rFonts w:ascii="Open Sans" w:eastAsia="Open Sans" w:hAnsi="Open Sans" w:cs="Open Sans"/>
          <w:sz w:val="22"/>
          <w:szCs w:val="22"/>
        </w:rPr>
        <w:t xml:space="preserve"> </w:t>
      </w:r>
      <w:r w:rsidRPr="00A57CD0">
        <w:rPr>
          <w:rFonts w:ascii="Open Sans" w:eastAsia="Open Sans" w:hAnsi="Open Sans" w:cs="Open Sans"/>
          <w:sz w:val="22"/>
          <w:szCs w:val="22"/>
        </w:rPr>
        <w:t>Respecto al nivel socioeconómico, se aprecia que las clases alta y media alta continúan teniendo un peso muy importante dentro de quienes consideran comprar vivienda de obra nueva. En contraposición, el peso de las clases baja y media-baja es residual.</w:t>
      </w:r>
      <w:r>
        <w:rPr>
          <w:rFonts w:ascii="Open Sans" w:eastAsia="Open Sans" w:hAnsi="Open Sans" w:cs="Open Sans"/>
          <w:sz w:val="22"/>
          <w:szCs w:val="22"/>
        </w:rPr>
        <w:t xml:space="preserve"> Es una de las conclusiones que se extrae del análisis </w:t>
      </w:r>
      <w:r>
        <w:rPr>
          <w:rFonts w:ascii="Open Sans" w:eastAsia="Open Sans" w:hAnsi="Open Sans" w:cs="Open Sans"/>
          <w:b/>
          <w:i/>
          <w:sz w:val="22"/>
          <w:szCs w:val="22"/>
        </w:rPr>
        <w:t>“La vivienda de obra nueva en 2024</w:t>
      </w:r>
      <w:r>
        <w:rPr>
          <w:rFonts w:ascii="Open Sans" w:eastAsia="Open Sans" w:hAnsi="Open Sans" w:cs="Open Sans"/>
          <w:i/>
          <w:sz w:val="22"/>
          <w:szCs w:val="22"/>
        </w:rPr>
        <w:t>”</w:t>
      </w:r>
      <w:r>
        <w:rPr>
          <w:rFonts w:ascii="Open Sans" w:eastAsia="Open Sans" w:hAnsi="Open Sans" w:cs="Open Sans"/>
          <w:sz w:val="22"/>
          <w:szCs w:val="22"/>
        </w:rPr>
        <w:t xml:space="preserve"> que elabora </w:t>
      </w:r>
      <w:r>
        <w:rPr>
          <w:rFonts w:ascii="Open Sans" w:eastAsia="Open Sans" w:hAnsi="Open Sans" w:cs="Open Sans"/>
          <w:b/>
          <w:sz w:val="22"/>
          <w:szCs w:val="22"/>
        </w:rPr>
        <w:t xml:space="preserve">Fotocasa </w:t>
      </w:r>
      <w:proofErr w:type="spellStart"/>
      <w:r>
        <w:rPr>
          <w:rFonts w:ascii="Open Sans" w:eastAsia="Open Sans" w:hAnsi="Open Sans" w:cs="Open Sans"/>
          <w:b/>
          <w:sz w:val="22"/>
          <w:szCs w:val="22"/>
        </w:rPr>
        <w:t>Research</w:t>
      </w:r>
      <w:proofErr w:type="spellEnd"/>
      <w:r>
        <w:rPr>
          <w:rFonts w:ascii="Open Sans" w:eastAsia="Open Sans" w:hAnsi="Open Sans" w:cs="Open Sans"/>
          <w:sz w:val="22"/>
          <w:szCs w:val="22"/>
        </w:rPr>
        <w:t xml:space="preserve"> cada año.</w:t>
      </w:r>
    </w:p>
    <w:p w14:paraId="5E23E8CF" w14:textId="77777777" w:rsidR="00A57CD0" w:rsidRDefault="00A57CD0" w:rsidP="00A57CD0">
      <w:pPr>
        <w:spacing w:line="276" w:lineRule="auto"/>
        <w:ind w:left="-426" w:right="4"/>
        <w:jc w:val="both"/>
        <w:rPr>
          <w:rFonts w:ascii="Open Sans" w:eastAsia="Open Sans" w:hAnsi="Open Sans" w:cs="Open Sans"/>
          <w:sz w:val="22"/>
          <w:szCs w:val="22"/>
        </w:rPr>
      </w:pPr>
    </w:p>
    <w:p w14:paraId="47D5486B" w14:textId="1EE3BA2C" w:rsidR="00A57CD0" w:rsidRDefault="00A57CD0" w:rsidP="00A57CD0">
      <w:pPr>
        <w:spacing w:line="276" w:lineRule="auto"/>
        <w:ind w:left="-426" w:right="4"/>
        <w:jc w:val="both"/>
        <w:rPr>
          <w:rFonts w:ascii="Open Sans" w:eastAsia="Open Sans" w:hAnsi="Open Sans" w:cs="Open Sans"/>
          <w:sz w:val="22"/>
          <w:szCs w:val="22"/>
        </w:rPr>
      </w:pPr>
      <w:r w:rsidRPr="00A57CD0">
        <w:rPr>
          <w:rFonts w:ascii="Open Sans" w:eastAsia="Open Sans" w:hAnsi="Open Sans" w:cs="Open Sans"/>
          <w:sz w:val="22"/>
          <w:szCs w:val="22"/>
        </w:rPr>
        <w:t xml:space="preserve">Por otra parte, entre quienes contemplaron y/o compraron </w:t>
      </w:r>
      <w:r>
        <w:rPr>
          <w:rFonts w:ascii="Open Sans" w:eastAsia="Open Sans" w:hAnsi="Open Sans" w:cs="Open Sans"/>
          <w:sz w:val="22"/>
          <w:szCs w:val="22"/>
        </w:rPr>
        <w:t>en 2024</w:t>
      </w:r>
      <w:r w:rsidRPr="00A57CD0">
        <w:rPr>
          <w:rFonts w:ascii="Open Sans" w:eastAsia="Open Sans" w:hAnsi="Open Sans" w:cs="Open Sans"/>
          <w:sz w:val="22"/>
          <w:szCs w:val="22"/>
        </w:rPr>
        <w:t xml:space="preserve"> una vivienda de obra nueva hay </w:t>
      </w:r>
      <w:r w:rsidRPr="00507877">
        <w:rPr>
          <w:rFonts w:ascii="Open Sans" w:eastAsia="Open Sans" w:hAnsi="Open Sans" w:cs="Open Sans"/>
          <w:b/>
          <w:bCs/>
          <w:sz w:val="22"/>
          <w:szCs w:val="22"/>
        </w:rPr>
        <w:t>un 37% que vive con su pareja e hijos. Seguidamente, un 35% convive exclusivamente con su pareja y un 13% vive solo</w:t>
      </w:r>
      <w:r w:rsidRPr="00A57CD0">
        <w:rPr>
          <w:rFonts w:ascii="Open Sans" w:eastAsia="Open Sans" w:hAnsi="Open Sans" w:cs="Open Sans"/>
          <w:sz w:val="22"/>
          <w:szCs w:val="22"/>
        </w:rPr>
        <w:t xml:space="preserve">. </w:t>
      </w:r>
    </w:p>
    <w:p w14:paraId="75678947" w14:textId="77777777" w:rsidR="00A57CD0" w:rsidRDefault="00A57CD0" w:rsidP="00A57CD0">
      <w:pPr>
        <w:spacing w:line="276" w:lineRule="auto"/>
        <w:ind w:left="-426" w:right="4"/>
        <w:jc w:val="both"/>
        <w:rPr>
          <w:rFonts w:ascii="Open Sans" w:eastAsia="Open Sans" w:hAnsi="Open Sans" w:cs="Open Sans"/>
          <w:sz w:val="22"/>
          <w:szCs w:val="22"/>
        </w:rPr>
      </w:pPr>
    </w:p>
    <w:p w14:paraId="5D67BF41" w14:textId="1819E643" w:rsidR="00A57CD0" w:rsidRDefault="00A57CD0" w:rsidP="00A57CD0">
      <w:pPr>
        <w:spacing w:line="276" w:lineRule="auto"/>
        <w:ind w:left="-426" w:right="4"/>
        <w:jc w:val="both"/>
        <w:rPr>
          <w:rFonts w:ascii="Open Sans" w:eastAsia="Open Sans" w:hAnsi="Open Sans" w:cs="Open Sans"/>
          <w:sz w:val="22"/>
          <w:szCs w:val="22"/>
        </w:rPr>
      </w:pPr>
      <w:r w:rsidRPr="00A57CD0">
        <w:rPr>
          <w:rFonts w:ascii="Open Sans" w:eastAsia="Open Sans" w:hAnsi="Open Sans" w:cs="Open Sans"/>
          <w:sz w:val="22"/>
          <w:szCs w:val="22"/>
        </w:rPr>
        <w:t>En cuanto a la vivienda donde residían antes de la compra de obra nueva, el 46% lo hacían en un inmueble de su propiedad, mientras que el 36% vivía de alquiler. Otro 19% residía en la propiedad de un familiar por la que no pagaba arrendamiento.</w:t>
      </w:r>
    </w:p>
    <w:p w14:paraId="1744ABE6" w14:textId="77777777" w:rsidR="00A57CD0" w:rsidRPr="00A57CD0" w:rsidRDefault="00A57CD0" w:rsidP="00A57CD0">
      <w:pPr>
        <w:spacing w:line="276" w:lineRule="auto"/>
        <w:ind w:left="-426" w:right="4"/>
        <w:jc w:val="both"/>
        <w:rPr>
          <w:rFonts w:ascii="Open Sans" w:eastAsia="Open Sans" w:hAnsi="Open Sans" w:cs="Open Sans"/>
          <w:sz w:val="22"/>
          <w:szCs w:val="22"/>
        </w:rPr>
      </w:pPr>
    </w:p>
    <w:p w14:paraId="5C48011E" w14:textId="041F8E9F" w:rsidR="00A57CD0" w:rsidRPr="00507877" w:rsidRDefault="00A57CD0" w:rsidP="00A57CD0">
      <w:pPr>
        <w:spacing w:line="276" w:lineRule="auto"/>
        <w:ind w:left="-426" w:right="4"/>
        <w:jc w:val="both"/>
        <w:rPr>
          <w:rFonts w:ascii="Open Sans" w:eastAsia="Open Sans" w:hAnsi="Open Sans" w:cs="Open Sans"/>
          <w:b/>
          <w:bCs/>
          <w:sz w:val="22"/>
          <w:szCs w:val="22"/>
        </w:rPr>
      </w:pPr>
      <w:r w:rsidRPr="00A57CD0">
        <w:rPr>
          <w:rFonts w:ascii="Open Sans" w:eastAsia="Open Sans" w:hAnsi="Open Sans" w:cs="Open Sans"/>
          <w:sz w:val="22"/>
          <w:szCs w:val="22"/>
        </w:rPr>
        <w:lastRenderedPageBreak/>
        <w:t xml:space="preserve">Si se dirige la mirada en este retrato hacia la procedencia geográfica de los compradores de obra nueva vemos que </w:t>
      </w:r>
      <w:r w:rsidRPr="00507877">
        <w:rPr>
          <w:rFonts w:ascii="Open Sans" w:eastAsia="Open Sans" w:hAnsi="Open Sans" w:cs="Open Sans"/>
          <w:b/>
          <w:bCs/>
          <w:sz w:val="22"/>
          <w:szCs w:val="22"/>
        </w:rPr>
        <w:t>predominan los de Madrid, con un 20%, seguidos por los de Andalucía, con un 15%</w:t>
      </w:r>
      <w:r w:rsidRPr="00A57CD0">
        <w:rPr>
          <w:rFonts w:ascii="Open Sans" w:eastAsia="Open Sans" w:hAnsi="Open Sans" w:cs="Open Sans"/>
          <w:sz w:val="22"/>
          <w:szCs w:val="22"/>
        </w:rPr>
        <w:t xml:space="preserve">. Sin embargo, en este sentido cabe destacar que, mientras que los primeros se incrementan en un punto porcentual, los segundos disminuyen desde el 19% alcanzando en 2023. Por el contrario, </w:t>
      </w:r>
      <w:r w:rsidRPr="00507877">
        <w:rPr>
          <w:rFonts w:ascii="Open Sans" w:eastAsia="Open Sans" w:hAnsi="Open Sans" w:cs="Open Sans"/>
          <w:b/>
          <w:bCs/>
          <w:sz w:val="22"/>
          <w:szCs w:val="22"/>
        </w:rPr>
        <w:t>los catalanes aumentan desde el 12% de hace un año al 14% de 2024.</w:t>
      </w:r>
    </w:p>
    <w:p w14:paraId="7FABF764" w14:textId="77777777" w:rsidR="00A57CD0" w:rsidRDefault="00A57CD0" w:rsidP="00A57CD0">
      <w:pPr>
        <w:spacing w:line="276" w:lineRule="auto"/>
        <w:ind w:left="-426" w:right="4"/>
        <w:jc w:val="both"/>
        <w:rPr>
          <w:rFonts w:ascii="Open Sans" w:eastAsia="Open Sans" w:hAnsi="Open Sans" w:cs="Open Sans"/>
          <w:sz w:val="22"/>
          <w:szCs w:val="22"/>
        </w:rPr>
      </w:pPr>
    </w:p>
    <w:p w14:paraId="4E70615C" w14:textId="1332E8EE" w:rsidR="000B3304" w:rsidRDefault="000B3304" w:rsidP="000B3304">
      <w:pPr>
        <w:spacing w:line="276" w:lineRule="auto"/>
        <w:ind w:left="-426" w:right="4"/>
        <w:jc w:val="both"/>
        <w:rPr>
          <w:rFonts w:ascii="Open Sans" w:eastAsia="Open Sans" w:hAnsi="Open Sans" w:cs="Open Sans"/>
          <w:sz w:val="22"/>
          <w:szCs w:val="22"/>
          <w:lang w:val="es-ES"/>
        </w:rPr>
      </w:pPr>
      <w:r w:rsidRPr="000B3304">
        <w:rPr>
          <w:rFonts w:ascii="Open Sans" w:eastAsia="Open Sans" w:hAnsi="Open Sans" w:cs="Open Sans"/>
          <w:noProof/>
          <w:sz w:val="22"/>
          <w:szCs w:val="22"/>
          <w:lang w:val="es-ES"/>
        </w:rPr>
        <w:drawing>
          <wp:inline distT="0" distB="0" distL="0" distR="0" wp14:anchorId="184C9EAF" wp14:editId="59AAD4BB">
            <wp:extent cx="6055360" cy="4541520"/>
            <wp:effectExtent l="0" t="0" r="2540" b="0"/>
            <wp:docPr id="128991246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12462" name="Imagen 2" descr="Diagram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5360" cy="4541520"/>
                    </a:xfrm>
                    <a:prstGeom prst="rect">
                      <a:avLst/>
                    </a:prstGeom>
                    <a:noFill/>
                    <a:ln>
                      <a:noFill/>
                    </a:ln>
                  </pic:spPr>
                </pic:pic>
              </a:graphicData>
            </a:graphic>
          </wp:inline>
        </w:drawing>
      </w:r>
    </w:p>
    <w:p w14:paraId="5C564DDE" w14:textId="77777777" w:rsidR="000B3304" w:rsidRDefault="000B3304" w:rsidP="000B3304">
      <w:pPr>
        <w:spacing w:line="276" w:lineRule="auto"/>
        <w:ind w:left="-426" w:right="4"/>
        <w:jc w:val="both"/>
        <w:rPr>
          <w:rFonts w:ascii="Open Sans" w:eastAsia="Open Sans" w:hAnsi="Open Sans" w:cs="Open Sans"/>
          <w:sz w:val="22"/>
          <w:szCs w:val="22"/>
          <w:lang w:val="es-ES"/>
        </w:rPr>
      </w:pPr>
    </w:p>
    <w:p w14:paraId="3E666130" w14:textId="16BE57B3" w:rsidR="000B3304" w:rsidRPr="000B3304" w:rsidRDefault="000B3304" w:rsidP="000B3304">
      <w:pPr>
        <w:pBdr>
          <w:top w:val="nil"/>
          <w:left w:val="nil"/>
          <w:bottom w:val="nil"/>
          <w:right w:val="nil"/>
          <w:between w:val="nil"/>
        </w:pBdr>
        <w:spacing w:line="276" w:lineRule="auto"/>
        <w:ind w:left="-426"/>
        <w:jc w:val="both"/>
        <w:rPr>
          <w:rFonts w:ascii="Open Sans Light" w:eastAsia="Open Sans Light" w:hAnsi="Open Sans Light" w:cs="Open Sans Light"/>
          <w:b/>
          <w:color w:val="303AB2"/>
        </w:rPr>
      </w:pPr>
      <w:r w:rsidRPr="000B3304">
        <w:rPr>
          <w:rFonts w:ascii="Open Sans Light" w:eastAsia="Open Sans Light" w:hAnsi="Open Sans Light" w:cs="Open Sans Light"/>
          <w:b/>
          <w:color w:val="303AB2"/>
        </w:rPr>
        <w:t>Los que no compraron obra nueva, ¿qué lo impidió?</w:t>
      </w:r>
    </w:p>
    <w:p w14:paraId="5CBBCC14" w14:textId="77777777" w:rsidR="000B3304" w:rsidRDefault="000B3304" w:rsidP="000B3304">
      <w:pPr>
        <w:spacing w:line="276" w:lineRule="auto"/>
        <w:ind w:left="-426" w:right="4"/>
        <w:jc w:val="both"/>
        <w:rPr>
          <w:rFonts w:ascii="Open Sans" w:eastAsia="Open Sans" w:hAnsi="Open Sans" w:cs="Open Sans"/>
          <w:sz w:val="22"/>
          <w:szCs w:val="22"/>
          <w:lang w:val="es-ES"/>
        </w:rPr>
      </w:pPr>
    </w:p>
    <w:p w14:paraId="5E786E58" w14:textId="5C079598" w:rsidR="000B3304" w:rsidRPr="000B3304" w:rsidRDefault="000B3304" w:rsidP="000B3304">
      <w:pPr>
        <w:spacing w:line="276" w:lineRule="auto"/>
        <w:ind w:left="-426" w:right="4"/>
        <w:jc w:val="both"/>
        <w:rPr>
          <w:rFonts w:ascii="Open Sans" w:eastAsia="Open Sans" w:hAnsi="Open Sans" w:cs="Open Sans"/>
          <w:sz w:val="22"/>
          <w:szCs w:val="22"/>
          <w:lang w:val="es-ES"/>
        </w:rPr>
      </w:pPr>
      <w:r w:rsidRPr="000B3304">
        <w:rPr>
          <w:rFonts w:ascii="Open Sans" w:eastAsia="Open Sans" w:hAnsi="Open Sans" w:cs="Open Sans"/>
          <w:sz w:val="22"/>
          <w:szCs w:val="22"/>
          <w:lang w:val="es-ES"/>
        </w:rPr>
        <w:t xml:space="preserve">El 65% de los particulares que han comprado una vivienda en los últimos doce meses ha considerado la opción de adquirir una vivienda de obra nueva. De estos, sin embargo, </w:t>
      </w:r>
      <w:r w:rsidRPr="00507877">
        <w:rPr>
          <w:rFonts w:ascii="Open Sans" w:eastAsia="Open Sans" w:hAnsi="Open Sans" w:cs="Open Sans"/>
          <w:b/>
          <w:bCs/>
          <w:sz w:val="22"/>
          <w:szCs w:val="22"/>
          <w:lang w:val="es-ES"/>
        </w:rPr>
        <w:t>sólo el 45% materializó esta adquisición, mientras que el 54% accedieron finalmente a la compra de un inmueble de segunda mano</w:t>
      </w:r>
      <w:r w:rsidRPr="000B3304">
        <w:rPr>
          <w:rFonts w:ascii="Open Sans" w:eastAsia="Open Sans" w:hAnsi="Open Sans" w:cs="Open Sans"/>
          <w:sz w:val="22"/>
          <w:szCs w:val="22"/>
          <w:lang w:val="es-ES"/>
        </w:rPr>
        <w:t>. Se trata de cifras muy similares a las del año anterior.</w:t>
      </w:r>
    </w:p>
    <w:p w14:paraId="61C26C15" w14:textId="77777777" w:rsidR="0025069D" w:rsidRDefault="0025069D" w:rsidP="000B3304">
      <w:pPr>
        <w:spacing w:line="276" w:lineRule="auto"/>
        <w:ind w:left="-426" w:right="4"/>
        <w:jc w:val="both"/>
        <w:rPr>
          <w:rFonts w:ascii="Open Sans" w:eastAsia="Open Sans" w:hAnsi="Open Sans" w:cs="Open Sans"/>
          <w:sz w:val="22"/>
          <w:szCs w:val="22"/>
          <w:lang w:val="es-ES"/>
        </w:rPr>
      </w:pPr>
    </w:p>
    <w:p w14:paraId="4D2DFBFC" w14:textId="4640521B" w:rsidR="000B3304" w:rsidRPr="000B3304" w:rsidRDefault="0025069D" w:rsidP="000B3304">
      <w:pPr>
        <w:spacing w:line="276" w:lineRule="auto"/>
        <w:ind w:left="-426" w:right="4"/>
        <w:jc w:val="both"/>
        <w:rPr>
          <w:rFonts w:ascii="Open Sans" w:eastAsia="Open Sans" w:hAnsi="Open Sans" w:cs="Open Sans"/>
          <w:sz w:val="22"/>
          <w:szCs w:val="22"/>
          <w:lang w:val="es-ES"/>
        </w:rPr>
      </w:pPr>
      <w:r>
        <w:rPr>
          <w:rFonts w:ascii="Open Sans" w:eastAsia="Open Sans" w:hAnsi="Open Sans" w:cs="Open Sans"/>
          <w:sz w:val="22"/>
          <w:szCs w:val="22"/>
          <w:lang w:val="es-ES"/>
        </w:rPr>
        <w:t>L</w:t>
      </w:r>
      <w:r w:rsidR="000B3304" w:rsidRPr="000B3304">
        <w:rPr>
          <w:rFonts w:ascii="Open Sans" w:eastAsia="Open Sans" w:hAnsi="Open Sans" w:cs="Open Sans"/>
          <w:sz w:val="22"/>
          <w:szCs w:val="22"/>
          <w:lang w:val="es-ES"/>
        </w:rPr>
        <w:t xml:space="preserve">a principal razón para </w:t>
      </w:r>
      <w:r w:rsidR="000B3304" w:rsidRPr="00507877">
        <w:rPr>
          <w:rFonts w:ascii="Open Sans" w:eastAsia="Open Sans" w:hAnsi="Open Sans" w:cs="Open Sans"/>
          <w:b/>
          <w:bCs/>
          <w:sz w:val="22"/>
          <w:szCs w:val="22"/>
          <w:lang w:val="es-ES"/>
        </w:rPr>
        <w:t>descartar en última instancia la obra nueva fue el elevado precio, con un 59% de los casos</w:t>
      </w:r>
      <w:r w:rsidR="000B3304" w:rsidRPr="000B3304">
        <w:rPr>
          <w:rFonts w:ascii="Open Sans" w:eastAsia="Open Sans" w:hAnsi="Open Sans" w:cs="Open Sans"/>
          <w:sz w:val="22"/>
          <w:szCs w:val="22"/>
          <w:lang w:val="es-ES"/>
        </w:rPr>
        <w:t>. Se trata, además de un porcentaje sensiblemente superior al 55% de 2023. La segunda razón fue la carencia de oferta en la zona donde se buscaba, con un 36%.</w:t>
      </w:r>
    </w:p>
    <w:p w14:paraId="73D595F1" w14:textId="441AD2F2" w:rsidR="000B3304" w:rsidRDefault="000B3304" w:rsidP="000B3304">
      <w:pPr>
        <w:spacing w:line="276" w:lineRule="auto"/>
        <w:ind w:left="-426" w:right="4"/>
        <w:jc w:val="both"/>
        <w:rPr>
          <w:rFonts w:ascii="Open Sans" w:eastAsia="Open Sans" w:hAnsi="Open Sans" w:cs="Open Sans"/>
          <w:sz w:val="22"/>
          <w:szCs w:val="22"/>
          <w:lang w:val="es-ES"/>
        </w:rPr>
      </w:pPr>
      <w:r w:rsidRPr="000B3304">
        <w:rPr>
          <w:rFonts w:ascii="Open Sans" w:eastAsia="Open Sans" w:hAnsi="Open Sans" w:cs="Open Sans"/>
          <w:sz w:val="22"/>
          <w:szCs w:val="22"/>
          <w:lang w:val="es-ES"/>
        </w:rPr>
        <w:lastRenderedPageBreak/>
        <w:t>En tercer lugar, pero ya con un porcentaje mucho menor, encontramos, con un 17%, las condiciones de pago y los gastos de entrada. Y, con un 14%, que no suponía el ahorro que se esperaba.</w:t>
      </w:r>
    </w:p>
    <w:p w14:paraId="7E8AF596" w14:textId="77777777" w:rsidR="000B3304" w:rsidRPr="000B3304" w:rsidRDefault="000B3304" w:rsidP="000B3304">
      <w:pPr>
        <w:spacing w:line="276" w:lineRule="auto"/>
        <w:ind w:left="-426" w:right="4"/>
        <w:jc w:val="both"/>
        <w:rPr>
          <w:rFonts w:ascii="Open Sans" w:eastAsia="Open Sans" w:hAnsi="Open Sans" w:cs="Open Sans"/>
          <w:sz w:val="22"/>
          <w:szCs w:val="22"/>
          <w:lang w:val="es-ES"/>
        </w:rPr>
      </w:pPr>
    </w:p>
    <w:p w14:paraId="518B9BF4" w14:textId="533FBC0D" w:rsidR="00F869AD" w:rsidRPr="00F869AD" w:rsidRDefault="00F869AD" w:rsidP="00F869AD">
      <w:pPr>
        <w:spacing w:line="276" w:lineRule="auto"/>
        <w:ind w:left="-426" w:right="4"/>
        <w:jc w:val="both"/>
        <w:rPr>
          <w:rFonts w:ascii="Open Sans" w:eastAsia="Open Sans" w:hAnsi="Open Sans" w:cs="Open Sans"/>
          <w:sz w:val="22"/>
          <w:szCs w:val="22"/>
          <w:lang w:val="es-ES"/>
        </w:rPr>
      </w:pPr>
      <w:r w:rsidRPr="00F869AD">
        <w:rPr>
          <w:rFonts w:ascii="Open Sans" w:eastAsia="Open Sans" w:hAnsi="Open Sans" w:cs="Open Sans"/>
          <w:noProof/>
          <w:sz w:val="22"/>
          <w:szCs w:val="22"/>
          <w:lang w:val="es-ES"/>
        </w:rPr>
        <w:drawing>
          <wp:inline distT="0" distB="0" distL="0" distR="0" wp14:anchorId="53933601" wp14:editId="5469DC1C">
            <wp:extent cx="6080760" cy="4840746"/>
            <wp:effectExtent l="0" t="0" r="0" b="0"/>
            <wp:docPr id="2068679915"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79915" name="Imagen 4" descr="Imagen que contiene Gráfic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3564" cy="4842978"/>
                    </a:xfrm>
                    <a:prstGeom prst="rect">
                      <a:avLst/>
                    </a:prstGeom>
                    <a:noFill/>
                    <a:ln>
                      <a:noFill/>
                    </a:ln>
                  </pic:spPr>
                </pic:pic>
              </a:graphicData>
            </a:graphic>
          </wp:inline>
        </w:drawing>
      </w:r>
    </w:p>
    <w:p w14:paraId="642B98BC" w14:textId="77777777" w:rsidR="000B3304" w:rsidRDefault="000B3304" w:rsidP="00A57CD0">
      <w:pPr>
        <w:spacing w:line="276" w:lineRule="auto"/>
        <w:ind w:left="-426" w:right="4"/>
        <w:jc w:val="both"/>
        <w:rPr>
          <w:rFonts w:ascii="Open Sans" w:eastAsia="Open Sans" w:hAnsi="Open Sans" w:cs="Open Sans"/>
          <w:sz w:val="22"/>
          <w:szCs w:val="22"/>
        </w:rPr>
      </w:pPr>
    </w:p>
    <w:p w14:paraId="03D7B3D5" w14:textId="5679A61F" w:rsidR="00233F5D" w:rsidRDefault="00233F5D">
      <w:pPr>
        <w:spacing w:line="276" w:lineRule="auto"/>
        <w:ind w:left="-426" w:right="4"/>
        <w:jc w:val="both"/>
        <w:rPr>
          <w:rFonts w:ascii="Open Sans" w:eastAsia="Open Sans" w:hAnsi="Open Sans" w:cs="Open Sans"/>
          <w:sz w:val="22"/>
          <w:szCs w:val="22"/>
        </w:rPr>
      </w:pPr>
    </w:p>
    <w:p w14:paraId="4A9FA5DE" w14:textId="77777777" w:rsidR="00E53E04" w:rsidRDefault="00E53E04" w:rsidP="00F869AD">
      <w:pPr>
        <w:spacing w:line="276" w:lineRule="auto"/>
        <w:ind w:right="4"/>
        <w:jc w:val="both"/>
        <w:rPr>
          <w:rFonts w:ascii="Open Sans" w:eastAsia="Open Sans" w:hAnsi="Open Sans" w:cs="Open Sans"/>
          <w:sz w:val="22"/>
          <w:szCs w:val="22"/>
        </w:rPr>
      </w:pPr>
    </w:p>
    <w:p w14:paraId="0A757F97" w14:textId="77777777" w:rsidR="00E53E04" w:rsidRDefault="00000000">
      <w:pPr>
        <w:spacing w:line="276" w:lineRule="auto"/>
        <w:ind w:right="141"/>
        <w:jc w:val="right"/>
        <w:rPr>
          <w:rFonts w:ascii="Open Sans Light" w:eastAsia="Open Sans Light" w:hAnsi="Open Sans Light" w:cs="Open Sans Light"/>
          <w:b/>
          <w:color w:val="303AB2"/>
        </w:rPr>
      </w:pPr>
      <w:bookmarkStart w:id="0" w:name="_heading=h.nimy3c5eed53" w:colFirst="0" w:colLast="0"/>
      <w:bookmarkEnd w:id="0"/>
      <w:r>
        <w:rPr>
          <w:rFonts w:ascii="Open Sans Light" w:eastAsia="Open Sans Light" w:hAnsi="Open Sans Light" w:cs="Open Sans Light"/>
          <w:b/>
          <w:color w:val="303AB2"/>
        </w:rPr>
        <w:t>Sobre Fotocasa</w:t>
      </w:r>
    </w:p>
    <w:p w14:paraId="58AC6EDD" w14:textId="77777777" w:rsidR="00E53E04"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sidR="00E53E04">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A25F82A" w14:textId="77777777" w:rsidR="00E53E04"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sidR="00E53E04">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DAE41F7" w14:textId="77777777" w:rsidR="00E53E04" w:rsidRDefault="00000000">
      <w:pPr>
        <w:shd w:val="clear" w:color="auto" w:fill="FFFFFF"/>
        <w:spacing w:before="280" w:after="280" w:line="276" w:lineRule="auto"/>
        <w:ind w:right="141"/>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31259159" w14:textId="77777777" w:rsidR="00E53E04" w:rsidRDefault="00E53E04">
      <w:pPr>
        <w:spacing w:line="276" w:lineRule="auto"/>
        <w:ind w:right="141"/>
        <w:jc w:val="right"/>
        <w:rPr>
          <w:rFonts w:ascii="Open Sans Light" w:eastAsia="Open Sans Light" w:hAnsi="Open Sans Light" w:cs="Open Sans Light"/>
          <w:b/>
          <w:color w:val="303AB2"/>
        </w:rPr>
      </w:pPr>
    </w:p>
    <w:p w14:paraId="0945DD66" w14:textId="77777777" w:rsidR="00E53E04"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84B5244" w14:textId="77777777" w:rsidR="00E53E04" w:rsidRDefault="00000000">
      <w:pPr>
        <w:spacing w:before="143" w:after="200"/>
        <w:ind w:right="141"/>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sidR="00E53E04">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sidR="00E53E04">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sidR="00E53E04">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sidR="00E53E04">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sidR="00E53E04">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E53E04">
        <w:fldChar w:fldCharType="begin"/>
      </w:r>
      <w:r w:rsidR="00E53E04">
        <w:instrText>HYPERLINK "https://www.milanuncios.com/" \h</w:instrText>
      </w:r>
      <w:r w:rsidR="00E53E04">
        <w:fldChar w:fldCharType="separate"/>
      </w:r>
      <w:r w:rsidR="00E53E04">
        <w:rPr>
          <w:rFonts w:ascii="Open Sans" w:eastAsia="Open Sans" w:hAnsi="Open Sans" w:cs="Open Sans"/>
          <w:color w:val="1155CC"/>
          <w:sz w:val="22"/>
          <w:szCs w:val="22"/>
          <w:u w:val="single"/>
        </w:rPr>
        <w:t>Milanuncios</w:t>
      </w:r>
      <w:proofErr w:type="spellEnd"/>
      <w:r w:rsidR="00E53E04">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C9FEE17" w14:textId="77777777" w:rsidR="00E53E04" w:rsidRDefault="00000000">
      <w:pPr>
        <w:spacing w:before="143" w:after="200"/>
        <w:ind w:right="141"/>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E7DDE10" w14:textId="77777777" w:rsidR="00E53E04" w:rsidRDefault="00000000">
      <w:pPr>
        <w:spacing w:before="143" w:after="200"/>
        <w:ind w:right="141"/>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DBD19BA" w14:textId="77777777" w:rsidR="00E53E04" w:rsidRDefault="00000000">
      <w:pPr>
        <w:spacing w:before="143" w:after="200"/>
        <w:ind w:right="141"/>
        <w:jc w:val="both"/>
        <w:rPr>
          <w:rFonts w:ascii="Open Sans" w:eastAsia="Open Sans" w:hAnsi="Open Sans" w:cs="Open Sans"/>
        </w:rPr>
      </w:pPr>
      <w:r>
        <w:rPr>
          <w:rFonts w:ascii="Open Sans" w:eastAsia="Open Sans" w:hAnsi="Open Sans" w:cs="Open Sans"/>
          <w:sz w:val="22"/>
          <w:szCs w:val="22"/>
        </w:rPr>
        <w:t xml:space="preserve">Más información en </w:t>
      </w:r>
      <w:hyperlink r:id="rId18">
        <w:r w:rsidR="00E53E04">
          <w:rPr>
            <w:rFonts w:ascii="Open Sans" w:eastAsia="Open Sans" w:hAnsi="Open Sans" w:cs="Open Sans"/>
            <w:color w:val="1155CC"/>
            <w:sz w:val="22"/>
            <w:szCs w:val="22"/>
            <w:u w:val="single"/>
          </w:rPr>
          <w:t>adevinta.es</w:t>
        </w:r>
      </w:hyperlink>
    </w:p>
    <w:p w14:paraId="1A90CF9C" w14:textId="77777777" w:rsidR="00E53E04" w:rsidRDefault="00E53E04">
      <w:pPr>
        <w:spacing w:line="276" w:lineRule="auto"/>
        <w:ind w:right="141"/>
        <w:jc w:val="right"/>
        <w:rPr>
          <w:rFonts w:ascii="Open Sans" w:eastAsia="Open Sans" w:hAnsi="Open Sans" w:cs="Open Sans"/>
        </w:rPr>
      </w:pPr>
    </w:p>
    <w:p w14:paraId="407961BF" w14:textId="77777777" w:rsidR="00E53E04" w:rsidRDefault="00E53E04">
      <w:pPr>
        <w:spacing w:line="276" w:lineRule="auto"/>
        <w:ind w:right="141"/>
        <w:jc w:val="right"/>
        <w:rPr>
          <w:rFonts w:ascii="Open Sans" w:eastAsia="Open Sans" w:hAnsi="Open Sans" w:cs="Open Sans"/>
        </w:rPr>
      </w:pPr>
    </w:p>
    <w:p w14:paraId="0BA7C092" w14:textId="77777777" w:rsidR="00E53E04"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D934EE5" w14:textId="77777777" w:rsidR="00E53E04"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7468753" w14:textId="77777777" w:rsidR="00E53E04" w:rsidRDefault="00E53E04">
      <w:pPr>
        <w:shd w:val="clear" w:color="auto" w:fill="FFFFFF"/>
        <w:spacing w:line="276" w:lineRule="auto"/>
        <w:ind w:right="141"/>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47C256B7" w14:textId="77777777" w:rsidR="00E53E04"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58582FA" w14:textId="77777777" w:rsidR="00E53E04" w:rsidRDefault="00E53E04">
      <w:pPr>
        <w:spacing w:line="276" w:lineRule="auto"/>
        <w:ind w:right="141"/>
        <w:rPr>
          <w:rFonts w:ascii="Open Sans Light" w:eastAsia="Open Sans Light" w:hAnsi="Open Sans Light" w:cs="Open Sans Light"/>
          <w:b/>
          <w:color w:val="303AB2"/>
          <w:sz w:val="22"/>
          <w:szCs w:val="22"/>
        </w:rPr>
      </w:pPr>
    </w:p>
    <w:p w14:paraId="6DFE51C9" w14:textId="77777777" w:rsidR="00E53E04" w:rsidRDefault="00E53E04">
      <w:pPr>
        <w:spacing w:line="276" w:lineRule="auto"/>
        <w:jc w:val="both"/>
        <w:rPr>
          <w:rFonts w:ascii="Open Sans" w:eastAsia="Open Sans" w:hAnsi="Open Sans" w:cs="Open Sans"/>
          <w:color w:val="000000"/>
          <w:sz w:val="21"/>
          <w:szCs w:val="21"/>
        </w:rPr>
      </w:pPr>
    </w:p>
    <w:sectPr w:rsidR="00E53E04">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CDAE2" w14:textId="77777777" w:rsidR="000B6BD7" w:rsidRDefault="000B6BD7">
      <w:r>
        <w:separator/>
      </w:r>
    </w:p>
  </w:endnote>
  <w:endnote w:type="continuationSeparator" w:id="0">
    <w:p w14:paraId="362C83AB" w14:textId="77777777" w:rsidR="000B6BD7" w:rsidRDefault="000B6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ED2D78A-EDC4-4929-BDC3-380F65F8DE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49DC825-6C6C-4DA6-AA46-1CB23465ABC9}"/>
    <w:embedBold r:id="rId3" w:fontKey="{38C3DE2B-AD89-4D96-8D32-2B2907C5AA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65747C8-0966-4FAD-B98E-E0B3BE5F6144}"/>
    <w:embedItalic r:id="rId5" w:fontKey="{B3E6F025-C7CB-4EBF-B8F6-F0101F3DECBD}"/>
  </w:font>
  <w:font w:name="Cambria">
    <w:panose1 w:val="02040503050406030204"/>
    <w:charset w:val="00"/>
    <w:family w:val="roman"/>
    <w:pitch w:val="variable"/>
    <w:sig w:usb0="E00006FF" w:usb1="420024FF" w:usb2="02000000" w:usb3="00000000" w:csb0="0000019F" w:csb1="00000000"/>
    <w:embedRegular r:id="rId6" w:fontKey="{D638BCED-913D-46B5-86F0-E010E89D56F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BB955318-AA61-4A47-8FFB-E4D48CBB2DD2}"/>
    <w:embedBold r:id="rId8" w:fontKey="{FD4A7312-72FC-46B9-9BAD-4C61765E362A}"/>
    <w:embedItalic r:id="rId9" w:fontKey="{DE40BC38-CE29-4169-AFC6-88A776702C09}"/>
    <w:embedBoldItalic r:id="rId10" w:fontKey="{7C9173F7-2705-4498-858F-C5A2D84736FA}"/>
  </w:font>
  <w:font w:name="Open Sans Light">
    <w:charset w:val="00"/>
    <w:family w:val="swiss"/>
    <w:pitch w:val="variable"/>
    <w:sig w:usb0="E00002EF" w:usb1="4000205B" w:usb2="00000028" w:usb3="00000000" w:csb0="0000019F" w:csb1="00000000"/>
    <w:embedRegular r:id="rId11" w:fontKey="{D1A2791B-EF16-4E11-BE12-BD2BDEA18229}"/>
    <w:embedBold r:id="rId12" w:fontKey="{C0836450-D1EE-420C-9851-D40CEA76C6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F3B1" w14:textId="77777777" w:rsidR="00E53E0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7926906" wp14:editId="16D3AEC6">
          <wp:simplePos x="0" y="0"/>
          <wp:positionH relativeFrom="column">
            <wp:posOffset>-1068052</wp:posOffset>
          </wp:positionH>
          <wp:positionV relativeFrom="paragraph">
            <wp:posOffset>174608</wp:posOffset>
          </wp:positionV>
          <wp:extent cx="7670550" cy="451315"/>
          <wp:effectExtent l="0" t="0" r="0" b="0"/>
          <wp:wrapNone/>
          <wp:docPr id="20937902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93B21" w14:textId="77777777" w:rsidR="000B6BD7" w:rsidRDefault="000B6BD7">
      <w:r>
        <w:separator/>
      </w:r>
    </w:p>
  </w:footnote>
  <w:footnote w:type="continuationSeparator" w:id="0">
    <w:p w14:paraId="4C2818A7" w14:textId="77777777" w:rsidR="000B6BD7" w:rsidRDefault="000B6B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A70845"/>
    <w:multiLevelType w:val="multilevel"/>
    <w:tmpl w:val="D69A6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3773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E04"/>
    <w:rsid w:val="000B3304"/>
    <w:rsid w:val="000B6BD7"/>
    <w:rsid w:val="000E6228"/>
    <w:rsid w:val="00233F5D"/>
    <w:rsid w:val="0025069D"/>
    <w:rsid w:val="0037048B"/>
    <w:rsid w:val="0037309D"/>
    <w:rsid w:val="003A3F88"/>
    <w:rsid w:val="003D3D8E"/>
    <w:rsid w:val="00507877"/>
    <w:rsid w:val="00A119A9"/>
    <w:rsid w:val="00A57CD0"/>
    <w:rsid w:val="00A61182"/>
    <w:rsid w:val="00B1714A"/>
    <w:rsid w:val="00C27829"/>
    <w:rsid w:val="00E53E04"/>
    <w:rsid w:val="00F653E4"/>
    <w:rsid w:val="00F869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F95F6"/>
  <w15:docId w15:val="{622923E0-275E-427B-9AE3-A427E6B0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d"/>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d"/>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a"/>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a"/>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paragraph" w:styleId="Revisin">
    <w:name w:val="Revision"/>
    <w:hidden/>
    <w:uiPriority w:val="99"/>
    <w:semiHidden/>
    <w:rsid w:val="00A11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384533">
      <w:bodyDiv w:val="1"/>
      <w:marLeft w:val="0"/>
      <w:marRight w:val="0"/>
      <w:marTop w:val="0"/>
      <w:marBottom w:val="0"/>
      <w:divBdr>
        <w:top w:val="none" w:sz="0" w:space="0" w:color="auto"/>
        <w:left w:val="none" w:sz="0" w:space="0" w:color="auto"/>
        <w:bottom w:val="none" w:sz="0" w:space="0" w:color="auto"/>
        <w:right w:val="none" w:sz="0" w:space="0" w:color="auto"/>
      </w:divBdr>
    </w:div>
    <w:div w:id="531039034">
      <w:bodyDiv w:val="1"/>
      <w:marLeft w:val="0"/>
      <w:marRight w:val="0"/>
      <w:marTop w:val="0"/>
      <w:marBottom w:val="0"/>
      <w:divBdr>
        <w:top w:val="none" w:sz="0" w:space="0" w:color="auto"/>
        <w:left w:val="none" w:sz="0" w:space="0" w:color="auto"/>
        <w:bottom w:val="none" w:sz="0" w:space="0" w:color="auto"/>
        <w:right w:val="none" w:sz="0" w:space="0" w:color="auto"/>
      </w:divBdr>
    </w:div>
    <w:div w:id="1916429212">
      <w:bodyDiv w:val="1"/>
      <w:marLeft w:val="0"/>
      <w:marRight w:val="0"/>
      <w:marTop w:val="0"/>
      <w:marBottom w:val="0"/>
      <w:divBdr>
        <w:top w:val="none" w:sz="0" w:space="0" w:color="auto"/>
        <w:left w:val="none" w:sz="0" w:space="0" w:color="auto"/>
        <w:bottom w:val="none" w:sz="0" w:space="0" w:color="auto"/>
        <w:right w:val="none" w:sz="0" w:space="0" w:color="auto"/>
      </w:divBdr>
    </w:div>
    <w:div w:id="2138067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image" Target="media/image3.jpeg"/><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uMcWi9ne9JkksJ0eMwd8tz5WQ==">CgMxLjAyDmgubmlteTNjNWVlZDUzMgloLjJzOGV5bzE4AHIhMTBSUXJGM1V0UkpjNUR3Qjh4cU4yN0ZTN2VkMlA2YUVK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840</Words>
  <Characters>4620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8</cp:revision>
  <dcterms:created xsi:type="dcterms:W3CDTF">2024-02-06T13:46:00Z</dcterms:created>
  <dcterms:modified xsi:type="dcterms:W3CDTF">2024-12-16T14:38:00Z</dcterms:modified>
</cp:coreProperties>
</file>