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435238" w14:textId="77777777" w:rsidR="00B0654D" w:rsidRDefault="00000000">
      <w:r>
        <w:rPr>
          <w:noProof/>
        </w:rPr>
        <w:drawing>
          <wp:anchor distT="0" distB="0" distL="114300" distR="114300" simplePos="0" relativeHeight="251658240" behindDoc="0" locked="0" layoutInCell="1" hidden="0" allowOverlap="1" wp14:anchorId="287742F2" wp14:editId="02500DB7">
            <wp:simplePos x="0" y="0"/>
            <wp:positionH relativeFrom="column">
              <wp:posOffset>-1078850</wp:posOffset>
            </wp:positionH>
            <wp:positionV relativeFrom="paragraph">
              <wp:posOffset>-350439</wp:posOffset>
            </wp:positionV>
            <wp:extent cx="7581265" cy="1019175"/>
            <wp:effectExtent l="0" t="0" r="0" b="0"/>
            <wp:wrapNone/>
            <wp:docPr id="173013020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68B5F41A" w14:textId="77777777" w:rsidR="00B0654D" w:rsidRDefault="00B0654D">
      <w:pPr>
        <w:jc w:val="right"/>
        <w:rPr>
          <w:rFonts w:ascii="National" w:eastAsia="National" w:hAnsi="National" w:cs="National"/>
          <w:color w:val="303AB2"/>
          <w:sz w:val="36"/>
          <w:szCs w:val="36"/>
        </w:rPr>
      </w:pPr>
    </w:p>
    <w:p w14:paraId="27626768" w14:textId="77777777" w:rsidR="00B0654D" w:rsidRDefault="00B0654D">
      <w:pPr>
        <w:jc w:val="right"/>
        <w:rPr>
          <w:rFonts w:ascii="National" w:eastAsia="National" w:hAnsi="National" w:cs="National"/>
          <w:color w:val="303AB2"/>
          <w:sz w:val="36"/>
          <w:szCs w:val="36"/>
        </w:rPr>
      </w:pPr>
    </w:p>
    <w:p w14:paraId="0525D215" w14:textId="77777777" w:rsidR="00B0654D" w:rsidRDefault="00B0654D">
      <w:pPr>
        <w:rPr>
          <w:rFonts w:ascii="National" w:eastAsia="National" w:hAnsi="National" w:cs="National"/>
          <w:color w:val="303AB2"/>
          <w:sz w:val="18"/>
          <w:szCs w:val="18"/>
        </w:rPr>
      </w:pPr>
    </w:p>
    <w:p w14:paraId="16F9262E" w14:textId="77777777" w:rsidR="00B0654D" w:rsidRDefault="00000000">
      <w:pPr>
        <w:spacing w:line="276" w:lineRule="auto"/>
        <w:jc w:val="center"/>
        <w:rPr>
          <w:rFonts w:ascii="National" w:eastAsia="National" w:hAnsi="National" w:cs="National"/>
          <w:b/>
          <w:color w:val="1DBDC5"/>
          <w:sz w:val="26"/>
          <w:szCs w:val="26"/>
        </w:rPr>
      </w:pPr>
      <w:r>
        <w:rPr>
          <w:rFonts w:ascii="National" w:eastAsia="National" w:hAnsi="National" w:cs="National"/>
          <w:b/>
          <w:color w:val="1DBDC5"/>
          <w:sz w:val="26"/>
          <w:szCs w:val="26"/>
        </w:rPr>
        <w:t>RADIOGRAFÍA DEL MERCADO DE LA VIVIENDA EN EL SEGUNDO SEMESTRE DE 2024</w:t>
      </w:r>
    </w:p>
    <w:p w14:paraId="6F3A6F2D" w14:textId="77777777" w:rsidR="00B0654D" w:rsidRDefault="00000000">
      <w:pPr>
        <w:jc w:val="center"/>
        <w:rPr>
          <w:rFonts w:ascii="National" w:eastAsia="National" w:hAnsi="National" w:cs="National"/>
          <w:b/>
          <w:color w:val="303AB2"/>
          <w:sz w:val="50"/>
          <w:szCs w:val="50"/>
        </w:rPr>
      </w:pPr>
      <w:r>
        <w:rPr>
          <w:rFonts w:ascii="National" w:eastAsia="National" w:hAnsi="National" w:cs="National"/>
          <w:b/>
          <w:color w:val="303AB2"/>
          <w:sz w:val="50"/>
          <w:szCs w:val="50"/>
        </w:rPr>
        <w:t>La demanda de compra se intensifica: un 23% de españoles quiere comprar vivienda en los próximos cinco años</w:t>
      </w:r>
    </w:p>
    <w:p w14:paraId="2FC80197" w14:textId="77777777" w:rsidR="00B0654D" w:rsidRDefault="00B0654D">
      <w:pPr>
        <w:spacing w:line="276" w:lineRule="auto"/>
        <w:ind w:right="4"/>
        <w:jc w:val="both"/>
        <w:rPr>
          <w:rFonts w:ascii="Open Sans" w:eastAsia="Open Sans" w:hAnsi="Open Sans" w:cs="Open Sans"/>
          <w:color w:val="303AB2"/>
        </w:rPr>
      </w:pPr>
    </w:p>
    <w:p w14:paraId="26F1DB98" w14:textId="77777777" w:rsidR="00B0654D"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Un 8% planea hacerlo en los próximos dos años y un 15% en un plazo que oscila entre los dos y cinco años</w:t>
      </w:r>
    </w:p>
    <w:p w14:paraId="2782129D" w14:textId="77777777" w:rsidR="00B0654D"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 xml:space="preserve">El 46% de las personas entre los 25 y los 34 años prevé convertirse en propietario en un plazo no superior a cinco años </w:t>
      </w:r>
    </w:p>
    <w:p w14:paraId="4410D3F2" w14:textId="77777777" w:rsidR="00B0654D" w:rsidRDefault="00000000">
      <w:pPr>
        <w:numPr>
          <w:ilvl w:val="0"/>
          <w:numId w:val="1"/>
        </w:numPr>
        <w:spacing w:line="276" w:lineRule="auto"/>
        <w:ind w:right="4"/>
        <w:jc w:val="both"/>
        <w:rPr>
          <w:rFonts w:ascii="Open Sans" w:eastAsia="Open Sans" w:hAnsi="Open Sans" w:cs="Open Sans"/>
          <w:color w:val="303AB2"/>
        </w:rPr>
      </w:pPr>
      <w:r>
        <w:rPr>
          <w:rFonts w:ascii="Open Sans" w:eastAsia="Open Sans" w:hAnsi="Open Sans" w:cs="Open Sans"/>
          <w:color w:val="303AB2"/>
        </w:rPr>
        <w:t>La carencia de ahorros suficientes y la situación económica o laboral continúan siendo los principales frenos para comprar una vivienda, aunque son factores que pierden fuerza respecto a 2023</w:t>
      </w:r>
    </w:p>
    <w:p w14:paraId="549FCC9F" w14:textId="77777777" w:rsidR="00B0654D" w:rsidRDefault="00B0654D">
      <w:pPr>
        <w:spacing w:line="276" w:lineRule="auto"/>
        <w:ind w:left="720" w:right="4"/>
        <w:jc w:val="both"/>
        <w:rPr>
          <w:rFonts w:ascii="Open Sans" w:eastAsia="Open Sans" w:hAnsi="Open Sans" w:cs="Open Sans"/>
          <w:color w:val="303AB2"/>
        </w:rPr>
      </w:pPr>
    </w:p>
    <w:p w14:paraId="1179C436" w14:textId="77777777" w:rsidR="00B0654D" w:rsidRDefault="00000000">
      <w:pPr>
        <w:pBdr>
          <w:top w:val="nil"/>
          <w:left w:val="nil"/>
          <w:bottom w:val="nil"/>
          <w:right w:val="nil"/>
          <w:between w:val="nil"/>
        </w:pBdr>
        <w:spacing w:line="276" w:lineRule="auto"/>
        <w:jc w:val="both"/>
        <w:rPr>
          <w:rFonts w:ascii="Open Sans" w:eastAsia="Open Sans" w:hAnsi="Open Sans" w:cs="Open Sans"/>
        </w:rPr>
      </w:pPr>
      <w:r>
        <w:rPr>
          <w:rFonts w:ascii="Open Sans Light" w:eastAsia="Open Sans Light" w:hAnsi="Open Sans Light" w:cs="Open Sans Light"/>
          <w:b/>
          <w:color w:val="303AB2"/>
          <w:sz w:val="22"/>
          <w:szCs w:val="22"/>
        </w:rPr>
        <w:t>Madrid, 13 de diciembre de 2024</w:t>
      </w:r>
    </w:p>
    <w:p w14:paraId="0768F3EF" w14:textId="77777777" w:rsidR="00B0654D" w:rsidRDefault="00B0654D">
      <w:pPr>
        <w:spacing w:line="276" w:lineRule="auto"/>
        <w:ind w:right="4"/>
        <w:jc w:val="both"/>
        <w:rPr>
          <w:rFonts w:ascii="Open Sans" w:eastAsia="Open Sans" w:hAnsi="Open Sans" w:cs="Open Sans"/>
        </w:rPr>
      </w:pPr>
    </w:p>
    <w:p w14:paraId="6062C0A9"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b/>
        </w:rPr>
        <w:t>La demanda para comprar vivienda se va a seguir intensificando durante los próximos años.</w:t>
      </w:r>
      <w:r>
        <w:rPr>
          <w:rFonts w:ascii="Open Sans" w:eastAsia="Open Sans" w:hAnsi="Open Sans" w:cs="Open Sans"/>
        </w:rPr>
        <w:t xml:space="preserve"> Y es que un 23% de españoles que durante 2024 no ha buscado vivienda para comprar sí que prevé hacerlo en los próximos cinco años. Este es un porcentaje mayor que a principios de año, cuando el porcentaje era del 20%. Esta es una de las principales conclusiones de los informes “</w:t>
      </w:r>
      <w:hyperlink r:id="rId9">
        <w:r>
          <w:rPr>
            <w:rFonts w:ascii="Open Sans" w:eastAsia="Open Sans" w:hAnsi="Open Sans" w:cs="Open Sans"/>
            <w:b/>
            <w:i/>
            <w:color w:val="0000FF"/>
            <w:u w:val="single"/>
          </w:rPr>
          <w:t>Radiografía del mercado inmobiliario en el segundo semestre de 2024</w:t>
        </w:r>
      </w:hyperlink>
      <w:r>
        <w:rPr>
          <w:rFonts w:ascii="Open Sans" w:eastAsia="Open Sans" w:hAnsi="Open Sans" w:cs="Open Sans"/>
        </w:rPr>
        <w:t>”.</w:t>
      </w:r>
    </w:p>
    <w:p w14:paraId="4785ED02" w14:textId="77777777" w:rsidR="00B0654D" w:rsidRDefault="00B0654D">
      <w:pPr>
        <w:spacing w:line="276" w:lineRule="auto"/>
        <w:ind w:right="4"/>
        <w:jc w:val="both"/>
        <w:rPr>
          <w:rFonts w:ascii="Open Sans" w:eastAsia="Open Sans" w:hAnsi="Open Sans" w:cs="Open Sans"/>
        </w:rPr>
      </w:pPr>
    </w:p>
    <w:p w14:paraId="77E248DB" w14:textId="77777777" w:rsidR="00B0654D"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Si se analiza este dato con mayor detenimiento, vemos que de ese 23% que tiene previsto comprar, </w:t>
      </w:r>
      <w:r>
        <w:rPr>
          <w:rFonts w:ascii="Open Sans" w:eastAsia="Open Sans" w:hAnsi="Open Sans" w:cs="Open Sans"/>
          <w:b/>
        </w:rPr>
        <w:t>un 8% planea hacerlo en los próximos dos años y un 15% en un plazo que oscila entre los dos y cinco años</w:t>
      </w:r>
      <w:r>
        <w:rPr>
          <w:rFonts w:ascii="Open Sans" w:eastAsia="Open Sans" w:hAnsi="Open Sans" w:cs="Open Sans"/>
        </w:rPr>
        <w:t xml:space="preserve">. Pese a este incremento, nos encontramos otro dato significativo, y es que el porcentaje de </w:t>
      </w:r>
      <w:r>
        <w:rPr>
          <w:rFonts w:ascii="Open Sans" w:eastAsia="Open Sans" w:hAnsi="Open Sans" w:cs="Open Sans"/>
          <w:b/>
        </w:rPr>
        <w:t xml:space="preserve">los que asegura no tener ninguna intención de compra en el medio y largo plazo también crece, entre 2023 y 2024, del 46% al 49%. </w:t>
      </w:r>
      <w:r>
        <w:rPr>
          <w:rFonts w:ascii="Open Sans" w:eastAsia="Open Sans" w:hAnsi="Open Sans" w:cs="Open Sans"/>
        </w:rPr>
        <w:t>Consecuentemente con este último dato, también decrecen los que, pese a no tener propósito de adquirir una vivienda en cinco años, no descartan hacerlo más adelante (del 32% pasan al 28%).</w:t>
      </w:r>
    </w:p>
    <w:p w14:paraId="3F11DF50" w14:textId="77777777" w:rsidR="00B0654D" w:rsidRDefault="00000000">
      <w:pPr>
        <w:spacing w:line="276" w:lineRule="auto"/>
        <w:ind w:right="4"/>
        <w:jc w:val="both"/>
        <w:rPr>
          <w:rFonts w:ascii="Open Sans" w:eastAsia="Open Sans" w:hAnsi="Open Sans" w:cs="Open Sans"/>
        </w:rPr>
      </w:pPr>
      <w:r>
        <w:rPr>
          <w:noProof/>
        </w:rPr>
        <w:lastRenderedPageBreak/>
        <w:drawing>
          <wp:inline distT="0" distB="0" distL="0" distR="0" wp14:anchorId="542AEA1D" wp14:editId="0D644311">
            <wp:extent cx="5760720" cy="3388360"/>
            <wp:effectExtent l="0" t="0" r="0" b="0"/>
            <wp:docPr id="1730130209" name="image4.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4.png" descr="Imagen que contiene Interfaz de usuario gráfica&#10;&#10;Descripción generada automáticamente"/>
                    <pic:cNvPicPr preferRelativeResize="0"/>
                  </pic:nvPicPr>
                  <pic:blipFill>
                    <a:blip r:embed="rId10"/>
                    <a:srcRect/>
                    <a:stretch>
                      <a:fillRect/>
                    </a:stretch>
                  </pic:blipFill>
                  <pic:spPr>
                    <a:xfrm>
                      <a:off x="0" y="0"/>
                      <a:ext cx="5760720" cy="3388360"/>
                    </a:xfrm>
                    <a:prstGeom prst="rect">
                      <a:avLst/>
                    </a:prstGeom>
                    <a:ln/>
                  </pic:spPr>
                </pic:pic>
              </a:graphicData>
            </a:graphic>
          </wp:inline>
        </w:drawing>
      </w:r>
    </w:p>
    <w:p w14:paraId="2BB0CD51" w14:textId="77777777" w:rsidR="00B0654D" w:rsidRDefault="00B0654D">
      <w:pPr>
        <w:spacing w:line="276" w:lineRule="auto"/>
        <w:ind w:right="4"/>
        <w:jc w:val="both"/>
        <w:rPr>
          <w:rFonts w:ascii="Open Sans" w:eastAsia="Open Sans" w:hAnsi="Open Sans" w:cs="Open Sans"/>
        </w:rPr>
      </w:pPr>
    </w:p>
    <w:p w14:paraId="38C15A51"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rPr>
        <w:t xml:space="preserve">“La demanda de compra está en máximos impulsada particularmente por la mejora en las condiciones hipotecarias. A nivel general, las dinámicas como el crecimiento poblacional con especial aumento en los flujos migratorios, el creciente foco inversor, el mayor peso del turismo residencial que compra vivienda y el cambio de la sociedad hacia más hogares unipersonales, elevan el interés por comprar vivienda en España. De hecho, la creación de hogares (en torno a 300.000) está un 40% por encima de las viviendas producidas anualmente (casi 100.000 unidades)”, </w:t>
      </w:r>
      <w:r w:rsidRPr="002F1A16">
        <w:rPr>
          <w:rFonts w:ascii="Open Sans" w:eastAsia="Open Sans" w:hAnsi="Open Sans" w:cs="Open Sans"/>
          <w:b/>
          <w:bCs/>
        </w:rPr>
        <w:t xml:space="preserve">comenta María Matos, directora de Estudios y portavoz de </w:t>
      </w:r>
      <w:hyperlink r:id="rId11">
        <w:r w:rsidRPr="002F1A16">
          <w:rPr>
            <w:rFonts w:ascii="Open Sans" w:eastAsia="Open Sans" w:hAnsi="Open Sans" w:cs="Open Sans"/>
            <w:b/>
            <w:bCs/>
            <w:color w:val="1155CC"/>
            <w:u w:val="single"/>
          </w:rPr>
          <w:t>Fotocasa</w:t>
        </w:r>
      </w:hyperlink>
      <w:r w:rsidRPr="002F1A16">
        <w:rPr>
          <w:rFonts w:ascii="Open Sans" w:eastAsia="Open Sans" w:hAnsi="Open Sans" w:cs="Open Sans"/>
          <w:b/>
          <w:bCs/>
        </w:rPr>
        <w:t>.</w:t>
      </w:r>
    </w:p>
    <w:p w14:paraId="6CB2B09C" w14:textId="77777777" w:rsidR="00B0654D" w:rsidRDefault="00B0654D">
      <w:pPr>
        <w:spacing w:line="276" w:lineRule="auto"/>
        <w:ind w:right="4"/>
        <w:jc w:val="both"/>
        <w:rPr>
          <w:rFonts w:ascii="Open Sans" w:eastAsia="Open Sans" w:hAnsi="Open Sans" w:cs="Open Sans"/>
        </w:rPr>
      </w:pPr>
    </w:p>
    <w:p w14:paraId="1E2E530D"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b/>
        </w:rPr>
        <w:t>El grupo integrado por los jóvenes es el que muestra mayor intención a adquirir una vivienda en un plazo de, como máximo, cinco años</w:t>
      </w:r>
      <w:r>
        <w:rPr>
          <w:rFonts w:ascii="Open Sans" w:eastAsia="Open Sans" w:hAnsi="Open Sans" w:cs="Open Sans"/>
        </w:rPr>
        <w:t>. En concreto, el 46% de las personas entre los 25 y los 34 años prevé convertirse en propietario en un plazo no superior a cinco años. Es un porcentaje muy superior al registrado en agosto de 2023, cuando se alcanzó el 42%.</w:t>
      </w:r>
    </w:p>
    <w:p w14:paraId="7234CF4B" w14:textId="77777777" w:rsidR="00B0654D" w:rsidRDefault="00B0654D">
      <w:pPr>
        <w:spacing w:line="276" w:lineRule="auto"/>
        <w:ind w:right="4"/>
        <w:jc w:val="both"/>
        <w:rPr>
          <w:rFonts w:ascii="Open Sans" w:eastAsia="Open Sans" w:hAnsi="Open Sans" w:cs="Open Sans"/>
        </w:rPr>
      </w:pPr>
    </w:p>
    <w:p w14:paraId="6F016B93"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rPr>
        <w:t>Aún mayor es el incremento en la intención de compra de los más jóvenes (18-24 años) a medio o largo plazo, ya que se impulsa desde el 37% de doce meses antes al 45% de 2024, una subida de ocho puntos porcentuales.</w:t>
      </w:r>
    </w:p>
    <w:p w14:paraId="4533DED2" w14:textId="77777777" w:rsidR="002F1A16" w:rsidRDefault="002F1A16">
      <w:pPr>
        <w:spacing w:line="276" w:lineRule="auto"/>
        <w:ind w:right="4"/>
        <w:jc w:val="both"/>
        <w:rPr>
          <w:rFonts w:ascii="Open Sans" w:eastAsia="Open Sans" w:hAnsi="Open Sans" w:cs="Open Sans"/>
        </w:rPr>
      </w:pPr>
    </w:p>
    <w:p w14:paraId="2488E602" w14:textId="77777777" w:rsidR="00B0654D" w:rsidRDefault="00B0654D">
      <w:pPr>
        <w:spacing w:line="276" w:lineRule="auto"/>
        <w:ind w:right="4"/>
        <w:jc w:val="both"/>
        <w:rPr>
          <w:rFonts w:ascii="Open Sans" w:eastAsia="Open Sans" w:hAnsi="Open Sans" w:cs="Open Sans"/>
        </w:rPr>
      </w:pPr>
    </w:p>
    <w:p w14:paraId="32EC9B17" w14:textId="77777777" w:rsidR="00B0654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lastRenderedPageBreak/>
        <w:t>Razones para aplazar la compra</w:t>
      </w:r>
    </w:p>
    <w:p w14:paraId="3A069C52" w14:textId="77777777" w:rsidR="00B0654D" w:rsidRDefault="00B0654D">
      <w:pPr>
        <w:spacing w:line="276" w:lineRule="auto"/>
        <w:ind w:right="4"/>
        <w:jc w:val="both"/>
        <w:rPr>
          <w:rFonts w:ascii="Open Sans" w:eastAsia="Open Sans" w:hAnsi="Open Sans" w:cs="Open Sans"/>
        </w:rPr>
      </w:pPr>
    </w:p>
    <w:p w14:paraId="2AA7BCE6"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b/>
        </w:rPr>
        <w:t>La carencia de ahorros suficientes y la situación económica o laboral continúan siendo los principales frenos para la adquisición de vivienda a corto-medio plazo</w:t>
      </w:r>
      <w:r>
        <w:rPr>
          <w:rFonts w:ascii="Open Sans" w:eastAsia="Open Sans" w:hAnsi="Open Sans" w:cs="Open Sans"/>
        </w:rPr>
        <w:t xml:space="preserve"> entre los españoles que muestran intención de comprar un inmueble en un plazo inferior a cinco años.</w:t>
      </w:r>
    </w:p>
    <w:p w14:paraId="0006857F" w14:textId="77777777" w:rsidR="00B0654D" w:rsidRDefault="00B0654D">
      <w:pPr>
        <w:spacing w:line="276" w:lineRule="auto"/>
        <w:ind w:right="4"/>
        <w:jc w:val="both"/>
        <w:rPr>
          <w:rFonts w:ascii="Open Sans" w:eastAsia="Open Sans" w:hAnsi="Open Sans" w:cs="Open Sans"/>
        </w:rPr>
      </w:pPr>
    </w:p>
    <w:p w14:paraId="7E788C12" w14:textId="352CD278" w:rsidR="00BA4981" w:rsidRDefault="00BA4981">
      <w:pPr>
        <w:spacing w:line="276" w:lineRule="auto"/>
        <w:ind w:right="4"/>
        <w:jc w:val="both"/>
        <w:rPr>
          <w:rFonts w:ascii="Open Sans" w:eastAsia="Open Sans" w:hAnsi="Open Sans" w:cs="Open Sans"/>
        </w:rPr>
      </w:pPr>
      <w:r>
        <w:rPr>
          <w:noProof/>
        </w:rPr>
        <w:drawing>
          <wp:inline distT="0" distB="0" distL="0" distR="0" wp14:anchorId="139305BB" wp14:editId="5DBE8943">
            <wp:extent cx="5865340" cy="5469924"/>
            <wp:effectExtent l="0" t="0" r="2540" b="0"/>
            <wp:docPr id="1730130208" name="image5.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5.png" descr="Gráfico, Gráfico de barras&#10;&#10;Descripción generada automáticamente"/>
                    <pic:cNvPicPr preferRelativeResize="0"/>
                  </pic:nvPicPr>
                  <pic:blipFill>
                    <a:blip r:embed="rId12"/>
                    <a:srcRect/>
                    <a:stretch>
                      <a:fillRect/>
                    </a:stretch>
                  </pic:blipFill>
                  <pic:spPr>
                    <a:xfrm>
                      <a:off x="0" y="0"/>
                      <a:ext cx="5897681" cy="5500084"/>
                    </a:xfrm>
                    <a:prstGeom prst="rect">
                      <a:avLst/>
                    </a:prstGeom>
                    <a:ln/>
                  </pic:spPr>
                </pic:pic>
              </a:graphicData>
            </a:graphic>
          </wp:inline>
        </w:drawing>
      </w:r>
    </w:p>
    <w:p w14:paraId="5CF7225A" w14:textId="77777777" w:rsidR="00BA4981" w:rsidRDefault="00BA4981">
      <w:pPr>
        <w:spacing w:line="276" w:lineRule="auto"/>
        <w:ind w:right="4"/>
        <w:jc w:val="both"/>
        <w:rPr>
          <w:rFonts w:ascii="Open Sans" w:eastAsia="Open Sans" w:hAnsi="Open Sans" w:cs="Open Sans"/>
        </w:rPr>
      </w:pPr>
    </w:p>
    <w:p w14:paraId="153C069F"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rPr>
        <w:t xml:space="preserve">No obstante, </w:t>
      </w:r>
      <w:r>
        <w:rPr>
          <w:rFonts w:ascii="Open Sans" w:eastAsia="Open Sans" w:hAnsi="Open Sans" w:cs="Open Sans"/>
          <w:b/>
        </w:rPr>
        <w:t>ambos factores pierden fuerza respecto a 2023</w:t>
      </w:r>
      <w:r>
        <w:rPr>
          <w:rFonts w:ascii="Open Sans" w:eastAsia="Open Sans" w:hAnsi="Open Sans" w:cs="Open Sans"/>
        </w:rPr>
        <w:t>. Así, la falta de ahorro como lastre de los deseos de los potenciales compradores cae del 41% al 33%, mientras que la situación económica/laboral propia lo hace del 32% al 27%.</w:t>
      </w:r>
    </w:p>
    <w:p w14:paraId="5B6C538B" w14:textId="78FB5E31" w:rsidR="00B0654D" w:rsidRDefault="00000000">
      <w:pPr>
        <w:spacing w:line="276" w:lineRule="auto"/>
        <w:ind w:right="4"/>
        <w:jc w:val="both"/>
        <w:rPr>
          <w:rFonts w:ascii="Open Sans" w:eastAsia="Open Sans" w:hAnsi="Open Sans" w:cs="Open Sans"/>
        </w:rPr>
      </w:pPr>
      <w:r>
        <w:rPr>
          <w:rFonts w:ascii="Open Sans" w:eastAsia="Open Sans" w:hAnsi="Open Sans" w:cs="Open Sans"/>
        </w:rPr>
        <w:t xml:space="preserve">Lo mismo ocurre con las siguientes razones aducidas, como los altos precios o la adaptación de estos al presupuesto de cada uno. En el primer caso, la cifra decae del 29% al 25%, mientras que en el segundo se reduce del 26% al 23%. Por su </w:t>
      </w:r>
      <w:r>
        <w:rPr>
          <w:rFonts w:ascii="Open Sans" w:eastAsia="Open Sans" w:hAnsi="Open Sans" w:cs="Open Sans"/>
        </w:rPr>
        <w:lastRenderedPageBreak/>
        <w:t>parte, el argumento de que ahora se tienen otras prioridades o gastos ocupa la quinta posición, aunque, al igual que las razones precedentes, también</w:t>
      </w:r>
      <w:r w:rsidR="00153282">
        <w:rPr>
          <w:rFonts w:ascii="Open Sans" w:eastAsia="Open Sans" w:hAnsi="Open Sans" w:cs="Open Sans"/>
        </w:rPr>
        <w:t xml:space="preserve"> </w:t>
      </w:r>
      <w:r>
        <w:rPr>
          <w:rFonts w:ascii="Open Sans" w:eastAsia="Open Sans" w:hAnsi="Open Sans" w:cs="Open Sans"/>
        </w:rPr>
        <w:t>pierde fuelle, descendiendo del 25% al 21%.</w:t>
      </w:r>
    </w:p>
    <w:p w14:paraId="7F0EDAFD" w14:textId="77777777" w:rsidR="00BA4981" w:rsidRDefault="00BA4981">
      <w:pPr>
        <w:spacing w:line="276" w:lineRule="auto"/>
        <w:ind w:right="4"/>
        <w:jc w:val="both"/>
        <w:rPr>
          <w:rFonts w:ascii="Open Sans" w:eastAsia="Open Sans" w:hAnsi="Open Sans" w:cs="Open Sans"/>
        </w:rPr>
      </w:pPr>
    </w:p>
    <w:p w14:paraId="6B3CD792" w14:textId="77777777" w:rsidR="00BA4981" w:rsidRDefault="00BA4981" w:rsidP="00BA4981">
      <w:pPr>
        <w:spacing w:line="276" w:lineRule="auto"/>
        <w:ind w:right="4"/>
        <w:jc w:val="both"/>
        <w:rPr>
          <w:rFonts w:ascii="Open Sans" w:eastAsia="Open Sans" w:hAnsi="Open Sans" w:cs="Open Sans"/>
        </w:rPr>
      </w:pPr>
      <w:r>
        <w:rPr>
          <w:rFonts w:ascii="Open Sans" w:eastAsia="Open Sans" w:hAnsi="Open Sans" w:cs="Open Sans"/>
        </w:rPr>
        <w:t xml:space="preserve">Nos encontramos, por lo tanto, ante </w:t>
      </w:r>
      <w:r>
        <w:rPr>
          <w:rFonts w:ascii="Open Sans" w:eastAsia="Open Sans" w:hAnsi="Open Sans" w:cs="Open Sans"/>
          <w:b/>
        </w:rPr>
        <w:t>un escenario donde los principales obstáculos para los propósitos a corto y medio plazo para la compra de una vivienda parecen haberse suavizado de manera generalizada.</w:t>
      </w:r>
      <w:r>
        <w:rPr>
          <w:rFonts w:ascii="Open Sans" w:eastAsia="Open Sans" w:hAnsi="Open Sans" w:cs="Open Sans"/>
        </w:rPr>
        <w:t xml:space="preserve"> Lo mismo sucede con el obstáculo que suponen las condiciones hipotecarias, un hándicap que se reduce desde el 18% al 12%.</w:t>
      </w:r>
    </w:p>
    <w:p w14:paraId="6B9C6E35" w14:textId="77777777" w:rsidR="00BA4981" w:rsidRDefault="00BA4981">
      <w:pPr>
        <w:spacing w:line="276" w:lineRule="auto"/>
        <w:ind w:right="4"/>
        <w:jc w:val="both"/>
        <w:rPr>
          <w:rFonts w:ascii="Open Sans" w:eastAsia="Open Sans" w:hAnsi="Open Sans" w:cs="Open Sans"/>
        </w:rPr>
      </w:pPr>
    </w:p>
    <w:p w14:paraId="096C96C3" w14:textId="77777777" w:rsidR="00B0654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sz w:val="28"/>
          <w:szCs w:val="28"/>
        </w:rPr>
      </w:pPr>
      <w:r>
        <w:rPr>
          <w:rFonts w:ascii="Open Sans Light" w:eastAsia="Open Sans Light" w:hAnsi="Open Sans Light" w:cs="Open Sans Light"/>
          <w:b/>
          <w:color w:val="303AB2"/>
          <w:sz w:val="28"/>
          <w:szCs w:val="28"/>
        </w:rPr>
        <w:t>¿Quién descarta comprar vivienda?</w:t>
      </w:r>
    </w:p>
    <w:p w14:paraId="25E07A81" w14:textId="77777777" w:rsidR="00B0654D" w:rsidRDefault="00B0654D">
      <w:pPr>
        <w:spacing w:line="276" w:lineRule="auto"/>
        <w:ind w:right="4"/>
        <w:jc w:val="both"/>
        <w:rPr>
          <w:rFonts w:ascii="Open Sans" w:eastAsia="Open Sans" w:hAnsi="Open Sans" w:cs="Open Sans"/>
        </w:rPr>
      </w:pPr>
    </w:p>
    <w:p w14:paraId="345E2BDB" w14:textId="71A4BB9C" w:rsidR="00B0654D" w:rsidRDefault="00000000">
      <w:pPr>
        <w:spacing w:line="276" w:lineRule="auto"/>
        <w:ind w:right="4"/>
        <w:jc w:val="both"/>
        <w:rPr>
          <w:rFonts w:ascii="Open Sans" w:eastAsia="Open Sans" w:hAnsi="Open Sans" w:cs="Open Sans"/>
        </w:rPr>
      </w:pPr>
      <w:r>
        <w:rPr>
          <w:rFonts w:ascii="Open Sans" w:eastAsia="Open Sans" w:hAnsi="Open Sans" w:cs="Open Sans"/>
        </w:rPr>
        <w:t xml:space="preserve">Por su parte, </w:t>
      </w:r>
      <w:r>
        <w:rPr>
          <w:rFonts w:ascii="Open Sans" w:eastAsia="Open Sans" w:hAnsi="Open Sans" w:cs="Open Sans"/>
          <w:b/>
        </w:rPr>
        <w:t>entre quienes descartan tanto a medio como a largo plazo la opción de adquirir una vivienda</w:t>
      </w:r>
      <w:r>
        <w:rPr>
          <w:rFonts w:ascii="Open Sans" w:eastAsia="Open Sans" w:hAnsi="Open Sans" w:cs="Open Sans"/>
        </w:rPr>
        <w:t>,</w:t>
      </w:r>
      <w:r>
        <w:rPr>
          <w:rFonts w:ascii="Open Sans" w:eastAsia="Open Sans" w:hAnsi="Open Sans" w:cs="Open Sans"/>
          <w:b/>
        </w:rPr>
        <w:t xml:space="preserve"> </w:t>
      </w:r>
      <w:r>
        <w:rPr>
          <w:rFonts w:ascii="Open Sans" w:eastAsia="Open Sans" w:hAnsi="Open Sans" w:cs="Open Sans"/>
        </w:rPr>
        <w:t xml:space="preserve">su principal razón para ello es el hecho de que su situación laboral y/o económica no les permite acceder a la compra. Es lo que explican el 37% de los consultados de este espectro, seis puntos más que el 31% de hace un año, aunque idéntico porcentaje que el recogido el pasado mes de febrero. </w:t>
      </w:r>
    </w:p>
    <w:p w14:paraId="1BC542FB" w14:textId="77777777" w:rsidR="00B0654D" w:rsidRDefault="00000000" w:rsidP="00BA4981">
      <w:pPr>
        <w:spacing w:line="276" w:lineRule="auto"/>
        <w:ind w:right="4"/>
        <w:jc w:val="center"/>
        <w:rPr>
          <w:rFonts w:ascii="Open Sans" w:eastAsia="Open Sans" w:hAnsi="Open Sans" w:cs="Open Sans"/>
        </w:rPr>
      </w:pPr>
      <w:r>
        <w:rPr>
          <w:noProof/>
        </w:rPr>
        <w:drawing>
          <wp:inline distT="0" distB="0" distL="0" distR="0" wp14:anchorId="520BA5A6" wp14:editId="03F3D74A">
            <wp:extent cx="5247502" cy="4530811"/>
            <wp:effectExtent l="0" t="0" r="0" b="3175"/>
            <wp:docPr id="1730130210" name="image2.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2.png" descr="Gráfico, Gráfico de barras&#10;&#10;Descripción generada automáticamente"/>
                    <pic:cNvPicPr preferRelativeResize="0"/>
                  </pic:nvPicPr>
                  <pic:blipFill>
                    <a:blip r:embed="rId13"/>
                    <a:srcRect/>
                    <a:stretch>
                      <a:fillRect/>
                    </a:stretch>
                  </pic:blipFill>
                  <pic:spPr>
                    <a:xfrm>
                      <a:off x="0" y="0"/>
                      <a:ext cx="5261793" cy="4543150"/>
                    </a:xfrm>
                    <a:prstGeom prst="rect">
                      <a:avLst/>
                    </a:prstGeom>
                    <a:ln/>
                  </pic:spPr>
                </pic:pic>
              </a:graphicData>
            </a:graphic>
          </wp:inline>
        </w:drawing>
      </w:r>
    </w:p>
    <w:p w14:paraId="268851C9"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rPr>
        <w:lastRenderedPageBreak/>
        <w:t>A continuación, se argumenta que los precios de compra no encajan con su presupuesto, un motivo al que acuden el 25% de los consultados, ocho puntos porcentuales menos que el 33% de un año antes.</w:t>
      </w:r>
    </w:p>
    <w:p w14:paraId="56B65BAB" w14:textId="77777777" w:rsidR="00B0654D" w:rsidRDefault="00B0654D">
      <w:pPr>
        <w:spacing w:line="276" w:lineRule="auto"/>
        <w:ind w:right="4"/>
        <w:jc w:val="both"/>
        <w:rPr>
          <w:rFonts w:ascii="Open Sans" w:eastAsia="Open Sans" w:hAnsi="Open Sans" w:cs="Open Sans"/>
        </w:rPr>
      </w:pPr>
    </w:p>
    <w:p w14:paraId="2CE78C2F" w14:textId="77777777" w:rsidR="00B0654D"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Llama la atención la disparidad en la tendencia de ambos valores, que quizá podría explicarse en la anulación de la primera razón en detrimento de la segunda. Es decir, que </w:t>
      </w:r>
      <w:r>
        <w:rPr>
          <w:rFonts w:ascii="Open Sans" w:eastAsia="Open Sans" w:hAnsi="Open Sans" w:cs="Open Sans"/>
          <w:b/>
        </w:rPr>
        <w:t>ante el freno que supone esa situación económica se dejan de contemplar siquiera la posibilidad, por lo que los precios ni siquiera entran en consideración.</w:t>
      </w:r>
    </w:p>
    <w:p w14:paraId="49F9B17A" w14:textId="77777777" w:rsidR="00B0654D" w:rsidRDefault="00B0654D">
      <w:pPr>
        <w:spacing w:line="276" w:lineRule="auto"/>
        <w:ind w:right="4"/>
        <w:jc w:val="both"/>
        <w:rPr>
          <w:rFonts w:ascii="Open Sans" w:eastAsia="Open Sans" w:hAnsi="Open Sans" w:cs="Open Sans"/>
        </w:rPr>
      </w:pPr>
    </w:p>
    <w:p w14:paraId="0B1A7D53" w14:textId="77777777" w:rsidR="00B0654D" w:rsidRDefault="00000000">
      <w:pPr>
        <w:spacing w:line="276" w:lineRule="auto"/>
        <w:ind w:right="4"/>
        <w:jc w:val="both"/>
        <w:rPr>
          <w:rFonts w:ascii="Open Sans" w:eastAsia="Open Sans" w:hAnsi="Open Sans" w:cs="Open Sans"/>
        </w:rPr>
      </w:pPr>
      <w:r>
        <w:rPr>
          <w:rFonts w:ascii="Open Sans" w:eastAsia="Open Sans" w:hAnsi="Open Sans" w:cs="Open Sans"/>
        </w:rPr>
        <w:t>Otros motivos que siguen a estos dos primeros citados son que su familia ya dispone de inmuebles y que por lo tanto no necesita comprar (15%); o que no quieran supeditar la mayor parte de los ahorros o ingresos a la compra de una vivienda (10%).</w:t>
      </w:r>
    </w:p>
    <w:p w14:paraId="12469120" w14:textId="77777777" w:rsidR="00B0654D" w:rsidRDefault="00B0654D">
      <w:pPr>
        <w:spacing w:line="276" w:lineRule="auto"/>
        <w:ind w:right="4"/>
        <w:jc w:val="both"/>
        <w:rPr>
          <w:rFonts w:ascii="Open Sans" w:eastAsia="Open Sans" w:hAnsi="Open Sans" w:cs="Open Sans"/>
        </w:rPr>
      </w:pPr>
    </w:p>
    <w:p w14:paraId="383A4667" w14:textId="77777777" w:rsidR="00B0654D" w:rsidRDefault="00B0654D">
      <w:pPr>
        <w:spacing w:line="276" w:lineRule="auto"/>
        <w:ind w:right="4"/>
        <w:jc w:val="both"/>
        <w:rPr>
          <w:rFonts w:ascii="Open Sans" w:eastAsia="Open Sans" w:hAnsi="Open Sans" w:cs="Open Sans"/>
        </w:rPr>
      </w:pPr>
    </w:p>
    <w:p w14:paraId="2EABA5BA" w14:textId="77777777" w:rsidR="00B0654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0A018EEA" w14:textId="77777777" w:rsidR="00B0654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4">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78D45F47" w14:textId="77777777" w:rsidR="00B0654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5">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06581072" w14:textId="77777777" w:rsidR="00B0654D"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w:t>
      </w:r>
    </w:p>
    <w:p w14:paraId="7B7B9D62" w14:textId="77777777" w:rsidR="00B0654D" w:rsidRDefault="00B0654D">
      <w:pPr>
        <w:spacing w:line="276" w:lineRule="auto"/>
        <w:jc w:val="right"/>
        <w:rPr>
          <w:rFonts w:ascii="Open Sans Light" w:eastAsia="Open Sans Light" w:hAnsi="Open Sans Light" w:cs="Open Sans Light"/>
          <w:b/>
          <w:color w:val="303AB2"/>
        </w:rPr>
      </w:pPr>
    </w:p>
    <w:p w14:paraId="5051ACBD" w14:textId="77777777" w:rsidR="00B0654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Adevinta</w:t>
      </w:r>
    </w:p>
    <w:p w14:paraId="685CBD7A" w14:textId="77777777" w:rsidR="00B0654D"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1">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48DDE3F6" w14:textId="77777777" w:rsidR="00B0654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w:t>
      </w:r>
      <w:r>
        <w:rPr>
          <w:rFonts w:ascii="Open Sans" w:eastAsia="Open Sans" w:hAnsi="Open Sans" w:cs="Open Sans"/>
          <w:sz w:val="22"/>
          <w:szCs w:val="22"/>
        </w:rPr>
        <w:lastRenderedPageBreak/>
        <w:t>innovadora, otorgando una nueva oportunidad a quienes la están buscando y dando a las cosas una segunda vida.</w:t>
      </w:r>
    </w:p>
    <w:p w14:paraId="037F2AC3" w14:textId="77777777" w:rsidR="00B0654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40983EE0" w14:textId="77777777" w:rsidR="00B0654D" w:rsidRDefault="00000000">
      <w:pPr>
        <w:spacing w:before="143" w:after="200"/>
        <w:jc w:val="both"/>
        <w:rPr>
          <w:rFonts w:ascii="Open Sans" w:eastAsia="Open Sans" w:hAnsi="Open Sans" w:cs="Open Sans"/>
        </w:rPr>
      </w:pPr>
      <w:r>
        <w:rPr>
          <w:rFonts w:ascii="Open Sans" w:eastAsia="Open Sans" w:hAnsi="Open Sans" w:cs="Open Sans"/>
          <w:sz w:val="22"/>
          <w:szCs w:val="22"/>
        </w:rPr>
        <w:t xml:space="preserve">Más información en </w:t>
      </w:r>
      <w:hyperlink r:id="rId22">
        <w:r>
          <w:rPr>
            <w:rFonts w:ascii="Open Sans" w:eastAsia="Open Sans" w:hAnsi="Open Sans" w:cs="Open Sans"/>
            <w:color w:val="1155CC"/>
            <w:sz w:val="22"/>
            <w:szCs w:val="22"/>
            <w:u w:val="single"/>
          </w:rPr>
          <w:t>adevinta.es</w:t>
        </w:r>
      </w:hyperlink>
    </w:p>
    <w:p w14:paraId="2BB0EE85" w14:textId="77777777" w:rsidR="00B0654D" w:rsidRDefault="00B0654D">
      <w:pPr>
        <w:spacing w:line="276" w:lineRule="auto"/>
        <w:jc w:val="right"/>
        <w:rPr>
          <w:rFonts w:ascii="Open Sans" w:eastAsia="Open Sans" w:hAnsi="Open Sans" w:cs="Open Sans"/>
        </w:rPr>
      </w:pPr>
    </w:p>
    <w:p w14:paraId="3DBB214F" w14:textId="77777777" w:rsidR="00B0654D" w:rsidRDefault="00B0654D">
      <w:pPr>
        <w:spacing w:line="276" w:lineRule="auto"/>
        <w:jc w:val="right"/>
        <w:rPr>
          <w:rFonts w:ascii="Open Sans" w:eastAsia="Open Sans" w:hAnsi="Open Sans" w:cs="Open Sans"/>
        </w:rPr>
      </w:pPr>
    </w:p>
    <w:p w14:paraId="4EF9A7FE" w14:textId="77777777" w:rsidR="00B0654D"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AAEA260" w14:textId="77777777" w:rsidR="00B0654D"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78981450" w14:textId="77777777" w:rsidR="00B0654D" w:rsidRDefault="00000000">
      <w:pPr>
        <w:shd w:val="clear" w:color="auto" w:fill="FFFFFF"/>
        <w:spacing w:line="276" w:lineRule="auto"/>
        <w:rPr>
          <w:rFonts w:ascii="Open Sans" w:eastAsia="Open Sans" w:hAnsi="Open Sans" w:cs="Open Sans"/>
          <w:color w:val="0000FF"/>
          <w:sz w:val="22"/>
          <w:szCs w:val="22"/>
          <w:u w:val="single"/>
        </w:rPr>
      </w:pPr>
      <w:hyperlink r:id="rId23">
        <w:r>
          <w:rPr>
            <w:rFonts w:ascii="Open Sans" w:eastAsia="Open Sans" w:hAnsi="Open Sans" w:cs="Open Sans"/>
            <w:color w:val="0000FF"/>
            <w:sz w:val="22"/>
            <w:szCs w:val="22"/>
            <w:u w:val="single"/>
          </w:rPr>
          <w:t>comunicacion@fotocasa.es</w:t>
        </w:r>
      </w:hyperlink>
    </w:p>
    <w:p w14:paraId="7D50404A" w14:textId="77777777" w:rsidR="00B0654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0ABF4136" w14:textId="77777777" w:rsidR="00B0654D" w:rsidRDefault="00B0654D">
      <w:pPr>
        <w:spacing w:line="276" w:lineRule="auto"/>
        <w:rPr>
          <w:rFonts w:ascii="Open Sans Light" w:eastAsia="Open Sans Light" w:hAnsi="Open Sans Light" w:cs="Open Sans Light"/>
          <w:b/>
          <w:color w:val="303AB2"/>
          <w:sz w:val="22"/>
          <w:szCs w:val="22"/>
        </w:rPr>
      </w:pPr>
    </w:p>
    <w:p w14:paraId="66355E80" w14:textId="77777777" w:rsidR="00B0654D" w:rsidRDefault="00B0654D">
      <w:pPr>
        <w:spacing w:line="276" w:lineRule="auto"/>
        <w:jc w:val="both"/>
        <w:rPr>
          <w:rFonts w:ascii="Open Sans" w:eastAsia="Open Sans" w:hAnsi="Open Sans" w:cs="Open Sans"/>
          <w:color w:val="000000"/>
          <w:sz w:val="21"/>
          <w:szCs w:val="21"/>
        </w:rPr>
      </w:pPr>
    </w:p>
    <w:sectPr w:rsidR="00B0654D">
      <w:footerReference w:type="default" r:id="rId24"/>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F1030" w14:textId="77777777" w:rsidR="00915EA5" w:rsidRDefault="00915EA5">
      <w:r>
        <w:separator/>
      </w:r>
    </w:p>
  </w:endnote>
  <w:endnote w:type="continuationSeparator" w:id="0">
    <w:p w14:paraId="34889CC7" w14:textId="77777777" w:rsidR="00915EA5" w:rsidRDefault="00915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8F307BF9-83D6-4A3B-AD07-641256D5EE0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E6AC45B-0ACA-4776-84AD-3FE4FAB33541}"/>
    <w:embedBold r:id="rId3" w:fontKey="{C6CC31D1-2A5E-4986-A02D-AF3A78DA985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E4679B01-3DFD-41A6-917E-3C3BC0A1EAD6}"/>
    <w:embedItalic r:id="rId5" w:fontKey="{B80A0CFE-90AE-4CFE-9166-C8A2EACECD19}"/>
  </w:font>
  <w:font w:name="Cambria">
    <w:panose1 w:val="02040503050406030204"/>
    <w:charset w:val="00"/>
    <w:family w:val="roman"/>
    <w:pitch w:val="variable"/>
    <w:sig w:usb0="E00006FF" w:usb1="420024FF" w:usb2="02000000" w:usb3="00000000" w:csb0="0000019F" w:csb1="00000000"/>
    <w:embedRegular r:id="rId6" w:fontKey="{D89F4E93-E27C-40A8-88F6-4E058089DDA5}"/>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039E7322-0B8E-48EE-8F29-D6E8A3E0E3AF}"/>
    <w:embedBold r:id="rId8" w:fontKey="{0687D653-2791-458C-AE44-2B4AC043BBB8}"/>
    <w:embedBoldItalic r:id="rId9" w:fontKey="{D339D0AD-90AF-452E-A955-BA1EB534AD1D}"/>
  </w:font>
  <w:font w:name="Open Sans Light">
    <w:charset w:val="00"/>
    <w:family w:val="swiss"/>
    <w:pitch w:val="variable"/>
    <w:sig w:usb0="E00002EF" w:usb1="4000205B" w:usb2="00000028" w:usb3="00000000" w:csb0="0000019F" w:csb1="00000000"/>
    <w:embedRegular r:id="rId10" w:fontKey="{DF98BB55-9894-424E-99B0-03B33C934B42}"/>
    <w:embedBold r:id="rId11" w:fontKey="{7232254E-8CDD-4C1C-861B-F613581BC8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B047B" w14:textId="77777777" w:rsidR="00B0654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050A458" wp14:editId="40BDAD05">
          <wp:simplePos x="0" y="0"/>
          <wp:positionH relativeFrom="column">
            <wp:posOffset>-1068056</wp:posOffset>
          </wp:positionH>
          <wp:positionV relativeFrom="paragraph">
            <wp:posOffset>174608</wp:posOffset>
          </wp:positionV>
          <wp:extent cx="7670550" cy="451315"/>
          <wp:effectExtent l="0" t="0" r="0" b="0"/>
          <wp:wrapNone/>
          <wp:docPr id="173013020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1AE0F2" w14:textId="77777777" w:rsidR="00915EA5" w:rsidRDefault="00915EA5">
      <w:r>
        <w:separator/>
      </w:r>
    </w:p>
  </w:footnote>
  <w:footnote w:type="continuationSeparator" w:id="0">
    <w:p w14:paraId="6D73162C" w14:textId="77777777" w:rsidR="00915EA5" w:rsidRDefault="00915E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D13A29"/>
    <w:multiLevelType w:val="multilevel"/>
    <w:tmpl w:val="EDB261A6"/>
    <w:lvl w:ilvl="0">
      <w:start w:val="1"/>
      <w:numFmt w:val="bullet"/>
      <w:lvlText w:val="●"/>
      <w:lvlJc w:val="left"/>
      <w:pPr>
        <w:ind w:left="720" w:hanging="360"/>
      </w:pPr>
      <w:rPr>
        <w:rFonts w:ascii="Noto Sans Symbols" w:eastAsia="Noto Sans Symbols" w:hAnsi="Noto Sans Symbols" w:cs="Noto Sans Symbols"/>
        <w:color w:val="303AB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71636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654D"/>
    <w:rsid w:val="00153282"/>
    <w:rsid w:val="002F1A16"/>
    <w:rsid w:val="004B5BB0"/>
    <w:rsid w:val="00915EA5"/>
    <w:rsid w:val="00B0654D"/>
    <w:rsid w:val="00BA498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7E3F34"/>
  <w15:docId w15:val="{F343B290-B235-4DFC-A4C5-2628532E2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9"/>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semiHidden/>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6"/>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6"/>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infojobs.ne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milanuncios.com/"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habitacl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rensa.fotocasa.es" TargetMode="External"/><Relationship Id="rId23" Type="http://schemas.openxmlformats.org/officeDocument/2006/relationships/hyperlink" Target="mailto:comunicacion@fotocasa.es" TargetMode="External"/><Relationship Id="rId10" Type="http://schemas.openxmlformats.org/officeDocument/2006/relationships/image" Target="media/image2.png"/><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s36360.pcdn.co/wp-content/uploads/2024/11/Informe-Radiografia-en-el-segundo-semestre-de-2024.pdf" TargetMode="External"/><Relationship Id="rId14" Type="http://schemas.openxmlformats.org/officeDocument/2006/relationships/hyperlink" Target="https://www.fotocasa.es/indice/" TargetMode="External"/><Relationship Id="rId22" Type="http://schemas.openxmlformats.org/officeDocument/2006/relationships/hyperlink" Target="http://adevint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q4InlIyg5eU36OceG26hKpJKeA==">CgMxLjAyCWguMnM4ZXlvMTgAciExZzhPV1RZdTBJdFZSTDVUbXlzRWtFUjVpckpSQVgxWVk=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1179</Words>
  <Characters>6486</Characters>
  <Application>Microsoft Office Word</Application>
  <DocSecurity>0</DocSecurity>
  <Lines>54</Lines>
  <Paragraphs>15</Paragraphs>
  <ScaleCrop>false</ScaleCrop>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4</cp:revision>
  <cp:lastPrinted>2024-12-08T21:15:00Z</cp:lastPrinted>
  <dcterms:created xsi:type="dcterms:W3CDTF">2024-02-06T13:46:00Z</dcterms:created>
  <dcterms:modified xsi:type="dcterms:W3CDTF">2024-12-08T21:18:00Z</dcterms:modified>
</cp:coreProperties>
</file>