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5B278" w14:textId="77777777" w:rsidR="00F76BA3" w:rsidRDefault="00000000">
      <w:r>
        <w:rPr>
          <w:noProof/>
        </w:rPr>
        <w:drawing>
          <wp:anchor distT="0" distB="0" distL="114300" distR="114300" simplePos="0" relativeHeight="251658240" behindDoc="0" locked="0" layoutInCell="1" hidden="0" allowOverlap="1" wp14:anchorId="3E344194" wp14:editId="75C4A919">
            <wp:simplePos x="0" y="0"/>
            <wp:positionH relativeFrom="column">
              <wp:posOffset>-1078848</wp:posOffset>
            </wp:positionH>
            <wp:positionV relativeFrom="paragraph">
              <wp:posOffset>-350437</wp:posOffset>
            </wp:positionV>
            <wp:extent cx="7581265" cy="1019175"/>
            <wp:effectExtent l="0" t="0" r="0" b="0"/>
            <wp:wrapNone/>
            <wp:docPr id="17301302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55C5DA4" w14:textId="77777777" w:rsidR="00F76BA3" w:rsidRDefault="00F76BA3">
      <w:pPr>
        <w:jc w:val="right"/>
        <w:rPr>
          <w:rFonts w:ascii="National" w:eastAsia="National" w:hAnsi="National" w:cs="National"/>
          <w:color w:val="303AB2"/>
          <w:sz w:val="36"/>
          <w:szCs w:val="36"/>
        </w:rPr>
      </w:pPr>
    </w:p>
    <w:p w14:paraId="03813153" w14:textId="77777777" w:rsidR="00F76BA3" w:rsidRDefault="00F76BA3">
      <w:pPr>
        <w:jc w:val="right"/>
        <w:rPr>
          <w:rFonts w:ascii="National" w:eastAsia="National" w:hAnsi="National" w:cs="National"/>
          <w:color w:val="303AB2"/>
          <w:sz w:val="36"/>
          <w:szCs w:val="36"/>
        </w:rPr>
      </w:pPr>
    </w:p>
    <w:p w14:paraId="0E4E0157" w14:textId="77777777" w:rsidR="00F76BA3" w:rsidRDefault="00F76BA3">
      <w:pPr>
        <w:rPr>
          <w:rFonts w:ascii="National" w:eastAsia="National" w:hAnsi="National" w:cs="National"/>
          <w:color w:val="303AB2"/>
          <w:sz w:val="18"/>
          <w:szCs w:val="18"/>
        </w:rPr>
      </w:pPr>
    </w:p>
    <w:p w14:paraId="61962552" w14:textId="77777777" w:rsidR="00F76BA3" w:rsidRDefault="00000000">
      <w:pPr>
        <w:spacing w:line="276" w:lineRule="auto"/>
        <w:jc w:val="center"/>
        <w:rPr>
          <w:rFonts w:ascii="National" w:eastAsia="National" w:hAnsi="National" w:cs="National"/>
          <w:b/>
          <w:color w:val="1DBDC5"/>
          <w:sz w:val="26"/>
          <w:szCs w:val="26"/>
        </w:rPr>
      </w:pPr>
      <w:r>
        <w:rPr>
          <w:rFonts w:ascii="National" w:eastAsia="National" w:hAnsi="National" w:cs="National"/>
          <w:b/>
          <w:color w:val="1DBDC5"/>
          <w:sz w:val="26"/>
          <w:szCs w:val="26"/>
        </w:rPr>
        <w:t>RADIOGRAFÍA DEL MERCADO DE LA VIVIENDA EN EL SEGUNDO SEMESTRE DE 2024</w:t>
      </w:r>
    </w:p>
    <w:p w14:paraId="582295E7" w14:textId="77777777" w:rsidR="00F76BA3"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Mercado inmobiliario en 2025: los jóvenes liderarán la compra de vivienda</w:t>
      </w:r>
    </w:p>
    <w:p w14:paraId="41DD93F6" w14:textId="77777777" w:rsidR="00F76BA3" w:rsidRDefault="00F76BA3">
      <w:pPr>
        <w:spacing w:line="276" w:lineRule="auto"/>
        <w:ind w:right="4"/>
        <w:jc w:val="both"/>
        <w:rPr>
          <w:rFonts w:ascii="Open Sans" w:eastAsia="Open Sans" w:hAnsi="Open Sans" w:cs="Open Sans"/>
          <w:color w:val="303AB2"/>
        </w:rPr>
      </w:pPr>
    </w:p>
    <w:p w14:paraId="6C82246C" w14:textId="77777777" w:rsidR="00F76BA3"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 xml:space="preserve">Los jóvenes entre 18 y 24 años son los que más aumentan su participación en el mercado: del 43% registrado en 2023 pasan al 54% en 2024 </w:t>
      </w:r>
    </w:p>
    <w:p w14:paraId="57BC3E31" w14:textId="77777777" w:rsidR="00F76BA3"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Un 30% de los jóvenes entre 25 y 34 años ha participado en el mercado de la compraventa de vivienda en 2024, el mismo porcentaje que en 2023</w:t>
      </w:r>
    </w:p>
    <w:p w14:paraId="6BAABA7C" w14:textId="77777777" w:rsidR="00F76BA3"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Los jóvenes entre 25 y 34 años aumentan su participación en el mercado del arrendamiento, con una subida de cuatro puntos porcentuales</w:t>
      </w:r>
    </w:p>
    <w:p w14:paraId="0FC11B57" w14:textId="77777777" w:rsidR="00F76BA3" w:rsidRDefault="00F76BA3">
      <w:pPr>
        <w:spacing w:line="276" w:lineRule="auto"/>
        <w:ind w:left="720" w:right="4"/>
        <w:jc w:val="both"/>
        <w:rPr>
          <w:rFonts w:ascii="Open Sans" w:eastAsia="Open Sans" w:hAnsi="Open Sans" w:cs="Open Sans"/>
          <w:color w:val="303AB2"/>
        </w:rPr>
      </w:pPr>
    </w:p>
    <w:p w14:paraId="7E42887B" w14:textId="77777777" w:rsidR="00F76BA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color w:val="303AB2"/>
          <w:sz w:val="22"/>
          <w:szCs w:val="22"/>
        </w:rPr>
        <w:t>Madrid, 30 de diciembre de 2024</w:t>
      </w:r>
    </w:p>
    <w:p w14:paraId="597AD982" w14:textId="77777777" w:rsidR="00F76BA3" w:rsidRDefault="00F76BA3">
      <w:pPr>
        <w:spacing w:line="276" w:lineRule="auto"/>
        <w:ind w:right="4"/>
        <w:jc w:val="both"/>
        <w:rPr>
          <w:rFonts w:ascii="Open Sans" w:eastAsia="Open Sans" w:hAnsi="Open Sans" w:cs="Open Sans"/>
        </w:rPr>
      </w:pPr>
    </w:p>
    <w:p w14:paraId="58F72FC2"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b/>
        </w:rPr>
        <w:t>El repunte del mercado inmobiliario que se está viendo en el segundo semestre de 2024 ha tenido como protagonistas a los segmentos de edades más jóvenes.</w:t>
      </w:r>
      <w:r>
        <w:rPr>
          <w:rFonts w:ascii="Open Sans" w:eastAsia="Open Sans" w:hAnsi="Open Sans" w:cs="Open Sans"/>
        </w:rPr>
        <w:t xml:space="preserve"> De tal manera que los particulares que cuentan entre 18 y 24 años aumentan su participación hasta el 54%, lo que supone once puntos porcentuales más que en 2023 (43%). También incrementa su participación el grupo de quienes suman entre 25 y 34 años, que alcanzan el 51%, dos puntos más que el 49% de doce meses antes. Así lo muestra el último informe de </w:t>
      </w:r>
      <w:r>
        <w:rPr>
          <w:rFonts w:ascii="Open Sans" w:eastAsia="Open Sans" w:hAnsi="Open Sans" w:cs="Open Sans"/>
          <w:b/>
        </w:rPr>
        <w:t xml:space="preserve">Fotocasa </w:t>
      </w:r>
      <w:proofErr w:type="spellStart"/>
      <w:r>
        <w:rPr>
          <w:rFonts w:ascii="Open Sans" w:eastAsia="Open Sans" w:hAnsi="Open Sans" w:cs="Open Sans"/>
          <w:b/>
        </w:rPr>
        <w:t>Research</w:t>
      </w:r>
      <w:proofErr w:type="spellEnd"/>
      <w:r>
        <w:rPr>
          <w:rFonts w:ascii="Open Sans" w:eastAsia="Open Sans" w:hAnsi="Open Sans" w:cs="Open Sans"/>
        </w:rPr>
        <w:t xml:space="preserve"> “</w:t>
      </w:r>
      <w:hyperlink r:id="rId9">
        <w:r>
          <w:rPr>
            <w:rFonts w:ascii="Open Sans" w:eastAsia="Open Sans" w:hAnsi="Open Sans" w:cs="Open Sans"/>
            <w:b/>
            <w:i/>
            <w:color w:val="0000FF"/>
            <w:u w:val="single"/>
          </w:rPr>
          <w:t>Radiografía del mercado inmobiliario en el segundo semestre de 2024</w:t>
        </w:r>
      </w:hyperlink>
      <w:r>
        <w:rPr>
          <w:rFonts w:ascii="Open Sans" w:eastAsia="Open Sans" w:hAnsi="Open Sans" w:cs="Open Sans"/>
        </w:rPr>
        <w:t>”.</w:t>
      </w:r>
    </w:p>
    <w:p w14:paraId="1DF01605" w14:textId="77777777" w:rsidR="00F76BA3" w:rsidRDefault="00F76BA3">
      <w:pPr>
        <w:spacing w:line="276" w:lineRule="auto"/>
        <w:ind w:right="4"/>
        <w:jc w:val="both"/>
        <w:rPr>
          <w:rFonts w:ascii="Open Sans" w:eastAsia="Open Sans" w:hAnsi="Open Sans" w:cs="Open Sans"/>
        </w:rPr>
      </w:pPr>
    </w:p>
    <w:p w14:paraId="1E8990EA"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rPr>
        <w:t xml:space="preserve">Si profundizamos algo más en el análisis, se ve que </w:t>
      </w:r>
      <w:r>
        <w:rPr>
          <w:rFonts w:ascii="Open Sans" w:eastAsia="Open Sans" w:hAnsi="Open Sans" w:cs="Open Sans"/>
          <w:b/>
        </w:rPr>
        <w:t>el aumento de participación entre los jóvenes de 18 a 24 años tiene que ver esencialmente con la compra efectiva</w:t>
      </w:r>
      <w:r>
        <w:rPr>
          <w:rFonts w:ascii="Open Sans" w:eastAsia="Open Sans" w:hAnsi="Open Sans" w:cs="Open Sans"/>
        </w:rPr>
        <w:t>, ya que ésta pasa del 2% al 7% en doce meses.</w:t>
      </w:r>
    </w:p>
    <w:p w14:paraId="1E892558" w14:textId="77777777" w:rsidR="00F76BA3" w:rsidRDefault="00F76BA3">
      <w:pPr>
        <w:spacing w:line="276" w:lineRule="auto"/>
        <w:ind w:right="4"/>
        <w:jc w:val="both"/>
        <w:rPr>
          <w:rFonts w:ascii="Open Sans" w:eastAsia="Open Sans" w:hAnsi="Open Sans" w:cs="Open Sans"/>
        </w:rPr>
      </w:pPr>
    </w:p>
    <w:p w14:paraId="0E6A6DA0"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rPr>
        <w:t xml:space="preserve">Un crecimiento que se confirma si se pone el foco en la demanda efectiva de este grupo, que pasa en 2023 del 19% al 26% en 2024. Y es que, </w:t>
      </w:r>
      <w:r>
        <w:rPr>
          <w:rFonts w:ascii="Open Sans" w:eastAsia="Open Sans" w:hAnsi="Open Sans" w:cs="Open Sans"/>
          <w:b/>
        </w:rPr>
        <w:t>si dirigimos la mirada al alquiler efectivo de estos españoles</w:t>
      </w:r>
      <w:r>
        <w:rPr>
          <w:rFonts w:ascii="Open Sans" w:eastAsia="Open Sans" w:hAnsi="Open Sans" w:cs="Open Sans"/>
        </w:rPr>
        <w:t>, comprobamos que en ese periodo han saltado desde el 10% al 14% los que han arrendado un inmueble para vivir en él como inquilinos.</w:t>
      </w:r>
    </w:p>
    <w:p w14:paraId="23FC3FA2" w14:textId="77777777" w:rsidR="00F76BA3" w:rsidRDefault="00F76BA3">
      <w:pPr>
        <w:spacing w:line="276" w:lineRule="auto"/>
        <w:ind w:right="4"/>
        <w:jc w:val="both"/>
        <w:rPr>
          <w:rFonts w:ascii="Open Sans" w:eastAsia="Open Sans" w:hAnsi="Open Sans" w:cs="Open Sans"/>
        </w:rPr>
      </w:pPr>
    </w:p>
    <w:p w14:paraId="1F21FFA6" w14:textId="77777777" w:rsidR="00F76BA3" w:rsidRPr="00B50555" w:rsidRDefault="00000000">
      <w:pPr>
        <w:spacing w:line="276" w:lineRule="auto"/>
        <w:ind w:right="4"/>
        <w:jc w:val="both"/>
        <w:rPr>
          <w:rFonts w:ascii="Open Sans" w:eastAsia="Open Sans" w:hAnsi="Open Sans" w:cs="Open Sans"/>
          <w:b/>
          <w:bCs/>
        </w:rPr>
      </w:pPr>
      <w:r>
        <w:rPr>
          <w:rFonts w:ascii="Open Sans" w:eastAsia="Open Sans" w:hAnsi="Open Sans" w:cs="Open Sans"/>
        </w:rPr>
        <w:lastRenderedPageBreak/>
        <w:t xml:space="preserve">“En 2025 será el turno de la reactivación de compradores jóvenes y con menos ahorros, favorecida por el acceso a hipotecas más asequibles y el respaldo de ayudas públicas en forma de avales. Los jóvenes, aunque en el foco de las instituciones, siguen enfrentándose a grandes dificultades para acceder a la vivienda. Para abordar esta crisis de accesibilidad, es imprescindible implementar medidas más ambiciosas. Rebajar la carga fiscal en la compra, ofrecer garantías públicas para hipotecas sin grandes ahorros previos, o desarrollar modelos de alquiler con opción a compra son iniciativas clave. Asimismo, aumentar la construcción de vivienda pública y otorgar desgravaciones fiscales significativas a quienes alquilen a jóvenes podrían contribuir a equilibrar el mercado y aliviar la presión sobre esta generación”, </w:t>
      </w:r>
      <w:r w:rsidRPr="00B50555">
        <w:rPr>
          <w:rFonts w:ascii="Open Sans" w:eastAsia="Open Sans" w:hAnsi="Open Sans" w:cs="Open Sans"/>
          <w:b/>
          <w:bCs/>
        </w:rPr>
        <w:t xml:space="preserve">comenta María Matos, directora de Estudios y portavoz de </w:t>
      </w:r>
      <w:hyperlink r:id="rId10">
        <w:r w:rsidRPr="00B50555">
          <w:rPr>
            <w:rFonts w:ascii="Open Sans" w:eastAsia="Open Sans" w:hAnsi="Open Sans" w:cs="Open Sans"/>
            <w:b/>
            <w:bCs/>
            <w:color w:val="1155CC"/>
            <w:u w:val="single"/>
          </w:rPr>
          <w:t>Fotocasa</w:t>
        </w:r>
      </w:hyperlink>
      <w:r w:rsidRPr="00B50555">
        <w:rPr>
          <w:rFonts w:ascii="Open Sans" w:eastAsia="Open Sans" w:hAnsi="Open Sans" w:cs="Open Sans"/>
          <w:b/>
          <w:bCs/>
        </w:rPr>
        <w:t xml:space="preserve">. </w:t>
      </w:r>
    </w:p>
    <w:p w14:paraId="765935F4" w14:textId="77777777" w:rsidR="00F76BA3" w:rsidRDefault="00F76BA3">
      <w:pPr>
        <w:spacing w:line="276" w:lineRule="auto"/>
        <w:ind w:right="4"/>
        <w:jc w:val="both"/>
        <w:rPr>
          <w:rFonts w:ascii="Open Sans" w:eastAsia="Open Sans" w:hAnsi="Open Sans" w:cs="Open Sans"/>
        </w:rPr>
      </w:pPr>
    </w:p>
    <w:p w14:paraId="5777C9C0"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rPr>
        <w:t xml:space="preserve">Tras esta explosión participativa entre los jóvenes </w:t>
      </w:r>
      <w:r>
        <w:rPr>
          <w:rFonts w:ascii="Open Sans" w:eastAsia="Open Sans" w:hAnsi="Open Sans" w:cs="Open Sans"/>
          <w:b/>
        </w:rPr>
        <w:t>se observa una estabilidad en el siguiente colectivo (de 35 a 44 años),</w:t>
      </w:r>
      <w:r>
        <w:rPr>
          <w:rFonts w:ascii="Open Sans" w:eastAsia="Open Sans" w:hAnsi="Open Sans" w:cs="Open Sans"/>
        </w:rPr>
        <w:t xml:space="preserve"> el cual se mantiene en el mismo 35% medido en 2023. Y es que la tendencia se invierte a medida que sube la edad. Así, el segmento situado entre los 45 y los 54 años baja del 25% al 24%. Y mayor aún es el retroceso que muestran los más veteranos, los mayores de 55 años, que caen del 20% de participación de 2023 al 17% actual.</w:t>
      </w:r>
    </w:p>
    <w:p w14:paraId="2983AB2F" w14:textId="77777777" w:rsidR="00F76BA3" w:rsidRDefault="00F76BA3">
      <w:pPr>
        <w:spacing w:line="276" w:lineRule="auto"/>
        <w:ind w:right="4"/>
        <w:jc w:val="both"/>
        <w:rPr>
          <w:rFonts w:ascii="Open Sans" w:eastAsia="Open Sans" w:hAnsi="Open Sans" w:cs="Open Sans"/>
          <w:b/>
        </w:rPr>
      </w:pPr>
    </w:p>
    <w:p w14:paraId="3B4AFB26" w14:textId="77777777" w:rsidR="00F76BA3" w:rsidRDefault="00000000">
      <w:pPr>
        <w:spacing w:line="276" w:lineRule="auto"/>
        <w:ind w:right="4"/>
        <w:jc w:val="both"/>
        <w:rPr>
          <w:rFonts w:ascii="Open Sans" w:eastAsia="Open Sans" w:hAnsi="Open Sans" w:cs="Open Sans"/>
          <w:b/>
        </w:rPr>
      </w:pPr>
      <w:r>
        <w:rPr>
          <w:noProof/>
        </w:rPr>
        <w:drawing>
          <wp:inline distT="0" distB="0" distL="0" distR="0" wp14:anchorId="14981839" wp14:editId="29E60B2A">
            <wp:extent cx="5760720" cy="3520440"/>
            <wp:effectExtent l="0" t="0" r="0" b="0"/>
            <wp:docPr id="1730130216" name="image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Descripción generada automáticamente"/>
                    <pic:cNvPicPr preferRelativeResize="0"/>
                  </pic:nvPicPr>
                  <pic:blipFill>
                    <a:blip r:embed="rId11"/>
                    <a:srcRect/>
                    <a:stretch>
                      <a:fillRect/>
                    </a:stretch>
                  </pic:blipFill>
                  <pic:spPr>
                    <a:xfrm>
                      <a:off x="0" y="0"/>
                      <a:ext cx="5760720" cy="3520440"/>
                    </a:xfrm>
                    <a:prstGeom prst="rect">
                      <a:avLst/>
                    </a:prstGeom>
                    <a:ln/>
                  </pic:spPr>
                </pic:pic>
              </a:graphicData>
            </a:graphic>
          </wp:inline>
        </w:drawing>
      </w:r>
    </w:p>
    <w:p w14:paraId="4691A8D0" w14:textId="77777777" w:rsidR="00F76BA3" w:rsidRDefault="00F76BA3">
      <w:pPr>
        <w:spacing w:line="276" w:lineRule="auto"/>
        <w:ind w:right="4"/>
        <w:jc w:val="both"/>
        <w:rPr>
          <w:rFonts w:ascii="Open Sans" w:eastAsia="Open Sans" w:hAnsi="Open Sans" w:cs="Open Sans"/>
          <w:b/>
        </w:rPr>
      </w:pPr>
    </w:p>
    <w:p w14:paraId="1F70D92F" w14:textId="77777777" w:rsidR="00B50555" w:rsidRDefault="00B50555">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5D05FC64" w14:textId="33FA2BD8" w:rsidR="00F76BA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En compraventa, la mayor actividad se da entre los 25 y los 34 años</w:t>
      </w:r>
    </w:p>
    <w:p w14:paraId="49B07772" w14:textId="77777777" w:rsidR="00F76BA3" w:rsidRDefault="00F76BA3">
      <w:pPr>
        <w:spacing w:line="276" w:lineRule="auto"/>
        <w:ind w:right="4"/>
        <w:jc w:val="both"/>
        <w:rPr>
          <w:rFonts w:ascii="Open Sans" w:eastAsia="Open Sans" w:hAnsi="Open Sans" w:cs="Open Sans"/>
          <w:b/>
        </w:rPr>
      </w:pPr>
    </w:p>
    <w:p w14:paraId="11E33891"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rPr>
        <w:t xml:space="preserve">Si se toman los datos por edades en lo que se refiere a actividad en el mercado de la compraventa, se observa que en este caso </w:t>
      </w:r>
      <w:r>
        <w:rPr>
          <w:rFonts w:ascii="Open Sans" w:eastAsia="Open Sans" w:hAnsi="Open Sans" w:cs="Open Sans"/>
          <w:b/>
        </w:rPr>
        <w:t>también se advierten diferencias notables, con predominancia del segmento con edades entre los 25 y los 34 años.</w:t>
      </w:r>
      <w:r>
        <w:rPr>
          <w:rFonts w:ascii="Open Sans" w:eastAsia="Open Sans" w:hAnsi="Open Sans" w:cs="Open Sans"/>
        </w:rPr>
        <w:t xml:space="preserve"> De este modo, </w:t>
      </w:r>
      <w:r>
        <w:rPr>
          <w:rFonts w:ascii="Open Sans" w:eastAsia="Open Sans" w:hAnsi="Open Sans" w:cs="Open Sans"/>
          <w:b/>
        </w:rPr>
        <w:t>este grupo sigue siendo en 2024 el más activo en la compraventa, con un 30% de participación</w:t>
      </w:r>
      <w:r>
        <w:rPr>
          <w:rFonts w:ascii="Open Sans" w:eastAsia="Open Sans" w:hAnsi="Open Sans" w:cs="Open Sans"/>
        </w:rPr>
        <w:t xml:space="preserve">, un porcentaje que recupera la cifra del año anterior. </w:t>
      </w:r>
    </w:p>
    <w:p w14:paraId="54FDD895" w14:textId="77777777" w:rsidR="00F76BA3" w:rsidRDefault="00F76BA3">
      <w:pPr>
        <w:spacing w:line="276" w:lineRule="auto"/>
        <w:ind w:right="4"/>
        <w:jc w:val="both"/>
        <w:rPr>
          <w:rFonts w:ascii="Open Sans" w:eastAsia="Open Sans" w:hAnsi="Open Sans" w:cs="Open Sans"/>
        </w:rPr>
      </w:pPr>
    </w:p>
    <w:p w14:paraId="296AB807" w14:textId="77777777" w:rsidR="00F76BA3" w:rsidRDefault="00000000">
      <w:pPr>
        <w:spacing w:line="276" w:lineRule="auto"/>
        <w:ind w:right="4"/>
        <w:jc w:val="both"/>
        <w:rPr>
          <w:rFonts w:ascii="Open Sans" w:eastAsia="Open Sans" w:hAnsi="Open Sans" w:cs="Open Sans"/>
        </w:rPr>
      </w:pPr>
      <w:r>
        <w:rPr>
          <w:rFonts w:ascii="Open Sans" w:eastAsia="Open Sans" w:hAnsi="Open Sans" w:cs="Open Sans"/>
        </w:rPr>
        <w:t>El siguiente colectivo de edad que muestra más actividad relacionada con la vivienda de propiedad es el integrado por las personas entre 35 y 44 años. En este grupo, los particulares que han realizado alguna acción —ya sea de oferta o de demanda— suponen el 23%, también el mismo porcentaje que en 2023.</w:t>
      </w:r>
    </w:p>
    <w:p w14:paraId="7E22AD98" w14:textId="77777777" w:rsidR="00F76BA3" w:rsidRDefault="00F76BA3">
      <w:pPr>
        <w:spacing w:line="276" w:lineRule="auto"/>
        <w:ind w:right="4"/>
        <w:jc w:val="both"/>
        <w:rPr>
          <w:rFonts w:ascii="Open Sans" w:eastAsia="Open Sans" w:hAnsi="Open Sans" w:cs="Open Sans"/>
        </w:rPr>
      </w:pPr>
    </w:p>
    <w:p w14:paraId="136AA43F" w14:textId="77777777" w:rsidR="00F76BA3"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Pero al margen de los dos grupos citados, el colectivo que muestra un salto más destacado vuelve a ser el de los más jóvenes, </w:t>
      </w:r>
      <w:r>
        <w:rPr>
          <w:rFonts w:ascii="Open Sans" w:eastAsia="Open Sans" w:hAnsi="Open Sans" w:cs="Open Sans"/>
          <w:b/>
        </w:rPr>
        <w:t>los que suman entre 18 y 24 años, que pasan del 13% de actividad anotado en 2023 al 22% en 2024, incremento de nueve puntos porcentuales.</w:t>
      </w:r>
    </w:p>
    <w:p w14:paraId="525B8BFB" w14:textId="77777777" w:rsidR="00F76BA3" w:rsidRDefault="00F76BA3">
      <w:pPr>
        <w:spacing w:line="276" w:lineRule="auto"/>
        <w:ind w:right="4"/>
        <w:jc w:val="both"/>
        <w:rPr>
          <w:rFonts w:ascii="Open Sans" w:eastAsia="Open Sans" w:hAnsi="Open Sans" w:cs="Open Sans"/>
          <w:b/>
        </w:rPr>
      </w:pPr>
    </w:p>
    <w:p w14:paraId="1D1602D6" w14:textId="77777777" w:rsidR="00F76BA3" w:rsidRDefault="00000000">
      <w:pPr>
        <w:spacing w:line="276" w:lineRule="auto"/>
        <w:ind w:right="4"/>
        <w:jc w:val="both"/>
        <w:rPr>
          <w:rFonts w:ascii="Open Sans" w:eastAsia="Open Sans" w:hAnsi="Open Sans" w:cs="Open Sans"/>
          <w:b/>
        </w:rPr>
      </w:pPr>
      <w:r>
        <w:rPr>
          <w:noProof/>
        </w:rPr>
        <w:drawing>
          <wp:inline distT="0" distB="0" distL="0" distR="0" wp14:anchorId="79471688" wp14:editId="7FDE5372">
            <wp:extent cx="5852160" cy="3444240"/>
            <wp:effectExtent l="0" t="0" r="0" b="3810"/>
            <wp:docPr id="1730130215" name="image4.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líneas&#10;&#10;Descripción generada automáticamente"/>
                    <pic:cNvPicPr preferRelativeResize="0"/>
                  </pic:nvPicPr>
                  <pic:blipFill>
                    <a:blip r:embed="rId12"/>
                    <a:srcRect/>
                    <a:stretch>
                      <a:fillRect/>
                    </a:stretch>
                  </pic:blipFill>
                  <pic:spPr>
                    <a:xfrm>
                      <a:off x="0" y="0"/>
                      <a:ext cx="5852160" cy="3444240"/>
                    </a:xfrm>
                    <a:prstGeom prst="rect">
                      <a:avLst/>
                    </a:prstGeom>
                    <a:ln/>
                  </pic:spPr>
                </pic:pic>
              </a:graphicData>
            </a:graphic>
          </wp:inline>
        </w:drawing>
      </w:r>
    </w:p>
    <w:p w14:paraId="70779FBC" w14:textId="77777777" w:rsidR="00F76BA3" w:rsidRDefault="00F76BA3">
      <w:pPr>
        <w:spacing w:line="276" w:lineRule="auto"/>
        <w:ind w:right="4"/>
        <w:jc w:val="both"/>
        <w:rPr>
          <w:rFonts w:ascii="Open Sans" w:eastAsia="Open Sans" w:hAnsi="Open Sans" w:cs="Open Sans"/>
          <w:b/>
        </w:rPr>
      </w:pPr>
    </w:p>
    <w:p w14:paraId="41DA02D2" w14:textId="77777777" w:rsidR="00B50555" w:rsidRDefault="00B50555" w:rsidP="00B50555">
      <w:pPr>
        <w:spacing w:line="276" w:lineRule="auto"/>
        <w:ind w:right="4"/>
        <w:jc w:val="both"/>
        <w:rPr>
          <w:rFonts w:ascii="Open Sans" w:eastAsia="Open Sans" w:hAnsi="Open Sans" w:cs="Open Sans"/>
        </w:rPr>
      </w:pPr>
    </w:p>
    <w:p w14:paraId="3636460E" w14:textId="77777777" w:rsidR="00B50555" w:rsidRDefault="00B50555" w:rsidP="00B50555">
      <w:pPr>
        <w:spacing w:line="276" w:lineRule="auto"/>
        <w:ind w:right="4"/>
        <w:jc w:val="both"/>
        <w:rPr>
          <w:rFonts w:ascii="Open Sans" w:eastAsia="Open Sans" w:hAnsi="Open Sans" w:cs="Open Sans"/>
        </w:rPr>
      </w:pPr>
    </w:p>
    <w:p w14:paraId="5129E76B" w14:textId="63AB1AF6" w:rsidR="00B50555" w:rsidRDefault="00B50555" w:rsidP="00B50555">
      <w:pPr>
        <w:spacing w:line="276" w:lineRule="auto"/>
        <w:ind w:right="4"/>
        <w:jc w:val="both"/>
        <w:rPr>
          <w:rFonts w:ascii="Open Sans" w:eastAsia="Open Sans" w:hAnsi="Open Sans" w:cs="Open Sans"/>
        </w:rPr>
      </w:pPr>
      <w:r>
        <w:rPr>
          <w:rFonts w:ascii="Open Sans" w:eastAsia="Open Sans" w:hAnsi="Open Sans" w:cs="Open Sans"/>
        </w:rPr>
        <w:lastRenderedPageBreak/>
        <w:t>Por el contrario, los segmentos más veteranos retroceden respecto a la medición del año anterior. Así, los particulares comprendidos entre los 45 y los 54 años bajan del 18% en 2023 al 16% en 2024. Por su parte, los mayores de 55 años se retraen desde el 13% a tan solo el 10%.</w:t>
      </w:r>
    </w:p>
    <w:p w14:paraId="3837E0E4" w14:textId="77777777" w:rsidR="00F76BA3" w:rsidRDefault="00F76BA3">
      <w:pPr>
        <w:spacing w:line="276" w:lineRule="auto"/>
        <w:ind w:right="4"/>
        <w:jc w:val="both"/>
        <w:rPr>
          <w:rFonts w:ascii="Open Sans" w:eastAsia="Open Sans" w:hAnsi="Open Sans" w:cs="Open Sans"/>
          <w:b/>
        </w:rPr>
      </w:pPr>
    </w:p>
    <w:p w14:paraId="52BB4C64" w14:textId="77777777" w:rsidR="00F76BA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Los jóvenes regresan al mercado del alquiler</w:t>
      </w:r>
    </w:p>
    <w:p w14:paraId="766E6FB1" w14:textId="77777777" w:rsidR="00F76BA3" w:rsidRDefault="00F76BA3">
      <w:pPr>
        <w:spacing w:line="276" w:lineRule="auto"/>
        <w:ind w:right="4"/>
        <w:jc w:val="both"/>
        <w:rPr>
          <w:rFonts w:ascii="Open Sans" w:eastAsia="Open Sans" w:hAnsi="Open Sans" w:cs="Open Sans"/>
          <w:b/>
        </w:rPr>
      </w:pPr>
    </w:p>
    <w:p w14:paraId="0F2E859C" w14:textId="77777777" w:rsidR="00B50555" w:rsidRDefault="00000000">
      <w:pPr>
        <w:spacing w:line="276" w:lineRule="auto"/>
        <w:ind w:right="4"/>
        <w:jc w:val="both"/>
        <w:rPr>
          <w:rFonts w:ascii="Open Sans" w:eastAsia="Open Sans" w:hAnsi="Open Sans" w:cs="Open Sans"/>
        </w:rPr>
      </w:pPr>
      <w:r>
        <w:rPr>
          <w:rFonts w:ascii="Open Sans" w:eastAsia="Open Sans" w:hAnsi="Open Sans" w:cs="Open Sans"/>
        </w:rPr>
        <w:t xml:space="preserve">Respecto a la </w:t>
      </w:r>
      <w:r>
        <w:rPr>
          <w:rFonts w:ascii="Open Sans" w:eastAsia="Open Sans" w:hAnsi="Open Sans" w:cs="Open Sans"/>
          <w:b/>
        </w:rPr>
        <w:t>participación en el mercado del alquiler, destaca el fuerte incremento en la actividad en casi todos los segmentos de edad, pero especialmente dentro del colectivo que tradicionalmente más presencia tiene en este ámbito, el de los jóvenes</w:t>
      </w:r>
      <w:r>
        <w:rPr>
          <w:rFonts w:ascii="Open Sans" w:eastAsia="Open Sans" w:hAnsi="Open Sans" w:cs="Open Sans"/>
        </w:rPr>
        <w:t xml:space="preserve">. Así, el grupo de menor edad, el comprendido entre los 18 y los 24 años, asciende hasta el 37%, diez puntos más que en 2023. </w:t>
      </w:r>
    </w:p>
    <w:p w14:paraId="5058FA6D" w14:textId="77777777" w:rsidR="00B50555" w:rsidRDefault="00B50555">
      <w:pPr>
        <w:spacing w:line="276" w:lineRule="auto"/>
        <w:ind w:right="4"/>
        <w:jc w:val="both"/>
        <w:rPr>
          <w:rFonts w:ascii="Open Sans" w:eastAsia="Open Sans" w:hAnsi="Open Sans" w:cs="Open Sans"/>
        </w:rPr>
      </w:pPr>
    </w:p>
    <w:p w14:paraId="2AD74952" w14:textId="06C861B4" w:rsidR="00F76BA3"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siguiente colectivo, las personas entre los 25 y los 34, alcanza el 30%, cuatro puntos más que el 26% recogido en 2023. </w:t>
      </w:r>
    </w:p>
    <w:p w14:paraId="4FCAEB1A" w14:textId="77777777" w:rsidR="00F76BA3" w:rsidRDefault="00F76BA3">
      <w:pPr>
        <w:spacing w:line="276" w:lineRule="auto"/>
        <w:ind w:right="4"/>
        <w:jc w:val="both"/>
        <w:rPr>
          <w:rFonts w:ascii="Open Sans" w:eastAsia="Open Sans" w:hAnsi="Open Sans" w:cs="Open Sans"/>
        </w:rPr>
      </w:pPr>
    </w:p>
    <w:p w14:paraId="36AA30B8" w14:textId="77777777" w:rsidR="00F76BA3" w:rsidRDefault="00000000">
      <w:pPr>
        <w:spacing w:line="276" w:lineRule="auto"/>
        <w:ind w:right="4"/>
        <w:jc w:val="both"/>
        <w:rPr>
          <w:rFonts w:ascii="Open Sans" w:eastAsia="Open Sans" w:hAnsi="Open Sans" w:cs="Open Sans"/>
        </w:rPr>
      </w:pPr>
      <w:r>
        <w:rPr>
          <w:noProof/>
        </w:rPr>
        <w:drawing>
          <wp:inline distT="0" distB="0" distL="0" distR="0" wp14:anchorId="08347B5F" wp14:editId="606DA342">
            <wp:extent cx="5760720" cy="3599815"/>
            <wp:effectExtent l="0" t="0" r="0" b="0"/>
            <wp:docPr id="1730130217" name="image1.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líneas&#10;&#10;Descripción generada automáticamente"/>
                    <pic:cNvPicPr preferRelativeResize="0"/>
                  </pic:nvPicPr>
                  <pic:blipFill>
                    <a:blip r:embed="rId13"/>
                    <a:srcRect/>
                    <a:stretch>
                      <a:fillRect/>
                    </a:stretch>
                  </pic:blipFill>
                  <pic:spPr>
                    <a:xfrm>
                      <a:off x="0" y="0"/>
                      <a:ext cx="5760720" cy="3599815"/>
                    </a:xfrm>
                    <a:prstGeom prst="rect">
                      <a:avLst/>
                    </a:prstGeom>
                    <a:ln/>
                  </pic:spPr>
                </pic:pic>
              </a:graphicData>
            </a:graphic>
          </wp:inline>
        </w:drawing>
      </w:r>
    </w:p>
    <w:p w14:paraId="3A1BC861" w14:textId="77777777" w:rsidR="00F76BA3" w:rsidRDefault="00F76BA3">
      <w:pPr>
        <w:spacing w:line="276" w:lineRule="auto"/>
        <w:ind w:right="4"/>
        <w:jc w:val="both"/>
        <w:rPr>
          <w:rFonts w:ascii="Open Sans" w:eastAsia="Open Sans" w:hAnsi="Open Sans" w:cs="Open Sans"/>
          <w:b/>
        </w:rPr>
      </w:pPr>
    </w:p>
    <w:p w14:paraId="617A79BF" w14:textId="77777777" w:rsidR="00B50555" w:rsidRDefault="00B50555" w:rsidP="00B50555">
      <w:pPr>
        <w:spacing w:line="276" w:lineRule="auto"/>
        <w:ind w:right="4"/>
        <w:jc w:val="both"/>
        <w:rPr>
          <w:rFonts w:ascii="Open Sans" w:eastAsia="Open Sans" w:hAnsi="Open Sans" w:cs="Open Sans"/>
        </w:rPr>
      </w:pPr>
      <w:r>
        <w:rPr>
          <w:rFonts w:ascii="Open Sans" w:eastAsia="Open Sans" w:hAnsi="Open Sans" w:cs="Open Sans"/>
        </w:rPr>
        <w:t xml:space="preserve">Aunque ya a considerable distancia de los dos anteriores, el siguiente segmento por porcentaje de actividad en el mercado del arrendamiento es el integrado por los que tienen entre 35 y 44 años, que también refleja un leve crecimiento, alcanzando el 18%, frente al 17% del 2023. Este aumento que se observa en los </w:t>
      </w:r>
      <w:r>
        <w:rPr>
          <w:rFonts w:ascii="Open Sans" w:eastAsia="Open Sans" w:hAnsi="Open Sans" w:cs="Open Sans"/>
        </w:rPr>
        <w:lastRenderedPageBreak/>
        <w:t xml:space="preserve">grupos anteriores se frena cuando se atiende al siguiente grupo de edad (45-54 años), que entre 2023 y 2024 se estabiliza en un 10% de participación. Por último, los particulares que suman más de 55 años sitúan sus registros de participación en el 8%, un punto menos que el año anterior. </w:t>
      </w:r>
    </w:p>
    <w:p w14:paraId="203B3A9A" w14:textId="77777777" w:rsidR="00F76BA3" w:rsidRDefault="00F76BA3">
      <w:pPr>
        <w:spacing w:line="276" w:lineRule="auto"/>
        <w:ind w:right="4"/>
        <w:jc w:val="both"/>
        <w:rPr>
          <w:rFonts w:ascii="Open Sans" w:eastAsia="Open Sans" w:hAnsi="Open Sans" w:cs="Open Sans"/>
          <w:b/>
        </w:rPr>
      </w:pPr>
    </w:p>
    <w:p w14:paraId="1B43F346" w14:textId="77777777" w:rsidR="00F76BA3" w:rsidRDefault="00F76BA3">
      <w:pPr>
        <w:spacing w:line="276" w:lineRule="auto"/>
        <w:ind w:right="4"/>
        <w:jc w:val="both"/>
        <w:rPr>
          <w:rFonts w:ascii="Open Sans" w:eastAsia="Open Sans" w:hAnsi="Open Sans" w:cs="Open Sans"/>
          <w:b/>
        </w:rPr>
      </w:pPr>
    </w:p>
    <w:p w14:paraId="18D8894B" w14:textId="77777777" w:rsidR="00F76BA3" w:rsidRDefault="00F76BA3">
      <w:pPr>
        <w:spacing w:line="276" w:lineRule="auto"/>
        <w:ind w:right="4"/>
        <w:jc w:val="both"/>
        <w:rPr>
          <w:rFonts w:ascii="Open Sans" w:eastAsia="Open Sans" w:hAnsi="Open Sans" w:cs="Open Sans"/>
          <w:b/>
        </w:rPr>
      </w:pPr>
    </w:p>
    <w:p w14:paraId="4617B2F3" w14:textId="77777777" w:rsidR="00F76BA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638F0AB" w14:textId="77777777" w:rsidR="00F76BA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175822D" w14:textId="77777777" w:rsidR="00F76BA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40FB8B6" w14:textId="77777777" w:rsidR="00F76BA3"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A2DF914" w14:textId="77777777" w:rsidR="00F76BA3" w:rsidRDefault="00F76BA3">
      <w:pPr>
        <w:spacing w:line="276" w:lineRule="auto"/>
        <w:jc w:val="right"/>
        <w:rPr>
          <w:rFonts w:ascii="Open Sans Light" w:eastAsia="Open Sans Light" w:hAnsi="Open Sans Light" w:cs="Open Sans Light"/>
          <w:b/>
          <w:color w:val="303AB2"/>
        </w:rPr>
      </w:pPr>
    </w:p>
    <w:p w14:paraId="30B961BD" w14:textId="77777777" w:rsidR="00F76BA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2E75199" w14:textId="77777777" w:rsidR="00F76BA3"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F322E6E" w14:textId="77777777" w:rsidR="00F76BA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32BEF41" w14:textId="77777777" w:rsidR="00F76BA3"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7865A6C" w14:textId="77777777" w:rsidR="00F76BA3"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847917E" w14:textId="77777777" w:rsidR="00F76BA3" w:rsidRDefault="00F76BA3">
      <w:pPr>
        <w:spacing w:line="276" w:lineRule="auto"/>
        <w:jc w:val="right"/>
        <w:rPr>
          <w:rFonts w:ascii="Open Sans" w:eastAsia="Open Sans" w:hAnsi="Open Sans" w:cs="Open Sans"/>
        </w:rPr>
      </w:pPr>
    </w:p>
    <w:p w14:paraId="0CA5415A" w14:textId="77777777" w:rsidR="00F76BA3" w:rsidRDefault="00F76BA3">
      <w:pPr>
        <w:spacing w:line="276" w:lineRule="auto"/>
        <w:jc w:val="right"/>
        <w:rPr>
          <w:rFonts w:ascii="Open Sans" w:eastAsia="Open Sans" w:hAnsi="Open Sans" w:cs="Open Sans"/>
        </w:rPr>
      </w:pPr>
    </w:p>
    <w:p w14:paraId="60507DF6" w14:textId="77777777" w:rsidR="00B50555" w:rsidRDefault="00B50555">
      <w:pPr>
        <w:spacing w:line="276" w:lineRule="auto"/>
        <w:jc w:val="right"/>
        <w:rPr>
          <w:rFonts w:ascii="Open Sans" w:eastAsia="Open Sans" w:hAnsi="Open Sans" w:cs="Open Sans"/>
        </w:rPr>
      </w:pPr>
    </w:p>
    <w:p w14:paraId="2E0E08CE" w14:textId="77777777" w:rsidR="00B50555" w:rsidRDefault="00B50555">
      <w:pPr>
        <w:spacing w:line="276" w:lineRule="auto"/>
        <w:jc w:val="right"/>
        <w:rPr>
          <w:rFonts w:ascii="Open Sans" w:eastAsia="Open Sans" w:hAnsi="Open Sans" w:cs="Open Sans"/>
        </w:rPr>
      </w:pPr>
    </w:p>
    <w:p w14:paraId="3AC8E479" w14:textId="77777777" w:rsidR="00F76BA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47F1DA70" w14:textId="77777777" w:rsidR="00F76BA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455C46B" w14:textId="77777777" w:rsidR="00F76BA3"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095D0C86" w14:textId="77777777" w:rsidR="00F76BA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1B62760" w14:textId="77777777" w:rsidR="00F76BA3" w:rsidRDefault="00F76BA3">
      <w:pPr>
        <w:spacing w:line="276" w:lineRule="auto"/>
        <w:rPr>
          <w:rFonts w:ascii="Open Sans Light" w:eastAsia="Open Sans Light" w:hAnsi="Open Sans Light" w:cs="Open Sans Light"/>
          <w:b/>
          <w:color w:val="303AB2"/>
          <w:sz w:val="22"/>
          <w:szCs w:val="22"/>
        </w:rPr>
      </w:pPr>
    </w:p>
    <w:p w14:paraId="54117EA4" w14:textId="77777777" w:rsidR="00F76BA3" w:rsidRDefault="00F76BA3">
      <w:pPr>
        <w:spacing w:line="276" w:lineRule="auto"/>
        <w:jc w:val="both"/>
        <w:rPr>
          <w:rFonts w:ascii="Open Sans" w:eastAsia="Open Sans" w:hAnsi="Open Sans" w:cs="Open Sans"/>
          <w:color w:val="000000"/>
          <w:sz w:val="21"/>
          <w:szCs w:val="21"/>
        </w:rPr>
      </w:pPr>
    </w:p>
    <w:sectPr w:rsidR="00F76BA3">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774D5" w14:textId="77777777" w:rsidR="00B010BA" w:rsidRDefault="00B010BA">
      <w:r>
        <w:separator/>
      </w:r>
    </w:p>
  </w:endnote>
  <w:endnote w:type="continuationSeparator" w:id="0">
    <w:p w14:paraId="0FDD59AC" w14:textId="77777777" w:rsidR="00B010BA" w:rsidRDefault="00B0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A28A5D8-CA60-41A4-8EEB-237AF70CBA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670C391-6529-44FA-A602-1F36A51F6CDA}"/>
    <w:embedBold r:id="rId3" w:fontKey="{6070A28E-F90B-4EAE-A85A-594BFDF81E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31D6DE5-7C6A-4286-8194-B8BA6245E9EC}"/>
    <w:embedItalic r:id="rId5" w:fontKey="{AC7DBB82-EE45-4E43-8AA3-C50A101D7042}"/>
  </w:font>
  <w:font w:name="Cambria">
    <w:panose1 w:val="02040503050406030204"/>
    <w:charset w:val="00"/>
    <w:family w:val="roman"/>
    <w:pitch w:val="variable"/>
    <w:sig w:usb0="E00006FF" w:usb1="420024FF" w:usb2="02000000" w:usb3="00000000" w:csb0="0000019F" w:csb1="00000000"/>
    <w:embedRegular r:id="rId6" w:fontKey="{2F5365CC-42AD-4C4C-8340-B95D3F869DE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593A655-3237-4A15-9464-72C352738E05}"/>
    <w:embedBold r:id="rId8" w:fontKey="{0B7DAEB0-C64E-4CD3-8955-34593DA464EF}"/>
    <w:embedBoldItalic r:id="rId9" w:fontKey="{94F02A50-1782-4933-AD70-AA571E347663}"/>
  </w:font>
  <w:font w:name="Open Sans Light">
    <w:charset w:val="00"/>
    <w:family w:val="swiss"/>
    <w:pitch w:val="variable"/>
    <w:sig w:usb0="E00002EF" w:usb1="4000205B" w:usb2="00000028" w:usb3="00000000" w:csb0="0000019F" w:csb1="00000000"/>
    <w:embedRegular r:id="rId10" w:fontKey="{D3B7FC12-9B69-434C-A888-5A3373AA1D0C}"/>
    <w:embedBold r:id="rId11" w:fontKey="{43E9711D-3D61-4F12-BF0F-C1062A425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A78F4" w14:textId="77777777" w:rsidR="00F76BA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1F9273E" wp14:editId="1E6339C9">
          <wp:simplePos x="0" y="0"/>
          <wp:positionH relativeFrom="column">
            <wp:posOffset>-1068054</wp:posOffset>
          </wp:positionH>
          <wp:positionV relativeFrom="paragraph">
            <wp:posOffset>174608</wp:posOffset>
          </wp:positionV>
          <wp:extent cx="7670550" cy="451315"/>
          <wp:effectExtent l="0" t="0" r="0" b="0"/>
          <wp:wrapNone/>
          <wp:docPr id="17301302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3CE08" w14:textId="77777777" w:rsidR="00B010BA" w:rsidRDefault="00B010BA">
      <w:r>
        <w:separator/>
      </w:r>
    </w:p>
  </w:footnote>
  <w:footnote w:type="continuationSeparator" w:id="0">
    <w:p w14:paraId="747C5313" w14:textId="77777777" w:rsidR="00B010BA" w:rsidRDefault="00B01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A154F6"/>
    <w:multiLevelType w:val="multilevel"/>
    <w:tmpl w:val="6226ABA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81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BA3"/>
    <w:rsid w:val="00AC25D6"/>
    <w:rsid w:val="00B010BA"/>
    <w:rsid w:val="00B50555"/>
    <w:rsid w:val="00F76B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16561"/>
  <w15:docId w15:val="{5BFD1E50-C80A-4B46-8D4E-D09675735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7A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b"/>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4/11/Informe-Radiografia-en-el-segundo-semestre-de-2024.pdf"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xqdeozxcjbV2UQ3ozhGOZUC3g==">CgMxLjAyCWguMnM4ZXlvMTgAciExcW9mbFNPVnVRRjNPLUFRSElDOXRjSUtUSmxnZXZrejE=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1205</Words>
  <Characters>6630</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2024-12-16T12:31:00Z</dcterms:modified>
</cp:coreProperties>
</file>