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5C8F1" w14:textId="77777777" w:rsidR="00C520A6" w:rsidRDefault="00000000">
      <w:pPr>
        <w:spacing w:line="276" w:lineRule="auto"/>
        <w:ind w:right="283"/>
      </w:pPr>
      <w:r>
        <w:rPr>
          <w:noProof/>
        </w:rPr>
        <w:drawing>
          <wp:anchor distT="0" distB="0" distL="114300" distR="114300" simplePos="0" relativeHeight="251658240" behindDoc="0" locked="0" layoutInCell="1" hidden="0" allowOverlap="1" wp14:anchorId="167C0806" wp14:editId="2F4C92AA">
            <wp:simplePos x="0" y="0"/>
            <wp:positionH relativeFrom="column">
              <wp:posOffset>-1080131</wp:posOffset>
            </wp:positionH>
            <wp:positionV relativeFrom="paragraph">
              <wp:posOffset>-447671</wp:posOffset>
            </wp:positionV>
            <wp:extent cx="7581265" cy="1019175"/>
            <wp:effectExtent l="0" t="0" r="0" b="0"/>
            <wp:wrapNone/>
            <wp:docPr id="19912860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73A749C" w14:textId="77777777" w:rsidR="00C520A6" w:rsidRDefault="00C520A6">
      <w:pPr>
        <w:spacing w:line="276" w:lineRule="auto"/>
        <w:ind w:right="283"/>
        <w:jc w:val="right"/>
        <w:rPr>
          <w:rFonts w:ascii="National" w:eastAsia="National" w:hAnsi="National" w:cs="National"/>
          <w:color w:val="303AB2"/>
          <w:sz w:val="36"/>
          <w:szCs w:val="36"/>
        </w:rPr>
      </w:pPr>
    </w:p>
    <w:p w14:paraId="089851D9" w14:textId="77777777" w:rsidR="00C520A6" w:rsidRDefault="00C520A6">
      <w:pPr>
        <w:spacing w:line="276" w:lineRule="auto"/>
        <w:ind w:right="283"/>
        <w:jc w:val="right"/>
        <w:rPr>
          <w:rFonts w:ascii="National" w:eastAsia="National" w:hAnsi="National" w:cs="National"/>
          <w:color w:val="303AB2"/>
          <w:sz w:val="36"/>
          <w:szCs w:val="36"/>
        </w:rPr>
      </w:pPr>
    </w:p>
    <w:p w14:paraId="5688A11C" w14:textId="77777777" w:rsidR="00C520A6" w:rsidRDefault="00000000">
      <w:pPr>
        <w:spacing w:line="276" w:lineRule="auto"/>
        <w:ind w:right="283"/>
        <w:jc w:val="center"/>
        <w:rPr>
          <w:rFonts w:ascii="National" w:eastAsia="National" w:hAnsi="National" w:cs="National"/>
          <w:b/>
          <w:color w:val="1DBDC5"/>
          <w:sz w:val="40"/>
          <w:szCs w:val="40"/>
        </w:rPr>
      </w:pPr>
      <w:r>
        <w:rPr>
          <w:rFonts w:ascii="National" w:eastAsia="National" w:hAnsi="National" w:cs="National"/>
          <w:b/>
          <w:color w:val="1DBDC5"/>
          <w:sz w:val="40"/>
          <w:szCs w:val="40"/>
        </w:rPr>
        <w:t>INFORME LA VIVIENDA EN VENTA EN 2024</w:t>
      </w:r>
    </w:p>
    <w:p w14:paraId="5299A09D" w14:textId="77777777" w:rsidR="00C520A6" w:rsidRDefault="00000000">
      <w:pPr>
        <w:spacing w:line="276" w:lineRule="auto"/>
        <w:ind w:right="283"/>
        <w:jc w:val="center"/>
        <w:rPr>
          <w:rFonts w:ascii="National" w:eastAsia="National" w:hAnsi="National" w:cs="National"/>
          <w:b/>
          <w:color w:val="303AB2"/>
          <w:sz w:val="48"/>
          <w:szCs w:val="48"/>
        </w:rPr>
      </w:pPr>
      <w:r>
        <w:rPr>
          <w:rFonts w:ascii="National" w:eastAsia="National" w:hAnsi="National" w:cs="National"/>
          <w:b/>
          <w:color w:val="303AB2"/>
          <w:sz w:val="48"/>
          <w:szCs w:val="48"/>
        </w:rPr>
        <w:t>Ocho de las diez ciudades más caras de Andalucía para comprar vivienda se encuentran en la provincia de Málaga</w:t>
      </w:r>
    </w:p>
    <w:p w14:paraId="6AB38106" w14:textId="77777777" w:rsidR="00C520A6" w:rsidRDefault="00C520A6">
      <w:pPr>
        <w:spacing w:line="276" w:lineRule="auto"/>
        <w:ind w:right="283"/>
        <w:rPr>
          <w:rFonts w:ascii="National" w:eastAsia="National" w:hAnsi="National" w:cs="National"/>
          <w:b/>
          <w:color w:val="303AB2"/>
          <w:sz w:val="16"/>
          <w:szCs w:val="16"/>
        </w:rPr>
      </w:pPr>
    </w:p>
    <w:p w14:paraId="0369A2CB" w14:textId="77777777" w:rsidR="00C520A6"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303AB2"/>
        </w:rPr>
      </w:pPr>
      <w:r>
        <w:rPr>
          <w:rFonts w:ascii="Open Sans" w:eastAsia="Open Sans" w:hAnsi="Open Sans" w:cs="Open Sans"/>
          <w:color w:val="303AB2"/>
        </w:rPr>
        <w:t>Benahavís y Marbella son los municipios más caros de Málaga y Tarifa, en Cádiz, es el tercer municipio más caro de Andalucía para comprar una vivienda</w:t>
      </w:r>
    </w:p>
    <w:p w14:paraId="0696F089" w14:textId="77777777" w:rsidR="00C520A6"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303AB2"/>
        </w:rPr>
      </w:pPr>
      <w:r>
        <w:rPr>
          <w:rFonts w:ascii="Open Sans" w:eastAsia="Open Sans" w:hAnsi="Open Sans" w:cs="Open Sans"/>
          <w:color w:val="303AB2"/>
        </w:rPr>
        <w:t>Casi todos los municipios más caros de Andalucía han llegado a máximos en algún momento de 2024</w:t>
      </w:r>
    </w:p>
    <w:p w14:paraId="67966061" w14:textId="77777777" w:rsidR="00C520A6"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303AB2"/>
        </w:rPr>
      </w:pPr>
      <w:r>
        <w:rPr>
          <w:rFonts w:ascii="Open Sans" w:eastAsia="Open Sans" w:hAnsi="Open Sans" w:cs="Open Sans"/>
          <w:color w:val="303AB2"/>
        </w:rPr>
        <w:t>Benahavís y Marbella superan los 5.000 €/m2 después de subir un 12,5% y un 16% el precio de la vivienda anual</w:t>
      </w:r>
    </w:p>
    <w:p w14:paraId="0EFC5450" w14:textId="77777777" w:rsidR="00C520A6" w:rsidRDefault="00000000">
      <w:pPr>
        <w:pBdr>
          <w:top w:val="nil"/>
          <w:left w:val="nil"/>
          <w:bottom w:val="nil"/>
          <w:right w:val="nil"/>
          <w:between w:val="nil"/>
        </w:pBdr>
        <w:spacing w:line="276" w:lineRule="auto"/>
        <w:ind w:left="-11" w:right="283"/>
        <w:jc w:val="both"/>
        <w:rPr>
          <w:rFonts w:ascii="Open Sans Light" w:eastAsia="Open Sans Light" w:hAnsi="Open Sans Light" w:cs="Open Sans Light"/>
          <w:color w:val="303AB2"/>
        </w:rPr>
      </w:pPr>
      <w:r>
        <w:rPr>
          <w:rFonts w:ascii="Open Sans Light" w:eastAsia="Open Sans Light" w:hAnsi="Open Sans Light" w:cs="Open Sans Light"/>
          <w:b/>
          <w:color w:val="303AB2"/>
        </w:rPr>
        <w:br/>
      </w:r>
      <w:r>
        <w:rPr>
          <w:rFonts w:ascii="Open Sans" w:eastAsia="Open Sans" w:hAnsi="Open Sans" w:cs="Open Sans"/>
          <w:color w:val="303AB2"/>
        </w:rPr>
        <w:t>Madrid, 17 de enero de 2025</w:t>
      </w:r>
    </w:p>
    <w:p w14:paraId="013B4A32" w14:textId="77777777" w:rsidR="00C520A6" w:rsidRDefault="00C520A6">
      <w:pPr>
        <w:spacing w:line="276" w:lineRule="auto"/>
        <w:ind w:right="283"/>
        <w:rPr>
          <w:rFonts w:ascii="Open Sans Light" w:eastAsia="Open Sans Light" w:hAnsi="Open Sans Light" w:cs="Open Sans Light"/>
          <w:color w:val="303AB2"/>
        </w:rPr>
      </w:pPr>
    </w:p>
    <w:p w14:paraId="5A9A1E6E" w14:textId="77777777" w:rsidR="00C520A6"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El precio de la vivienda de segunda mano en España ha cerrado 2024 con un precio medio de </w:t>
      </w:r>
      <w:r>
        <w:rPr>
          <w:rFonts w:ascii="Open Sans" w:eastAsia="Open Sans" w:hAnsi="Open Sans" w:cs="Open Sans"/>
        </w:rPr>
        <w:t>2</w:t>
      </w:r>
      <w:r>
        <w:rPr>
          <w:rFonts w:ascii="Open Sans" w:eastAsia="Open Sans" w:hAnsi="Open Sans" w:cs="Open Sans"/>
          <w:color w:val="000000"/>
        </w:rPr>
        <w:t>.389 €/m</w:t>
      </w:r>
      <w:r>
        <w:rPr>
          <w:rFonts w:ascii="Open Sans" w:eastAsia="Open Sans" w:hAnsi="Open Sans" w:cs="Open Sans"/>
          <w:color w:val="000000"/>
          <w:vertAlign w:val="superscript"/>
        </w:rPr>
        <w:t>2</w:t>
      </w:r>
      <w:r>
        <w:rPr>
          <w:rFonts w:ascii="Open Sans" w:eastAsia="Open Sans" w:hAnsi="Open Sans" w:cs="Open Sans"/>
          <w:color w:val="000000"/>
        </w:rPr>
        <w:t xml:space="preserve"> y en el caso de Andalucía el año ha cerrado con un precio medio de 2.236 €/m</w:t>
      </w:r>
      <w:r>
        <w:rPr>
          <w:rFonts w:ascii="Open Sans" w:eastAsia="Open Sans" w:hAnsi="Open Sans" w:cs="Open Sans"/>
          <w:color w:val="000000"/>
          <w:vertAlign w:val="superscript"/>
        </w:rPr>
        <w:t>2</w:t>
      </w:r>
      <w:r>
        <w:rPr>
          <w:rFonts w:ascii="Open Sans" w:eastAsia="Open Sans" w:hAnsi="Open Sans" w:cs="Open Sans"/>
          <w:color w:val="000000"/>
        </w:rPr>
        <w:t xml:space="preserve">, según los datos del informe de </w:t>
      </w:r>
      <w:r>
        <w:rPr>
          <w:rFonts w:ascii="Open Sans" w:eastAsia="Open Sans" w:hAnsi="Open Sans" w:cs="Open Sans"/>
          <w:b/>
          <w:color w:val="000000"/>
        </w:rPr>
        <w:t>“</w:t>
      </w:r>
      <w:hyperlink r:id="rId9">
        <w:r>
          <w:rPr>
            <w:rFonts w:ascii="Open Sans" w:eastAsia="Open Sans" w:hAnsi="Open Sans" w:cs="Open Sans"/>
            <w:b/>
            <w:i/>
            <w:color w:val="0000FF"/>
            <w:u w:val="single"/>
          </w:rPr>
          <w:t>La vivienda de segunda mano en 2024</w:t>
        </w:r>
      </w:hyperlink>
      <w:r>
        <w:rPr>
          <w:rFonts w:ascii="Open Sans" w:eastAsia="Open Sans" w:hAnsi="Open Sans" w:cs="Open Sans"/>
          <w:b/>
          <w:i/>
          <w:color w:val="000000"/>
        </w:rPr>
        <w:t>”</w:t>
      </w:r>
      <w:r>
        <w:rPr>
          <w:rFonts w:ascii="Open Sans" w:eastAsia="Open Sans" w:hAnsi="Open Sans" w:cs="Open Sans"/>
          <w:i/>
          <w:color w:val="000000"/>
        </w:rPr>
        <w:t xml:space="preserve"> </w:t>
      </w:r>
      <w:r>
        <w:rPr>
          <w:rFonts w:ascii="Open Sans" w:eastAsia="Open Sans" w:hAnsi="Open Sans" w:cs="Open Sans"/>
          <w:color w:val="000000"/>
        </w:rPr>
        <w:t>elaborado a partir</w:t>
      </w:r>
      <w:r>
        <w:rPr>
          <w:rFonts w:ascii="Open Sans" w:eastAsia="Open Sans" w:hAnsi="Open Sans" w:cs="Open Sans"/>
          <w:i/>
          <w:color w:val="000000"/>
        </w:rPr>
        <w:t xml:space="preserve"> </w:t>
      </w:r>
      <w:r>
        <w:rPr>
          <w:rFonts w:ascii="Open Sans" w:eastAsia="Open Sans" w:hAnsi="Open Sans" w:cs="Open Sans"/>
          <w:color w:val="000000"/>
        </w:rPr>
        <w:t>del</w:t>
      </w:r>
      <w:r>
        <w:rPr>
          <w:rFonts w:ascii="Open Sans" w:eastAsia="Open Sans" w:hAnsi="Open Sans" w:cs="Open Sans"/>
          <w:i/>
          <w:color w:val="000000"/>
        </w:rPr>
        <w:t xml:space="preserve"> </w:t>
      </w:r>
      <w:r>
        <w:rPr>
          <w:rFonts w:ascii="Open Sans" w:eastAsia="Open Sans" w:hAnsi="Open Sans" w:cs="Open Sans"/>
          <w:color w:val="000000"/>
        </w:rPr>
        <w:t xml:space="preserve">Índice Inmobiliario </w:t>
      </w:r>
      <w:hyperlink r:id="rId10">
        <w:r>
          <w:rPr>
            <w:rFonts w:ascii="Open Sans" w:eastAsia="Open Sans" w:hAnsi="Open Sans" w:cs="Open Sans"/>
            <w:color w:val="0000FF"/>
            <w:u w:val="single"/>
          </w:rPr>
          <w:t>Fotocasa</w:t>
        </w:r>
      </w:hyperlink>
      <w:r>
        <w:rPr>
          <w:rFonts w:ascii="Open Sans" w:eastAsia="Open Sans" w:hAnsi="Open Sans" w:cs="Open Sans"/>
          <w:color w:val="000000"/>
        </w:rPr>
        <w:t xml:space="preserve">. De hecho, </w:t>
      </w:r>
      <w:r>
        <w:rPr>
          <w:rFonts w:ascii="Open Sans" w:eastAsia="Open Sans" w:hAnsi="Open Sans" w:cs="Open Sans"/>
          <w:b/>
          <w:color w:val="000000"/>
        </w:rPr>
        <w:t>Andalucía es en estos momentos la sexta comunidad autónoma con el precio de la vivienda en venta más caro, aunque aún se encuentra un     -11% por debajo del precio máximo que alcanzó en abril de 2007</w:t>
      </w:r>
      <w:r>
        <w:rPr>
          <w:rFonts w:ascii="Open Sans" w:eastAsia="Open Sans" w:hAnsi="Open Sans" w:cs="Open Sans"/>
          <w:color w:val="000000"/>
        </w:rPr>
        <w:t>, con un precio medio de 2.509 €/m</w:t>
      </w:r>
      <w:r>
        <w:rPr>
          <w:rFonts w:ascii="Open Sans" w:eastAsia="Open Sans" w:hAnsi="Open Sans" w:cs="Open Sans"/>
          <w:color w:val="000000"/>
          <w:vertAlign w:val="superscript"/>
        </w:rPr>
        <w:t>2</w:t>
      </w:r>
      <w:r>
        <w:rPr>
          <w:rFonts w:ascii="Open Sans" w:eastAsia="Open Sans" w:hAnsi="Open Sans" w:cs="Open Sans"/>
          <w:color w:val="000000"/>
        </w:rPr>
        <w:t>.</w:t>
      </w:r>
    </w:p>
    <w:p w14:paraId="658E39A0" w14:textId="77777777" w:rsidR="00C520A6" w:rsidRDefault="00C520A6">
      <w:pPr>
        <w:spacing w:line="276" w:lineRule="auto"/>
        <w:jc w:val="both"/>
        <w:rPr>
          <w:rFonts w:ascii="Open Sans" w:eastAsia="Open Sans" w:hAnsi="Open Sans" w:cs="Open Sans"/>
          <w:color w:val="000000"/>
        </w:rPr>
      </w:pPr>
    </w:p>
    <w:p w14:paraId="1C45A85D" w14:textId="77777777" w:rsidR="00C520A6"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Si se analizan al detalle los 10 municipios andaluces más caros para comprar vivienda en 2024, se ve que </w:t>
      </w:r>
      <w:r>
        <w:rPr>
          <w:rFonts w:ascii="Open Sans" w:eastAsia="Open Sans" w:hAnsi="Open Sans" w:cs="Open Sans"/>
          <w:b/>
          <w:color w:val="000000"/>
        </w:rPr>
        <w:t>la provincia de Málaga cuenta con 8 de los municipios más caros y Cádiz con dos</w:t>
      </w:r>
      <w:r>
        <w:rPr>
          <w:rFonts w:ascii="Open Sans" w:eastAsia="Open Sans" w:hAnsi="Open Sans" w:cs="Open Sans"/>
          <w:color w:val="000000"/>
        </w:rPr>
        <w:t xml:space="preserve">. Así, el municipio más caro de Andalucía es </w:t>
      </w:r>
      <w:r>
        <w:rPr>
          <w:rFonts w:ascii="Open Sans" w:eastAsia="Open Sans" w:hAnsi="Open Sans" w:cs="Open Sans"/>
          <w:b/>
          <w:color w:val="000000"/>
        </w:rPr>
        <w:t>Benahavís, en la provincia de Málaga</w:t>
      </w:r>
      <w:r>
        <w:rPr>
          <w:rFonts w:ascii="Open Sans" w:eastAsia="Open Sans" w:hAnsi="Open Sans" w:cs="Open Sans"/>
          <w:color w:val="000000"/>
        </w:rPr>
        <w:t>, con un precio medio de 5.289 €/m</w:t>
      </w:r>
      <w:r>
        <w:rPr>
          <w:rFonts w:ascii="Open Sans" w:eastAsia="Open Sans" w:hAnsi="Open Sans" w:cs="Open Sans"/>
          <w:color w:val="000000"/>
          <w:vertAlign w:val="superscript"/>
        </w:rPr>
        <w:t>2</w:t>
      </w:r>
      <w:r>
        <w:rPr>
          <w:rFonts w:ascii="Open Sans" w:eastAsia="Open Sans" w:hAnsi="Open Sans" w:cs="Open Sans"/>
          <w:color w:val="000000"/>
        </w:rPr>
        <w:t xml:space="preserve"> y ha cerrado 2024 con una variación anual del 12,5%. Le sigue </w:t>
      </w:r>
      <w:r>
        <w:rPr>
          <w:rFonts w:ascii="Open Sans" w:eastAsia="Open Sans" w:hAnsi="Open Sans" w:cs="Open Sans"/>
          <w:b/>
          <w:color w:val="000000"/>
        </w:rPr>
        <w:t>Marbella, también en Málaga</w:t>
      </w:r>
      <w:r>
        <w:rPr>
          <w:rFonts w:ascii="Open Sans" w:eastAsia="Open Sans" w:hAnsi="Open Sans" w:cs="Open Sans"/>
          <w:color w:val="000000"/>
        </w:rPr>
        <w:t>, con un precio medio de 5.100 €/m</w:t>
      </w:r>
      <w:r>
        <w:rPr>
          <w:rFonts w:ascii="Open Sans" w:eastAsia="Open Sans" w:hAnsi="Open Sans" w:cs="Open Sans"/>
          <w:color w:val="000000"/>
          <w:vertAlign w:val="superscript"/>
        </w:rPr>
        <w:t>2</w:t>
      </w:r>
      <w:r>
        <w:rPr>
          <w:rFonts w:ascii="Open Sans" w:eastAsia="Open Sans" w:hAnsi="Open Sans" w:cs="Open Sans"/>
          <w:color w:val="000000"/>
        </w:rPr>
        <w:t xml:space="preserve">. En tercer lugar, </w:t>
      </w:r>
      <w:r>
        <w:rPr>
          <w:rFonts w:ascii="Open Sans" w:eastAsia="Open Sans" w:hAnsi="Open Sans" w:cs="Open Sans"/>
          <w:b/>
          <w:color w:val="000000"/>
        </w:rPr>
        <w:t>Tarifa, en la provincia de Cádiz</w:t>
      </w:r>
      <w:r>
        <w:rPr>
          <w:rFonts w:ascii="Open Sans" w:eastAsia="Open Sans" w:hAnsi="Open Sans" w:cs="Open Sans"/>
          <w:color w:val="000000"/>
        </w:rPr>
        <w:t>, con un precio medio de 4.379 €/m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color w:val="000000"/>
        </w:rPr>
        <w:lastRenderedPageBreak/>
        <w:t>encabezan el ranking de los municipios con el precio más caro de Andalucía. Además, estos tres municipios han llegado a máximos en algún momento de 2024.</w:t>
      </w:r>
    </w:p>
    <w:p w14:paraId="3758A737" w14:textId="77777777" w:rsidR="00C520A6" w:rsidRDefault="00C520A6">
      <w:pPr>
        <w:spacing w:line="276" w:lineRule="auto"/>
        <w:jc w:val="both"/>
        <w:rPr>
          <w:rFonts w:ascii="Open Sans" w:eastAsia="Open Sans" w:hAnsi="Open Sans" w:cs="Open Sans"/>
        </w:rPr>
      </w:pPr>
    </w:p>
    <w:p w14:paraId="5F13C1FE" w14:textId="77777777" w:rsidR="00C520A6" w:rsidRDefault="00000000">
      <w:pPr>
        <w:spacing w:line="276" w:lineRule="auto"/>
        <w:jc w:val="both"/>
        <w:rPr>
          <w:rFonts w:ascii="Open Sans" w:eastAsia="Open Sans" w:hAnsi="Open Sans" w:cs="Open Sans"/>
          <w:b/>
        </w:rPr>
      </w:pPr>
      <w:r>
        <w:rPr>
          <w:rFonts w:ascii="Open Sans" w:eastAsia="Open Sans" w:hAnsi="Open Sans" w:cs="Open Sans"/>
        </w:rPr>
        <w:t xml:space="preserve">“Málaga es la ciudad que aglutina los municipios con el precio más caro de Andalucía, debido a que cuenta con factores como una alta renta per cápita, un gran atractivo turístico internacional, una clara expansión tecnológica y un elevado desarrollo de infraestructuras en los últimos años. Todo ello, hace que el precio aumente y revalorice el terreno. En estos municipios la demanda es intensa, en contraste con una oferta muy restringida. Este desequilibrio, sumado a su exclusividad, consolida a estas localidades en los primeros puestos de los precios más altos del mercado inmobiliario andaluz”, </w:t>
      </w:r>
      <w:r>
        <w:rPr>
          <w:rFonts w:ascii="Open Sans" w:eastAsia="Open Sans" w:hAnsi="Open Sans" w:cs="Open Sans"/>
          <w:b/>
        </w:rPr>
        <w:t xml:space="preserve">comenta María Matos, directora de Estudios y portavoz de </w:t>
      </w:r>
      <w:hyperlink r:id="rId11">
        <w:r>
          <w:rPr>
            <w:rFonts w:ascii="Open Sans" w:eastAsia="Open Sans" w:hAnsi="Open Sans" w:cs="Open Sans"/>
            <w:b/>
            <w:color w:val="1155CC"/>
            <w:u w:val="single"/>
          </w:rPr>
          <w:t>Fotocasa</w:t>
        </w:r>
      </w:hyperlink>
      <w:r>
        <w:rPr>
          <w:rFonts w:ascii="Open Sans" w:eastAsia="Open Sans" w:hAnsi="Open Sans" w:cs="Open Sans"/>
          <w:b/>
        </w:rPr>
        <w:t>.</w:t>
      </w:r>
    </w:p>
    <w:p w14:paraId="14062563" w14:textId="77777777" w:rsidR="00C520A6" w:rsidRDefault="00C520A6">
      <w:pPr>
        <w:spacing w:line="276" w:lineRule="auto"/>
        <w:jc w:val="both"/>
        <w:rPr>
          <w:rFonts w:ascii="Open Sans" w:eastAsia="Open Sans" w:hAnsi="Open Sans" w:cs="Open Sans"/>
          <w:b/>
        </w:rPr>
      </w:pPr>
    </w:p>
    <w:p w14:paraId="4AD500F6" w14:textId="77777777" w:rsidR="00C520A6"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En cuarta, quinta y sexta posición como municipios más caros encontramos que los tres pertenecen a la provincia de Málaga. Se trata de </w:t>
      </w:r>
      <w:r>
        <w:rPr>
          <w:rFonts w:ascii="Open Sans" w:eastAsia="Open Sans" w:hAnsi="Open Sans" w:cs="Open Sans"/>
          <w:b/>
          <w:color w:val="000000"/>
        </w:rPr>
        <w:t>Estepona, Fuengirola y el Rincón de la Victoria</w:t>
      </w:r>
      <w:r>
        <w:rPr>
          <w:rFonts w:ascii="Open Sans" w:eastAsia="Open Sans" w:hAnsi="Open Sans" w:cs="Open Sans"/>
          <w:color w:val="000000"/>
        </w:rPr>
        <w:t>. En el caso de Estepona, tiene un precio medio de 4.334 €/m</w:t>
      </w:r>
      <w:r>
        <w:rPr>
          <w:rFonts w:ascii="Open Sans" w:eastAsia="Open Sans" w:hAnsi="Open Sans" w:cs="Open Sans"/>
          <w:color w:val="000000"/>
          <w:vertAlign w:val="superscript"/>
        </w:rPr>
        <w:t>2</w:t>
      </w:r>
      <w:r>
        <w:rPr>
          <w:rFonts w:ascii="Open Sans" w:eastAsia="Open Sans" w:hAnsi="Open Sans" w:cs="Open Sans"/>
          <w:color w:val="000000"/>
        </w:rPr>
        <w:t xml:space="preserve"> y cierra el año con un incremento del 11% respecto a 2023. En el caso de Fuengirola, el precio medio de diciembre de 2024 es de 4.204 €/m</w:t>
      </w:r>
      <w:r>
        <w:rPr>
          <w:rFonts w:ascii="Open Sans" w:eastAsia="Open Sans" w:hAnsi="Open Sans" w:cs="Open Sans"/>
          <w:color w:val="000000"/>
          <w:vertAlign w:val="superscript"/>
        </w:rPr>
        <w:t>2</w:t>
      </w:r>
      <w:r>
        <w:rPr>
          <w:rFonts w:ascii="Open Sans" w:eastAsia="Open Sans" w:hAnsi="Open Sans" w:cs="Open Sans"/>
          <w:color w:val="000000"/>
        </w:rPr>
        <w:t xml:space="preserve"> y una variación anual del 14,2% y en sexta posición, el Rincón de la Victoria tiene un precio de 4.181 €/m</w:t>
      </w:r>
      <w:r>
        <w:rPr>
          <w:rFonts w:ascii="Open Sans" w:eastAsia="Open Sans" w:hAnsi="Open Sans" w:cs="Open Sans"/>
          <w:color w:val="000000"/>
          <w:vertAlign w:val="superscript"/>
        </w:rPr>
        <w:t>2</w:t>
      </w:r>
      <w:r>
        <w:rPr>
          <w:rFonts w:ascii="Open Sans" w:eastAsia="Open Sans" w:hAnsi="Open Sans" w:cs="Open Sans"/>
          <w:color w:val="000000"/>
        </w:rPr>
        <w:t xml:space="preserve"> y ha cerrado el año con una subida anual del 44,3%. </w:t>
      </w:r>
    </w:p>
    <w:p w14:paraId="6892A778" w14:textId="77777777" w:rsidR="00C520A6" w:rsidRDefault="00C520A6">
      <w:pPr>
        <w:spacing w:line="276" w:lineRule="auto"/>
        <w:jc w:val="both"/>
        <w:rPr>
          <w:rFonts w:ascii="Open Sans" w:eastAsia="Open Sans" w:hAnsi="Open Sans" w:cs="Open Sans"/>
          <w:color w:val="000000"/>
        </w:rPr>
      </w:pPr>
    </w:p>
    <w:p w14:paraId="5D2F9915" w14:textId="77777777" w:rsidR="00C520A6"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Le sigue </w:t>
      </w:r>
      <w:r>
        <w:rPr>
          <w:rFonts w:ascii="Open Sans" w:eastAsia="Open Sans" w:hAnsi="Open Sans" w:cs="Open Sans"/>
          <w:b/>
          <w:color w:val="000000"/>
        </w:rPr>
        <w:t>Zahara de los Atunes, en Cádiz</w:t>
      </w:r>
      <w:r>
        <w:rPr>
          <w:rFonts w:ascii="Open Sans" w:eastAsia="Open Sans" w:hAnsi="Open Sans" w:cs="Open Sans"/>
          <w:color w:val="000000"/>
        </w:rPr>
        <w:t>, con un precio medio de 4.138 €/m</w:t>
      </w:r>
      <w:r>
        <w:rPr>
          <w:rFonts w:ascii="Open Sans" w:eastAsia="Open Sans" w:hAnsi="Open Sans" w:cs="Open Sans"/>
          <w:color w:val="000000"/>
          <w:vertAlign w:val="superscript"/>
        </w:rPr>
        <w:t>2</w:t>
      </w:r>
      <w:r>
        <w:rPr>
          <w:rFonts w:ascii="Open Sans" w:eastAsia="Open Sans" w:hAnsi="Open Sans" w:cs="Open Sans"/>
          <w:color w:val="000000"/>
        </w:rPr>
        <w:t>, Istán, en la provincia de Málaga, con un precio medio de 4.121 €/m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b/>
          <w:color w:val="000000"/>
        </w:rPr>
        <w:t xml:space="preserve">Benalmádena </w:t>
      </w:r>
      <w:r>
        <w:rPr>
          <w:rFonts w:ascii="Open Sans" w:eastAsia="Open Sans" w:hAnsi="Open Sans" w:cs="Open Sans"/>
          <w:color w:val="000000"/>
        </w:rPr>
        <w:t>(4.114 €/m</w:t>
      </w:r>
      <w:r>
        <w:rPr>
          <w:rFonts w:ascii="Open Sans" w:eastAsia="Open Sans" w:hAnsi="Open Sans" w:cs="Open Sans"/>
          <w:color w:val="000000"/>
          <w:vertAlign w:val="superscript"/>
        </w:rPr>
        <w:t>2</w:t>
      </w:r>
      <w:r>
        <w:rPr>
          <w:rFonts w:ascii="Open Sans" w:eastAsia="Open Sans" w:hAnsi="Open Sans" w:cs="Open Sans"/>
          <w:color w:val="000000"/>
        </w:rPr>
        <w:t xml:space="preserve">) y </w:t>
      </w:r>
      <w:r>
        <w:rPr>
          <w:rFonts w:ascii="Open Sans" w:eastAsia="Open Sans" w:hAnsi="Open Sans" w:cs="Open Sans"/>
          <w:b/>
          <w:color w:val="000000"/>
        </w:rPr>
        <w:t>Ojén</w:t>
      </w:r>
      <w:r>
        <w:rPr>
          <w:rFonts w:ascii="Open Sans" w:eastAsia="Open Sans" w:hAnsi="Open Sans" w:cs="Open Sans"/>
          <w:color w:val="000000"/>
        </w:rPr>
        <w:t xml:space="preserve"> (4.102 €/m</w:t>
      </w:r>
      <w:r>
        <w:rPr>
          <w:rFonts w:ascii="Open Sans" w:eastAsia="Open Sans" w:hAnsi="Open Sans" w:cs="Open Sans"/>
          <w:color w:val="000000"/>
          <w:vertAlign w:val="superscript"/>
        </w:rPr>
        <w:t>2</w:t>
      </w:r>
      <w:r>
        <w:rPr>
          <w:rFonts w:ascii="Open Sans" w:eastAsia="Open Sans" w:hAnsi="Open Sans" w:cs="Open Sans"/>
          <w:color w:val="000000"/>
        </w:rPr>
        <w:t xml:space="preserve">), ambos en la provincia de Málaga, cierran la lista de los 10 municipios más caros para comprar vivienda en Andalucía. </w:t>
      </w:r>
    </w:p>
    <w:p w14:paraId="0610A974" w14:textId="77777777" w:rsidR="00C520A6" w:rsidRDefault="00000000">
      <w:pPr>
        <w:shd w:val="clear" w:color="auto" w:fill="FFFFFF"/>
        <w:spacing w:before="280" w:after="280" w:line="276" w:lineRule="auto"/>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Los 10 municipios más caros han llegado a máximos en 2024</w:t>
      </w:r>
    </w:p>
    <w:p w14:paraId="48416D0E" w14:textId="77777777" w:rsidR="00C520A6"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Nueve de los 10 municipios más caros de Andalucía han llegado a máximos en algún momento de 2024. En el caso de Ojén, en Málaga, llegó a máximos en octubre de 2023. </w:t>
      </w:r>
    </w:p>
    <w:p w14:paraId="1101887B" w14:textId="77777777" w:rsidR="00C520A6" w:rsidRDefault="00C520A6">
      <w:pPr>
        <w:spacing w:line="276" w:lineRule="auto"/>
        <w:jc w:val="both"/>
        <w:rPr>
          <w:rFonts w:ascii="Open Sans" w:eastAsia="Open Sans" w:hAnsi="Open Sans" w:cs="Open Sans"/>
          <w:color w:val="000000"/>
        </w:rPr>
      </w:pPr>
    </w:p>
    <w:p w14:paraId="02DD9AB9" w14:textId="77777777" w:rsidR="00C520A6"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De hecho, de los 201 municipios analizados por el Índice Inmobiliario Fotocasa en el mes de diciembre en Andalucía, 116 de ellos han llegado a máximos en algún momento de 2024 y 71 de ellos lo han hecho en el mes de diciembre. </w:t>
      </w:r>
      <w:proofErr w:type="spellStart"/>
      <w:r>
        <w:rPr>
          <w:rFonts w:ascii="Open Sans" w:eastAsia="Open Sans" w:hAnsi="Open Sans" w:cs="Open Sans"/>
          <w:color w:val="000000"/>
        </w:rPr>
        <w:t>Aún</w:t>
      </w:r>
      <w:proofErr w:type="spellEnd"/>
      <w:r>
        <w:rPr>
          <w:rFonts w:ascii="Open Sans" w:eastAsia="Open Sans" w:hAnsi="Open Sans" w:cs="Open Sans"/>
          <w:color w:val="000000"/>
        </w:rPr>
        <w:t xml:space="preserve"> </w:t>
      </w:r>
      <w:r>
        <w:rPr>
          <w:rFonts w:ascii="Open Sans" w:eastAsia="Open Sans" w:hAnsi="Open Sans" w:cs="Open Sans"/>
          <w:color w:val="000000"/>
        </w:rPr>
        <w:lastRenderedPageBreak/>
        <w:t xml:space="preserve">así, el precio medio en Andalucía se encuentra un -11% por debajo del máximo alcanzado en abril de 2007. </w:t>
      </w:r>
    </w:p>
    <w:p w14:paraId="0A855BFD" w14:textId="77777777" w:rsidR="00C520A6" w:rsidRDefault="00000000">
      <w:pPr>
        <w:shd w:val="clear" w:color="auto" w:fill="FFFFFF"/>
        <w:spacing w:before="280" w:after="280" w:line="276" w:lineRule="auto"/>
        <w:jc w:val="center"/>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Precio, variación anual y mes de precio máximo en Andalucía</w:t>
      </w:r>
    </w:p>
    <w:tbl>
      <w:tblPr>
        <w:tblStyle w:val="a7"/>
        <w:tblW w:w="89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5"/>
        <w:gridCol w:w="1891"/>
        <w:gridCol w:w="1417"/>
        <w:gridCol w:w="1418"/>
        <w:gridCol w:w="1409"/>
        <w:gridCol w:w="1425"/>
      </w:tblGrid>
      <w:tr w:rsidR="00C520A6" w14:paraId="11EF2613" w14:textId="77777777" w:rsidTr="00907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3926B5E8" w14:textId="77777777" w:rsidR="00C520A6" w:rsidRDefault="00000000">
            <w:pPr>
              <w:spacing w:line="276" w:lineRule="auto"/>
              <w:jc w:val="both"/>
              <w:rPr>
                <w:rFonts w:ascii="Open Sans" w:eastAsia="Open Sans" w:hAnsi="Open Sans" w:cs="Open Sans"/>
              </w:rPr>
            </w:pPr>
            <w:r>
              <w:rPr>
                <w:rFonts w:ascii="Open Sans" w:eastAsia="Open Sans" w:hAnsi="Open Sans" w:cs="Open Sans"/>
              </w:rPr>
              <w:t>CCAA</w:t>
            </w:r>
          </w:p>
        </w:tc>
        <w:tc>
          <w:tcPr>
            <w:tcW w:w="1891" w:type="dxa"/>
          </w:tcPr>
          <w:p w14:paraId="1D1D4A35" w14:textId="77777777" w:rsidR="00C520A6" w:rsidRDefault="00000000">
            <w:pPr>
              <w:spacing w:line="276" w:lineRule="auto"/>
              <w:jc w:val="both"/>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Municipios</w:t>
            </w:r>
          </w:p>
        </w:tc>
        <w:tc>
          <w:tcPr>
            <w:tcW w:w="1417" w:type="dxa"/>
          </w:tcPr>
          <w:p w14:paraId="07B4A202" w14:textId="77777777" w:rsidR="00C520A6" w:rsidRDefault="00000000">
            <w:pPr>
              <w:spacing w:line="276" w:lineRule="auto"/>
              <w:jc w:val="both"/>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Precio </w:t>
            </w:r>
          </w:p>
          <w:p w14:paraId="37B7D688" w14:textId="77777777" w:rsidR="00C520A6" w:rsidRDefault="00000000">
            <w:pPr>
              <w:spacing w:line="276" w:lineRule="auto"/>
              <w:jc w:val="both"/>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(dic. 2024)</w:t>
            </w:r>
          </w:p>
        </w:tc>
        <w:tc>
          <w:tcPr>
            <w:tcW w:w="1418" w:type="dxa"/>
          </w:tcPr>
          <w:p w14:paraId="22ADF4E7" w14:textId="77777777" w:rsidR="00C520A6" w:rsidRDefault="00000000">
            <w:pPr>
              <w:spacing w:line="276" w:lineRule="auto"/>
              <w:jc w:val="both"/>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Variación anual</w:t>
            </w:r>
          </w:p>
        </w:tc>
        <w:tc>
          <w:tcPr>
            <w:tcW w:w="1409" w:type="dxa"/>
          </w:tcPr>
          <w:p w14:paraId="0698FF10" w14:textId="77777777" w:rsidR="00C520A6" w:rsidRDefault="00000000">
            <w:pPr>
              <w:spacing w:line="276" w:lineRule="auto"/>
              <w:jc w:val="both"/>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Mes máximo</w:t>
            </w:r>
          </w:p>
        </w:tc>
        <w:tc>
          <w:tcPr>
            <w:tcW w:w="1425" w:type="dxa"/>
          </w:tcPr>
          <w:p w14:paraId="367DC4AE" w14:textId="77777777" w:rsidR="00C520A6" w:rsidRDefault="00000000">
            <w:pPr>
              <w:spacing w:line="276" w:lineRule="auto"/>
              <w:jc w:val="both"/>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Precio máximo</w:t>
            </w:r>
          </w:p>
        </w:tc>
      </w:tr>
      <w:tr w:rsidR="00C520A6" w14:paraId="5E5B2852" w14:textId="77777777" w:rsidTr="0090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1E9458BB" w14:textId="77777777" w:rsidR="00C520A6" w:rsidRDefault="00000000">
            <w:pPr>
              <w:spacing w:line="276" w:lineRule="auto"/>
              <w:jc w:val="both"/>
              <w:rPr>
                <w:rFonts w:ascii="Open Sans" w:eastAsia="Open Sans" w:hAnsi="Open Sans" w:cs="Open Sans"/>
              </w:rPr>
            </w:pPr>
            <w:r>
              <w:rPr>
                <w:rFonts w:ascii="Open Sans" w:eastAsia="Open Sans" w:hAnsi="Open Sans" w:cs="Open Sans"/>
                <w:b w:val="0"/>
              </w:rPr>
              <w:t>Málaga</w:t>
            </w:r>
          </w:p>
        </w:tc>
        <w:tc>
          <w:tcPr>
            <w:tcW w:w="1891" w:type="dxa"/>
          </w:tcPr>
          <w:p w14:paraId="3C1CCFC1" w14:textId="77777777" w:rsidR="00C520A6"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Benahavís</w:t>
            </w:r>
          </w:p>
        </w:tc>
        <w:tc>
          <w:tcPr>
            <w:tcW w:w="1417" w:type="dxa"/>
          </w:tcPr>
          <w:p w14:paraId="385B0671" w14:textId="77777777" w:rsidR="00C520A6"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 xml:space="preserve"> 5.289 € </w:t>
            </w:r>
          </w:p>
        </w:tc>
        <w:tc>
          <w:tcPr>
            <w:tcW w:w="1418" w:type="dxa"/>
            <w:vAlign w:val="bottom"/>
          </w:tcPr>
          <w:p w14:paraId="1712E309" w14:textId="77777777" w:rsidR="00C520A6"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12,5%</w:t>
            </w:r>
          </w:p>
        </w:tc>
        <w:tc>
          <w:tcPr>
            <w:tcW w:w="1409" w:type="dxa"/>
            <w:vAlign w:val="bottom"/>
          </w:tcPr>
          <w:p w14:paraId="4A9C9CC5" w14:textId="77777777" w:rsidR="00C520A6"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may.-24</w:t>
            </w:r>
          </w:p>
        </w:tc>
        <w:tc>
          <w:tcPr>
            <w:tcW w:w="1425" w:type="dxa"/>
            <w:vAlign w:val="bottom"/>
          </w:tcPr>
          <w:p w14:paraId="75371CDC" w14:textId="77777777" w:rsidR="00C520A6"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5.368 €</w:t>
            </w:r>
          </w:p>
        </w:tc>
      </w:tr>
      <w:tr w:rsidR="00C520A6" w14:paraId="4E1297E1" w14:textId="77777777" w:rsidTr="00907B2A">
        <w:tc>
          <w:tcPr>
            <w:cnfStyle w:val="001000000000" w:firstRow="0" w:lastRow="0" w:firstColumn="1" w:lastColumn="0" w:oddVBand="0" w:evenVBand="0" w:oddHBand="0" w:evenHBand="0" w:firstRowFirstColumn="0" w:firstRowLastColumn="0" w:lastRowFirstColumn="0" w:lastRowLastColumn="0"/>
            <w:tcW w:w="1365" w:type="dxa"/>
          </w:tcPr>
          <w:p w14:paraId="6A26AA21" w14:textId="77777777" w:rsidR="00C520A6" w:rsidRDefault="00000000">
            <w:pPr>
              <w:spacing w:line="276" w:lineRule="auto"/>
              <w:jc w:val="both"/>
              <w:rPr>
                <w:rFonts w:ascii="Open Sans" w:eastAsia="Open Sans" w:hAnsi="Open Sans" w:cs="Open Sans"/>
              </w:rPr>
            </w:pPr>
            <w:r>
              <w:rPr>
                <w:rFonts w:ascii="Open Sans" w:eastAsia="Open Sans" w:hAnsi="Open Sans" w:cs="Open Sans"/>
                <w:b w:val="0"/>
              </w:rPr>
              <w:t>Málaga</w:t>
            </w:r>
          </w:p>
        </w:tc>
        <w:tc>
          <w:tcPr>
            <w:tcW w:w="1891" w:type="dxa"/>
          </w:tcPr>
          <w:p w14:paraId="685993BF" w14:textId="77777777" w:rsidR="00C520A6"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Marbella</w:t>
            </w:r>
          </w:p>
        </w:tc>
        <w:tc>
          <w:tcPr>
            <w:tcW w:w="1417" w:type="dxa"/>
          </w:tcPr>
          <w:p w14:paraId="4F85E578" w14:textId="77777777" w:rsidR="00C520A6"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 xml:space="preserve"> 5.100 € </w:t>
            </w:r>
          </w:p>
        </w:tc>
        <w:tc>
          <w:tcPr>
            <w:tcW w:w="1418" w:type="dxa"/>
            <w:vAlign w:val="bottom"/>
          </w:tcPr>
          <w:p w14:paraId="5EC119B0" w14:textId="77777777" w:rsidR="00C520A6"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16,1%</w:t>
            </w:r>
          </w:p>
        </w:tc>
        <w:tc>
          <w:tcPr>
            <w:tcW w:w="1409" w:type="dxa"/>
            <w:vAlign w:val="bottom"/>
          </w:tcPr>
          <w:p w14:paraId="310360C3" w14:textId="77777777" w:rsidR="00C520A6"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nov.-24</w:t>
            </w:r>
          </w:p>
        </w:tc>
        <w:tc>
          <w:tcPr>
            <w:tcW w:w="1425" w:type="dxa"/>
            <w:vAlign w:val="bottom"/>
          </w:tcPr>
          <w:p w14:paraId="69A3DAED" w14:textId="77777777" w:rsidR="00C520A6"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5.126 €</w:t>
            </w:r>
          </w:p>
        </w:tc>
      </w:tr>
      <w:tr w:rsidR="00C520A6" w14:paraId="785EA5F0" w14:textId="77777777" w:rsidTr="0090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3A596E27" w14:textId="77777777" w:rsidR="00C520A6" w:rsidRDefault="00000000">
            <w:pPr>
              <w:spacing w:line="276" w:lineRule="auto"/>
              <w:jc w:val="both"/>
              <w:rPr>
                <w:rFonts w:ascii="Open Sans" w:eastAsia="Open Sans" w:hAnsi="Open Sans" w:cs="Open Sans"/>
              </w:rPr>
            </w:pPr>
            <w:r>
              <w:rPr>
                <w:rFonts w:ascii="Open Sans" w:eastAsia="Open Sans" w:hAnsi="Open Sans" w:cs="Open Sans"/>
                <w:b w:val="0"/>
              </w:rPr>
              <w:t>Cádiz</w:t>
            </w:r>
          </w:p>
        </w:tc>
        <w:tc>
          <w:tcPr>
            <w:tcW w:w="1891" w:type="dxa"/>
          </w:tcPr>
          <w:p w14:paraId="13E398BA" w14:textId="77777777" w:rsidR="00C520A6"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Tarifa</w:t>
            </w:r>
          </w:p>
        </w:tc>
        <w:tc>
          <w:tcPr>
            <w:tcW w:w="1417" w:type="dxa"/>
          </w:tcPr>
          <w:p w14:paraId="1D66C0C9" w14:textId="77777777" w:rsidR="00C520A6"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 xml:space="preserve"> 4.379 € </w:t>
            </w:r>
          </w:p>
        </w:tc>
        <w:tc>
          <w:tcPr>
            <w:tcW w:w="1418" w:type="dxa"/>
            <w:vAlign w:val="bottom"/>
          </w:tcPr>
          <w:p w14:paraId="09FE8EC1" w14:textId="77777777" w:rsidR="00C520A6"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11,0%</w:t>
            </w:r>
          </w:p>
        </w:tc>
        <w:tc>
          <w:tcPr>
            <w:tcW w:w="1409" w:type="dxa"/>
            <w:vAlign w:val="bottom"/>
          </w:tcPr>
          <w:p w14:paraId="05B72A47" w14:textId="77777777" w:rsidR="00C520A6"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feb.-24</w:t>
            </w:r>
          </w:p>
        </w:tc>
        <w:tc>
          <w:tcPr>
            <w:tcW w:w="1425" w:type="dxa"/>
            <w:vAlign w:val="bottom"/>
          </w:tcPr>
          <w:p w14:paraId="5EDDA70E" w14:textId="77777777" w:rsidR="00C520A6"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4.518 €</w:t>
            </w:r>
          </w:p>
        </w:tc>
      </w:tr>
      <w:tr w:rsidR="00C520A6" w14:paraId="7FE2CE86" w14:textId="77777777" w:rsidTr="00907B2A">
        <w:tc>
          <w:tcPr>
            <w:cnfStyle w:val="001000000000" w:firstRow="0" w:lastRow="0" w:firstColumn="1" w:lastColumn="0" w:oddVBand="0" w:evenVBand="0" w:oddHBand="0" w:evenHBand="0" w:firstRowFirstColumn="0" w:firstRowLastColumn="0" w:lastRowFirstColumn="0" w:lastRowLastColumn="0"/>
            <w:tcW w:w="1365" w:type="dxa"/>
          </w:tcPr>
          <w:p w14:paraId="6210F0EE" w14:textId="77777777" w:rsidR="00C520A6" w:rsidRDefault="00000000">
            <w:pPr>
              <w:spacing w:line="276" w:lineRule="auto"/>
              <w:jc w:val="both"/>
              <w:rPr>
                <w:rFonts w:ascii="Open Sans" w:eastAsia="Open Sans" w:hAnsi="Open Sans" w:cs="Open Sans"/>
              </w:rPr>
            </w:pPr>
            <w:r>
              <w:rPr>
                <w:rFonts w:ascii="Open Sans" w:eastAsia="Open Sans" w:hAnsi="Open Sans" w:cs="Open Sans"/>
                <w:b w:val="0"/>
              </w:rPr>
              <w:t>Málaga</w:t>
            </w:r>
          </w:p>
        </w:tc>
        <w:tc>
          <w:tcPr>
            <w:tcW w:w="1891" w:type="dxa"/>
          </w:tcPr>
          <w:p w14:paraId="3EF7C755" w14:textId="77777777" w:rsidR="00C520A6"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Estepona</w:t>
            </w:r>
          </w:p>
        </w:tc>
        <w:tc>
          <w:tcPr>
            <w:tcW w:w="1417" w:type="dxa"/>
          </w:tcPr>
          <w:p w14:paraId="42A6DECC" w14:textId="77777777" w:rsidR="00C520A6"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 xml:space="preserve"> 4.334 € </w:t>
            </w:r>
          </w:p>
        </w:tc>
        <w:tc>
          <w:tcPr>
            <w:tcW w:w="1418" w:type="dxa"/>
            <w:vAlign w:val="bottom"/>
          </w:tcPr>
          <w:p w14:paraId="16BE0690" w14:textId="77777777" w:rsidR="00C520A6"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11,0%</w:t>
            </w:r>
          </w:p>
        </w:tc>
        <w:tc>
          <w:tcPr>
            <w:tcW w:w="1409" w:type="dxa"/>
            <w:vAlign w:val="bottom"/>
          </w:tcPr>
          <w:p w14:paraId="130E7C9C" w14:textId="77777777" w:rsidR="00C520A6"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nov.-24</w:t>
            </w:r>
          </w:p>
        </w:tc>
        <w:tc>
          <w:tcPr>
            <w:tcW w:w="1425" w:type="dxa"/>
            <w:vAlign w:val="bottom"/>
          </w:tcPr>
          <w:p w14:paraId="2DCF2C4A" w14:textId="77777777" w:rsidR="00C520A6"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4.350 €</w:t>
            </w:r>
          </w:p>
        </w:tc>
      </w:tr>
      <w:tr w:rsidR="00C520A6" w14:paraId="7AD3BA79" w14:textId="77777777" w:rsidTr="0090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3B19DAFF" w14:textId="77777777" w:rsidR="00C520A6" w:rsidRDefault="00000000">
            <w:pPr>
              <w:spacing w:line="276" w:lineRule="auto"/>
              <w:jc w:val="both"/>
              <w:rPr>
                <w:rFonts w:ascii="Open Sans" w:eastAsia="Open Sans" w:hAnsi="Open Sans" w:cs="Open Sans"/>
              </w:rPr>
            </w:pPr>
            <w:r>
              <w:rPr>
                <w:rFonts w:ascii="Open Sans" w:eastAsia="Open Sans" w:hAnsi="Open Sans" w:cs="Open Sans"/>
                <w:b w:val="0"/>
              </w:rPr>
              <w:t>Málaga</w:t>
            </w:r>
          </w:p>
        </w:tc>
        <w:tc>
          <w:tcPr>
            <w:tcW w:w="1891" w:type="dxa"/>
          </w:tcPr>
          <w:p w14:paraId="69F34D43" w14:textId="77777777" w:rsidR="00C520A6"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Fuengirola</w:t>
            </w:r>
          </w:p>
        </w:tc>
        <w:tc>
          <w:tcPr>
            <w:tcW w:w="1417" w:type="dxa"/>
          </w:tcPr>
          <w:p w14:paraId="35E8015F" w14:textId="77777777" w:rsidR="00C520A6"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 xml:space="preserve"> 4.204 € </w:t>
            </w:r>
          </w:p>
        </w:tc>
        <w:tc>
          <w:tcPr>
            <w:tcW w:w="1418" w:type="dxa"/>
            <w:vAlign w:val="bottom"/>
          </w:tcPr>
          <w:p w14:paraId="208960EC" w14:textId="77777777" w:rsidR="00C520A6"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14,2%</w:t>
            </w:r>
          </w:p>
        </w:tc>
        <w:tc>
          <w:tcPr>
            <w:tcW w:w="1409" w:type="dxa"/>
            <w:vAlign w:val="bottom"/>
          </w:tcPr>
          <w:p w14:paraId="5157F52E" w14:textId="77777777" w:rsidR="00C520A6"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nov.-24</w:t>
            </w:r>
          </w:p>
        </w:tc>
        <w:tc>
          <w:tcPr>
            <w:tcW w:w="1425" w:type="dxa"/>
            <w:vAlign w:val="bottom"/>
          </w:tcPr>
          <w:p w14:paraId="3665CF70" w14:textId="77777777" w:rsidR="00C520A6"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4.258 €</w:t>
            </w:r>
          </w:p>
        </w:tc>
      </w:tr>
      <w:tr w:rsidR="00C520A6" w14:paraId="1E00C439" w14:textId="77777777" w:rsidTr="00907B2A">
        <w:tc>
          <w:tcPr>
            <w:cnfStyle w:val="001000000000" w:firstRow="0" w:lastRow="0" w:firstColumn="1" w:lastColumn="0" w:oddVBand="0" w:evenVBand="0" w:oddHBand="0" w:evenHBand="0" w:firstRowFirstColumn="0" w:firstRowLastColumn="0" w:lastRowFirstColumn="0" w:lastRowLastColumn="0"/>
            <w:tcW w:w="1365" w:type="dxa"/>
          </w:tcPr>
          <w:p w14:paraId="27A5BC67" w14:textId="77777777" w:rsidR="00C520A6" w:rsidRDefault="00000000">
            <w:pPr>
              <w:spacing w:line="276" w:lineRule="auto"/>
              <w:jc w:val="both"/>
              <w:rPr>
                <w:rFonts w:ascii="Open Sans" w:eastAsia="Open Sans" w:hAnsi="Open Sans" w:cs="Open Sans"/>
              </w:rPr>
            </w:pPr>
            <w:r>
              <w:rPr>
                <w:rFonts w:ascii="Open Sans" w:eastAsia="Open Sans" w:hAnsi="Open Sans" w:cs="Open Sans"/>
                <w:b w:val="0"/>
              </w:rPr>
              <w:t>Málaga</w:t>
            </w:r>
          </w:p>
        </w:tc>
        <w:tc>
          <w:tcPr>
            <w:tcW w:w="1891" w:type="dxa"/>
          </w:tcPr>
          <w:p w14:paraId="1C398C6B" w14:textId="77777777" w:rsidR="00C520A6"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Rincón de la Victoria</w:t>
            </w:r>
          </w:p>
        </w:tc>
        <w:tc>
          <w:tcPr>
            <w:tcW w:w="1417" w:type="dxa"/>
          </w:tcPr>
          <w:p w14:paraId="66CCA5E8" w14:textId="77777777" w:rsidR="00C520A6"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 xml:space="preserve"> 4.181 € </w:t>
            </w:r>
          </w:p>
        </w:tc>
        <w:tc>
          <w:tcPr>
            <w:tcW w:w="1418" w:type="dxa"/>
            <w:vAlign w:val="bottom"/>
          </w:tcPr>
          <w:p w14:paraId="5405A898" w14:textId="77777777" w:rsidR="00C520A6"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44,3%</w:t>
            </w:r>
          </w:p>
        </w:tc>
        <w:tc>
          <w:tcPr>
            <w:tcW w:w="1409" w:type="dxa"/>
            <w:vAlign w:val="bottom"/>
          </w:tcPr>
          <w:p w14:paraId="7821BDF6" w14:textId="77777777" w:rsidR="00C520A6"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dic.-24</w:t>
            </w:r>
          </w:p>
        </w:tc>
        <w:tc>
          <w:tcPr>
            <w:tcW w:w="1425" w:type="dxa"/>
            <w:vAlign w:val="bottom"/>
          </w:tcPr>
          <w:p w14:paraId="4181720A" w14:textId="77777777" w:rsidR="00C520A6"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4.181 €</w:t>
            </w:r>
          </w:p>
        </w:tc>
      </w:tr>
      <w:tr w:rsidR="00C520A6" w14:paraId="0D4E58DD" w14:textId="77777777" w:rsidTr="0090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1E748957" w14:textId="77777777" w:rsidR="00C520A6" w:rsidRDefault="00000000">
            <w:pPr>
              <w:spacing w:line="276" w:lineRule="auto"/>
              <w:jc w:val="both"/>
              <w:rPr>
                <w:rFonts w:ascii="Open Sans" w:eastAsia="Open Sans" w:hAnsi="Open Sans" w:cs="Open Sans"/>
              </w:rPr>
            </w:pPr>
            <w:r>
              <w:rPr>
                <w:rFonts w:ascii="Open Sans" w:eastAsia="Open Sans" w:hAnsi="Open Sans" w:cs="Open Sans"/>
                <w:b w:val="0"/>
              </w:rPr>
              <w:t>Cádiz</w:t>
            </w:r>
          </w:p>
        </w:tc>
        <w:tc>
          <w:tcPr>
            <w:tcW w:w="1891" w:type="dxa"/>
          </w:tcPr>
          <w:p w14:paraId="77C57EC8" w14:textId="77777777" w:rsidR="00C520A6"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Zahara de los Atunes</w:t>
            </w:r>
          </w:p>
        </w:tc>
        <w:tc>
          <w:tcPr>
            <w:tcW w:w="1417" w:type="dxa"/>
          </w:tcPr>
          <w:p w14:paraId="6E9DB6FD" w14:textId="77777777" w:rsidR="00C520A6"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 xml:space="preserve"> 4.138 € </w:t>
            </w:r>
          </w:p>
        </w:tc>
        <w:tc>
          <w:tcPr>
            <w:tcW w:w="1418" w:type="dxa"/>
            <w:vAlign w:val="bottom"/>
          </w:tcPr>
          <w:p w14:paraId="3381FD53" w14:textId="77777777" w:rsidR="00C520A6" w:rsidRDefault="00C520A6">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p>
        </w:tc>
        <w:tc>
          <w:tcPr>
            <w:tcW w:w="1409" w:type="dxa"/>
            <w:vAlign w:val="bottom"/>
          </w:tcPr>
          <w:p w14:paraId="1CE024E8" w14:textId="77777777" w:rsidR="00C520A6"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dic.-24</w:t>
            </w:r>
          </w:p>
        </w:tc>
        <w:tc>
          <w:tcPr>
            <w:tcW w:w="1425" w:type="dxa"/>
            <w:vAlign w:val="bottom"/>
          </w:tcPr>
          <w:p w14:paraId="5DF4A442" w14:textId="77777777" w:rsidR="00C520A6"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4.138 €</w:t>
            </w:r>
          </w:p>
        </w:tc>
      </w:tr>
      <w:tr w:rsidR="00C520A6" w14:paraId="0DDDE167" w14:textId="77777777" w:rsidTr="00907B2A">
        <w:tc>
          <w:tcPr>
            <w:cnfStyle w:val="001000000000" w:firstRow="0" w:lastRow="0" w:firstColumn="1" w:lastColumn="0" w:oddVBand="0" w:evenVBand="0" w:oddHBand="0" w:evenHBand="0" w:firstRowFirstColumn="0" w:firstRowLastColumn="0" w:lastRowFirstColumn="0" w:lastRowLastColumn="0"/>
            <w:tcW w:w="1365" w:type="dxa"/>
          </w:tcPr>
          <w:p w14:paraId="11B3C472" w14:textId="77777777" w:rsidR="00C520A6" w:rsidRDefault="00000000">
            <w:pPr>
              <w:spacing w:line="276" w:lineRule="auto"/>
              <w:jc w:val="both"/>
              <w:rPr>
                <w:rFonts w:ascii="Open Sans" w:eastAsia="Open Sans" w:hAnsi="Open Sans" w:cs="Open Sans"/>
              </w:rPr>
            </w:pPr>
            <w:r>
              <w:rPr>
                <w:rFonts w:ascii="Open Sans" w:eastAsia="Open Sans" w:hAnsi="Open Sans" w:cs="Open Sans"/>
                <w:b w:val="0"/>
              </w:rPr>
              <w:t>Málaga</w:t>
            </w:r>
          </w:p>
        </w:tc>
        <w:tc>
          <w:tcPr>
            <w:tcW w:w="1891" w:type="dxa"/>
          </w:tcPr>
          <w:p w14:paraId="3883F8B2" w14:textId="77777777" w:rsidR="00C520A6"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Istán</w:t>
            </w:r>
          </w:p>
        </w:tc>
        <w:tc>
          <w:tcPr>
            <w:tcW w:w="1417" w:type="dxa"/>
          </w:tcPr>
          <w:p w14:paraId="39E88FBE" w14:textId="77777777" w:rsidR="00C520A6"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 xml:space="preserve"> 4.121 € </w:t>
            </w:r>
          </w:p>
        </w:tc>
        <w:tc>
          <w:tcPr>
            <w:tcW w:w="1418" w:type="dxa"/>
            <w:vAlign w:val="bottom"/>
          </w:tcPr>
          <w:p w14:paraId="29DF4604" w14:textId="77777777" w:rsidR="00C520A6" w:rsidRDefault="00C520A6">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p>
        </w:tc>
        <w:tc>
          <w:tcPr>
            <w:tcW w:w="1409" w:type="dxa"/>
            <w:vAlign w:val="bottom"/>
          </w:tcPr>
          <w:p w14:paraId="758DC0B2" w14:textId="77777777" w:rsidR="00C520A6"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jul.-24</w:t>
            </w:r>
          </w:p>
        </w:tc>
        <w:tc>
          <w:tcPr>
            <w:tcW w:w="1425" w:type="dxa"/>
            <w:vAlign w:val="bottom"/>
          </w:tcPr>
          <w:p w14:paraId="5A26642C" w14:textId="77777777" w:rsidR="00C520A6"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4.414 €</w:t>
            </w:r>
          </w:p>
        </w:tc>
      </w:tr>
      <w:tr w:rsidR="00C520A6" w14:paraId="0836186C" w14:textId="77777777" w:rsidTr="0090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141CD1BC" w14:textId="77777777" w:rsidR="00C520A6" w:rsidRDefault="00000000">
            <w:pPr>
              <w:spacing w:line="276" w:lineRule="auto"/>
              <w:jc w:val="both"/>
              <w:rPr>
                <w:rFonts w:ascii="Open Sans" w:eastAsia="Open Sans" w:hAnsi="Open Sans" w:cs="Open Sans"/>
              </w:rPr>
            </w:pPr>
            <w:r>
              <w:rPr>
                <w:rFonts w:ascii="Open Sans" w:eastAsia="Open Sans" w:hAnsi="Open Sans" w:cs="Open Sans"/>
                <w:b w:val="0"/>
              </w:rPr>
              <w:t>Málaga</w:t>
            </w:r>
          </w:p>
        </w:tc>
        <w:tc>
          <w:tcPr>
            <w:tcW w:w="1891" w:type="dxa"/>
          </w:tcPr>
          <w:p w14:paraId="30A6DE4F" w14:textId="77777777" w:rsidR="00C520A6"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Benalmádena</w:t>
            </w:r>
          </w:p>
        </w:tc>
        <w:tc>
          <w:tcPr>
            <w:tcW w:w="1417" w:type="dxa"/>
          </w:tcPr>
          <w:p w14:paraId="0CAB3B58" w14:textId="77777777" w:rsidR="00C520A6"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 xml:space="preserve"> 4.114 € </w:t>
            </w:r>
          </w:p>
        </w:tc>
        <w:tc>
          <w:tcPr>
            <w:tcW w:w="1418" w:type="dxa"/>
            <w:vAlign w:val="bottom"/>
          </w:tcPr>
          <w:p w14:paraId="20104CC1" w14:textId="77777777" w:rsidR="00C520A6"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20,9%</w:t>
            </w:r>
          </w:p>
        </w:tc>
        <w:tc>
          <w:tcPr>
            <w:tcW w:w="1409" w:type="dxa"/>
            <w:vAlign w:val="bottom"/>
          </w:tcPr>
          <w:p w14:paraId="2C5D3AEB" w14:textId="77777777" w:rsidR="00C520A6"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oct.-24</w:t>
            </w:r>
          </w:p>
        </w:tc>
        <w:tc>
          <w:tcPr>
            <w:tcW w:w="1425" w:type="dxa"/>
            <w:vAlign w:val="bottom"/>
          </w:tcPr>
          <w:p w14:paraId="0FAA02B2" w14:textId="77777777" w:rsidR="00C520A6"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4.123 €</w:t>
            </w:r>
          </w:p>
        </w:tc>
      </w:tr>
      <w:tr w:rsidR="00C520A6" w14:paraId="5008E520" w14:textId="77777777" w:rsidTr="00907B2A">
        <w:tc>
          <w:tcPr>
            <w:cnfStyle w:val="001000000000" w:firstRow="0" w:lastRow="0" w:firstColumn="1" w:lastColumn="0" w:oddVBand="0" w:evenVBand="0" w:oddHBand="0" w:evenHBand="0" w:firstRowFirstColumn="0" w:firstRowLastColumn="0" w:lastRowFirstColumn="0" w:lastRowLastColumn="0"/>
            <w:tcW w:w="1365" w:type="dxa"/>
          </w:tcPr>
          <w:p w14:paraId="1E538BBA" w14:textId="77777777" w:rsidR="00C520A6" w:rsidRDefault="00000000">
            <w:pPr>
              <w:spacing w:line="276" w:lineRule="auto"/>
              <w:jc w:val="both"/>
              <w:rPr>
                <w:rFonts w:ascii="Open Sans" w:eastAsia="Open Sans" w:hAnsi="Open Sans" w:cs="Open Sans"/>
              </w:rPr>
            </w:pPr>
            <w:r>
              <w:rPr>
                <w:rFonts w:ascii="Open Sans" w:eastAsia="Open Sans" w:hAnsi="Open Sans" w:cs="Open Sans"/>
                <w:b w:val="0"/>
              </w:rPr>
              <w:t>Málaga</w:t>
            </w:r>
          </w:p>
        </w:tc>
        <w:tc>
          <w:tcPr>
            <w:tcW w:w="1891" w:type="dxa"/>
          </w:tcPr>
          <w:p w14:paraId="062423A8" w14:textId="77777777" w:rsidR="00C520A6"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Ojén</w:t>
            </w:r>
          </w:p>
        </w:tc>
        <w:tc>
          <w:tcPr>
            <w:tcW w:w="1417" w:type="dxa"/>
          </w:tcPr>
          <w:p w14:paraId="3378A9A4" w14:textId="77777777" w:rsidR="00C520A6"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 xml:space="preserve"> 4.102 € </w:t>
            </w:r>
          </w:p>
        </w:tc>
        <w:tc>
          <w:tcPr>
            <w:tcW w:w="1418" w:type="dxa"/>
            <w:vAlign w:val="bottom"/>
          </w:tcPr>
          <w:p w14:paraId="3710C89A" w14:textId="77777777" w:rsidR="00C520A6"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3,6%</w:t>
            </w:r>
          </w:p>
        </w:tc>
        <w:tc>
          <w:tcPr>
            <w:tcW w:w="1409" w:type="dxa"/>
            <w:vAlign w:val="bottom"/>
          </w:tcPr>
          <w:p w14:paraId="19EC957D" w14:textId="77777777" w:rsidR="00C520A6"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oct.-23</w:t>
            </w:r>
          </w:p>
        </w:tc>
        <w:tc>
          <w:tcPr>
            <w:tcW w:w="1425" w:type="dxa"/>
            <w:vAlign w:val="bottom"/>
          </w:tcPr>
          <w:p w14:paraId="242F9236" w14:textId="77777777" w:rsidR="00C520A6"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5.220 €</w:t>
            </w:r>
          </w:p>
        </w:tc>
      </w:tr>
    </w:tbl>
    <w:p w14:paraId="004AEFB8" w14:textId="77777777" w:rsidR="00C520A6" w:rsidRDefault="00C520A6">
      <w:pPr>
        <w:spacing w:line="276" w:lineRule="auto"/>
        <w:jc w:val="both"/>
        <w:rPr>
          <w:rFonts w:ascii="Open Sans" w:eastAsia="Open Sans" w:hAnsi="Open Sans" w:cs="Open Sans"/>
          <w:color w:val="000000"/>
        </w:rPr>
      </w:pPr>
    </w:p>
    <w:p w14:paraId="55DB1952" w14:textId="77777777" w:rsidR="00C520A6" w:rsidRDefault="00C520A6">
      <w:pPr>
        <w:spacing w:line="276" w:lineRule="auto"/>
        <w:jc w:val="both"/>
        <w:rPr>
          <w:rFonts w:ascii="Open Sans" w:eastAsia="Open Sans" w:hAnsi="Open Sans" w:cs="Open Sans"/>
          <w:color w:val="000000"/>
        </w:rPr>
      </w:pPr>
    </w:p>
    <w:p w14:paraId="51673076" w14:textId="77777777" w:rsidR="00C520A6" w:rsidRDefault="00C520A6">
      <w:pPr>
        <w:spacing w:line="276" w:lineRule="auto"/>
        <w:jc w:val="both"/>
        <w:rPr>
          <w:rFonts w:ascii="Open Sans" w:eastAsia="Open Sans" w:hAnsi="Open Sans" w:cs="Open Sans"/>
          <w:color w:val="000000"/>
        </w:rPr>
      </w:pPr>
    </w:p>
    <w:p w14:paraId="7EBB06A4" w14:textId="77777777" w:rsidR="00C520A6" w:rsidRDefault="00000000">
      <w:pPr>
        <w:spacing w:line="276" w:lineRule="auto"/>
        <w:ind w:right="-142"/>
        <w:jc w:val="right"/>
        <w:rPr>
          <w:rFonts w:ascii="Open Sans Light" w:eastAsia="Open Sans Light" w:hAnsi="Open Sans Light" w:cs="Open Sans Light"/>
          <w:b/>
          <w:color w:val="303AB2"/>
        </w:rPr>
      </w:pPr>
      <w:bookmarkStart w:id="0" w:name="_heading=h.1fob9te" w:colFirst="0" w:colLast="0"/>
      <w:bookmarkEnd w:id="0"/>
      <w:r>
        <w:rPr>
          <w:rFonts w:ascii="Open Sans Light" w:eastAsia="Open Sans Light" w:hAnsi="Open Sans Light" w:cs="Open Sans Light"/>
          <w:b/>
          <w:color w:val="303AB2"/>
        </w:rPr>
        <w:t>Sobre Fotocasa</w:t>
      </w:r>
    </w:p>
    <w:p w14:paraId="67FAB15E" w14:textId="77777777" w:rsidR="00C520A6" w:rsidRDefault="00000000">
      <w:pPr>
        <w:shd w:val="clear" w:color="auto" w:fill="FFFFFF"/>
        <w:spacing w:before="280" w:after="280" w:line="276" w:lineRule="auto"/>
        <w:ind w:right="-142"/>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177363A7" w14:textId="77777777" w:rsidR="00C520A6" w:rsidRDefault="00000000">
      <w:pPr>
        <w:shd w:val="clear" w:color="auto" w:fill="FFFFFF"/>
        <w:spacing w:before="280" w:after="280" w:line="276" w:lineRule="auto"/>
        <w:ind w:right="-142"/>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3">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40C2C4DA" w14:textId="77777777" w:rsidR="00C520A6" w:rsidRDefault="00000000">
      <w:pPr>
        <w:shd w:val="clear" w:color="auto" w:fill="FFFFFF"/>
        <w:spacing w:before="280" w:after="280" w:line="276" w:lineRule="auto"/>
        <w:ind w:right="-142"/>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0B06A81B" w14:textId="77777777" w:rsidR="00C520A6" w:rsidRDefault="00C520A6">
      <w:pPr>
        <w:spacing w:line="276" w:lineRule="auto"/>
        <w:ind w:right="-142"/>
        <w:jc w:val="right"/>
        <w:rPr>
          <w:rFonts w:ascii="Open Sans Light" w:eastAsia="Open Sans Light" w:hAnsi="Open Sans Light" w:cs="Open Sans Light"/>
          <w:b/>
          <w:color w:val="303AB2"/>
        </w:rPr>
      </w:pPr>
    </w:p>
    <w:p w14:paraId="196BBD2C" w14:textId="77777777" w:rsidR="00C520A6" w:rsidRDefault="00000000">
      <w:pPr>
        <w:spacing w:line="276" w:lineRule="auto"/>
        <w:ind w:right="-142"/>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5544FEA6" w14:textId="77777777" w:rsidR="00C520A6" w:rsidRDefault="00000000">
      <w:pPr>
        <w:spacing w:before="143" w:after="200"/>
        <w:ind w:right="-142"/>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4">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5">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xml:space="preserve">), </w:t>
      </w:r>
      <w:r>
        <w:rPr>
          <w:rFonts w:ascii="Open Sans" w:eastAsia="Open Sans" w:hAnsi="Open Sans" w:cs="Open Sans"/>
          <w:sz w:val="22"/>
          <w:szCs w:val="22"/>
        </w:rPr>
        <w:lastRenderedPageBreak/>
        <w:t>empleo (</w:t>
      </w:r>
      <w:hyperlink r:id="rId16">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7">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52EA12F3" w14:textId="77777777" w:rsidR="00C520A6" w:rsidRDefault="00000000">
      <w:pPr>
        <w:spacing w:before="143" w:after="200"/>
        <w:ind w:right="-142"/>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8E5DCA6" w14:textId="77777777" w:rsidR="00C520A6" w:rsidRDefault="00000000">
      <w:pPr>
        <w:spacing w:before="143" w:after="200"/>
        <w:ind w:right="-142"/>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254ECD7C" w14:textId="77777777" w:rsidR="00C520A6" w:rsidRDefault="00000000">
      <w:pPr>
        <w:spacing w:before="143" w:after="200"/>
        <w:ind w:right="-142"/>
        <w:jc w:val="both"/>
        <w:rPr>
          <w:rFonts w:ascii="Open Sans" w:eastAsia="Open Sans" w:hAnsi="Open Sans" w:cs="Open Sans"/>
        </w:rPr>
      </w:pPr>
      <w:r>
        <w:rPr>
          <w:rFonts w:ascii="Open Sans" w:eastAsia="Open Sans" w:hAnsi="Open Sans" w:cs="Open Sans"/>
          <w:sz w:val="22"/>
          <w:szCs w:val="22"/>
        </w:rPr>
        <w:t xml:space="preserve">Más información en </w:t>
      </w:r>
      <w:hyperlink r:id="rId19">
        <w:r>
          <w:rPr>
            <w:rFonts w:ascii="Open Sans" w:eastAsia="Open Sans" w:hAnsi="Open Sans" w:cs="Open Sans"/>
            <w:color w:val="1155CC"/>
            <w:sz w:val="22"/>
            <w:szCs w:val="22"/>
            <w:u w:val="single"/>
          </w:rPr>
          <w:t>adevinta.es</w:t>
        </w:r>
      </w:hyperlink>
    </w:p>
    <w:p w14:paraId="5B2DC737" w14:textId="77777777" w:rsidR="00C520A6" w:rsidRDefault="00C520A6">
      <w:pPr>
        <w:spacing w:line="276" w:lineRule="auto"/>
        <w:ind w:right="-142"/>
        <w:jc w:val="right"/>
        <w:rPr>
          <w:rFonts w:ascii="Open Sans" w:eastAsia="Open Sans" w:hAnsi="Open Sans" w:cs="Open Sans"/>
        </w:rPr>
      </w:pPr>
    </w:p>
    <w:p w14:paraId="06407987" w14:textId="77777777" w:rsidR="00C520A6" w:rsidRDefault="00C520A6">
      <w:pPr>
        <w:spacing w:line="276" w:lineRule="auto"/>
        <w:ind w:right="-142"/>
        <w:jc w:val="right"/>
        <w:rPr>
          <w:rFonts w:ascii="Open Sans" w:eastAsia="Open Sans" w:hAnsi="Open Sans" w:cs="Open Sans"/>
        </w:rPr>
      </w:pPr>
    </w:p>
    <w:p w14:paraId="7282DCC6" w14:textId="77777777" w:rsidR="00C520A6" w:rsidRDefault="00000000">
      <w:pPr>
        <w:spacing w:line="276" w:lineRule="auto"/>
        <w:ind w:right="-142"/>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215C82A1" w14:textId="77777777" w:rsidR="00C520A6" w:rsidRDefault="00000000">
      <w:pPr>
        <w:shd w:val="clear" w:color="auto" w:fill="FFFFFF"/>
        <w:spacing w:line="276" w:lineRule="auto"/>
        <w:ind w:right="-142"/>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50C2723" w14:textId="77777777" w:rsidR="00C520A6" w:rsidRDefault="00000000">
      <w:pPr>
        <w:shd w:val="clear" w:color="auto" w:fill="FFFFFF"/>
        <w:spacing w:line="276" w:lineRule="auto"/>
        <w:ind w:right="-142"/>
        <w:rPr>
          <w:rFonts w:ascii="Open Sans" w:eastAsia="Open Sans" w:hAnsi="Open Sans" w:cs="Open Sans"/>
          <w:color w:val="0000FF"/>
          <w:sz w:val="22"/>
          <w:szCs w:val="22"/>
          <w:u w:val="single"/>
        </w:rPr>
      </w:pPr>
      <w:hyperlink r:id="rId20">
        <w:r>
          <w:rPr>
            <w:rFonts w:ascii="Open Sans" w:eastAsia="Open Sans" w:hAnsi="Open Sans" w:cs="Open Sans"/>
            <w:color w:val="0000FF"/>
            <w:sz w:val="22"/>
            <w:szCs w:val="22"/>
            <w:u w:val="single"/>
          </w:rPr>
          <w:t>comunicacion@fotocasa.es</w:t>
        </w:r>
      </w:hyperlink>
    </w:p>
    <w:p w14:paraId="6E4662F2" w14:textId="77777777" w:rsidR="00C520A6" w:rsidRDefault="00000000">
      <w:pPr>
        <w:shd w:val="clear" w:color="auto" w:fill="FFFFFF"/>
        <w:spacing w:line="276" w:lineRule="auto"/>
        <w:ind w:right="-142"/>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D4EDA39" w14:textId="77777777" w:rsidR="00C520A6" w:rsidRDefault="00C520A6">
      <w:pPr>
        <w:spacing w:line="276" w:lineRule="auto"/>
        <w:ind w:right="-142"/>
        <w:rPr>
          <w:rFonts w:ascii="Open Sans Light" w:eastAsia="Open Sans Light" w:hAnsi="Open Sans Light" w:cs="Open Sans Light"/>
          <w:b/>
          <w:color w:val="303AB2"/>
          <w:sz w:val="22"/>
          <w:szCs w:val="22"/>
        </w:rPr>
      </w:pPr>
    </w:p>
    <w:p w14:paraId="75167D5E" w14:textId="77777777" w:rsidR="00C520A6" w:rsidRDefault="00C520A6">
      <w:pPr>
        <w:spacing w:line="276" w:lineRule="auto"/>
        <w:ind w:right="-142"/>
        <w:rPr>
          <w:rFonts w:ascii="Open Sans Light" w:eastAsia="Open Sans Light" w:hAnsi="Open Sans Light" w:cs="Open Sans Light"/>
          <w:b/>
          <w:color w:val="303AB2"/>
          <w:sz w:val="22"/>
          <w:szCs w:val="22"/>
        </w:rPr>
      </w:pPr>
    </w:p>
    <w:p w14:paraId="7AD475FB" w14:textId="77777777" w:rsidR="00C520A6" w:rsidRDefault="00C520A6">
      <w:pPr>
        <w:shd w:val="clear" w:color="auto" w:fill="FFFFFF"/>
        <w:ind w:right="-142"/>
        <w:rPr>
          <w:rFonts w:ascii="Open Sans" w:eastAsia="Open Sans" w:hAnsi="Open Sans" w:cs="Open Sans"/>
          <w:color w:val="000000"/>
          <w:sz w:val="22"/>
          <w:szCs w:val="22"/>
        </w:rPr>
      </w:pPr>
    </w:p>
    <w:p w14:paraId="43BF21AF" w14:textId="77777777" w:rsidR="00C520A6" w:rsidRDefault="00C520A6">
      <w:pPr>
        <w:spacing w:line="276" w:lineRule="auto"/>
        <w:ind w:right="-142"/>
        <w:jc w:val="right"/>
      </w:pPr>
    </w:p>
    <w:sectPr w:rsidR="00C520A6">
      <w:footerReference w:type="default" r:id="rId21"/>
      <w:pgSz w:w="11900" w:h="16840"/>
      <w:pgMar w:top="1417" w:right="1410"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CB402" w14:textId="77777777" w:rsidR="003E716F" w:rsidRDefault="003E716F">
      <w:r>
        <w:separator/>
      </w:r>
    </w:p>
  </w:endnote>
  <w:endnote w:type="continuationSeparator" w:id="0">
    <w:p w14:paraId="35293F5D" w14:textId="77777777" w:rsidR="003E716F" w:rsidRDefault="003E7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9D7DDC1-E81B-4B5C-BA9E-43B3D28891B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8D1658D-6417-47AD-A866-DDE1C8297D9C}"/>
    <w:embedBold r:id="rId3" w:fontKey="{4F0D00B1-7CCC-40E3-AC23-40E22F56644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81873329-5CD3-4206-9037-562737DB2A73}"/>
  </w:font>
  <w:font w:name="Georgia">
    <w:panose1 w:val="02040502050405020303"/>
    <w:charset w:val="00"/>
    <w:family w:val="roman"/>
    <w:pitch w:val="variable"/>
    <w:sig w:usb0="00000287" w:usb1="00000000" w:usb2="00000000" w:usb3="00000000" w:csb0="0000009F" w:csb1="00000000"/>
    <w:embedRegular r:id="rId5" w:fontKey="{22583870-11BA-4FF8-BD74-49167EC2C1E3}"/>
    <w:embedItalic r:id="rId6" w:fontKey="{5CD1E4D1-922C-4904-B81F-310665D80627}"/>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713334E6-2C6E-4F42-A686-0DD7A6E10191}"/>
    <w:embedBold r:id="rId8" w:fontKey="{E789B7A1-4EDE-4290-8B08-6D52AE75D618}"/>
    <w:embedItalic r:id="rId9" w:fontKey="{5A827914-A381-450C-A736-E91B9C0C85B6}"/>
    <w:embedBoldItalic r:id="rId10" w:fontKey="{42BCF957-EF11-4D41-A24F-FB2A0BE59163}"/>
  </w:font>
  <w:font w:name="Open Sans Light">
    <w:charset w:val="00"/>
    <w:family w:val="swiss"/>
    <w:pitch w:val="variable"/>
    <w:sig w:usb0="E00002EF" w:usb1="4000205B" w:usb2="00000028" w:usb3="00000000" w:csb0="0000019F" w:csb1="00000000"/>
    <w:embedRegular r:id="rId11" w:fontKey="{76AA9B26-21D6-47E3-9266-2EE73084DBAE}"/>
    <w:embedBold r:id="rId12" w:fontKey="{CE152F71-9517-4A07-9D52-46C3492DF3EA}"/>
  </w:font>
  <w:font w:name="Calibri Light">
    <w:panose1 w:val="020F0302020204030204"/>
    <w:charset w:val="00"/>
    <w:family w:val="swiss"/>
    <w:pitch w:val="variable"/>
    <w:sig w:usb0="E4002EFF" w:usb1="C000247B" w:usb2="00000009" w:usb3="00000000" w:csb0="000001FF" w:csb1="00000000"/>
    <w:embedRegular r:id="rId13" w:fontKey="{26EF6C3F-483D-43D2-B1B8-F17EF5A7F8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EDD23" w14:textId="77777777" w:rsidR="00C520A6" w:rsidRDefault="00C520A6">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A306C" w14:textId="77777777" w:rsidR="003E716F" w:rsidRDefault="003E716F">
      <w:r>
        <w:separator/>
      </w:r>
    </w:p>
  </w:footnote>
  <w:footnote w:type="continuationSeparator" w:id="0">
    <w:p w14:paraId="68F60F9C" w14:textId="77777777" w:rsidR="003E716F" w:rsidRDefault="003E71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D8092E"/>
    <w:multiLevelType w:val="multilevel"/>
    <w:tmpl w:val="BA969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18398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0A6"/>
    <w:rsid w:val="003E716F"/>
    <w:rsid w:val="00907B2A"/>
    <w:rsid w:val="00B33234"/>
    <w:rsid w:val="00C520A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6D90E"/>
  <w15:docId w15:val="{5DB2F12C-E88F-4C31-80A4-71567425A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D7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Sinespaciado">
    <w:name w:val="No Spacing"/>
    <w:uiPriority w:val="1"/>
    <w:qFormat/>
    <w:rsid w:val="00596244"/>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styleId="Mencinsinresolver">
    <w:name w:val="Unresolved Mention"/>
    <w:basedOn w:val="Fuentedeprrafopredeter"/>
    <w:uiPriority w:val="99"/>
    <w:semiHidden/>
    <w:unhideWhenUsed/>
    <w:rsid w:val="00FE44F2"/>
    <w:rPr>
      <w:color w:val="605E5C"/>
      <w:shd w:val="clear" w:color="auto" w:fill="E1DFDD"/>
    </w:rPr>
  </w:style>
  <w:style w:type="table" w:styleId="Tablaconcuadrcula">
    <w:name w:val="Table Grid"/>
    <w:basedOn w:val="Tablanormal"/>
    <w:uiPriority w:val="39"/>
    <w:rsid w:val="009D6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6">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7">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motos.coches.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coches.net/" TargetMode="External"/><Relationship Id="rId2" Type="http://schemas.openxmlformats.org/officeDocument/2006/relationships/numbering" Target="numbering.xml"/><Relationship Id="rId16" Type="http://schemas.openxmlformats.org/officeDocument/2006/relationships/hyperlink" Target="https://www.infojobs.net/" TargetMode="External"/><Relationship Id="rId20"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theme" Target="theme/theme1.xml"/><Relationship Id="rId10" Type="http://schemas.openxmlformats.org/officeDocument/2006/relationships/hyperlink" Target="https://www.fotocasa.es" TargetMode="External"/><Relationship Id="rId19" Type="http://schemas.openxmlformats.org/officeDocument/2006/relationships/hyperlink" Target="http://adevinta.es" TargetMode="External"/><Relationship Id="rId4" Type="http://schemas.openxmlformats.org/officeDocument/2006/relationships/settings" Target="settings.xml"/><Relationship Id="rId9" Type="http://schemas.openxmlformats.org/officeDocument/2006/relationships/hyperlink" Target="https://s36360.pcdn.co/wp-content/uploads/2025/01/La-vivienda-en-venta-en-2024.pdf" TargetMode="External"/><Relationship Id="rId14" Type="http://schemas.openxmlformats.org/officeDocument/2006/relationships/hyperlink" Target="https://www.fotocasa.es/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G5G1idz/pjIxkP3vZAcgDFAGqQ==">CgMxLjAyCWguMWZvYjl0ZTIJaC4yczhleW8xOAByITEzbVJLbzQ5UFJOVXpabGZvMWFTSTdMSkw0ZkhSOHh3SQ==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1040</Words>
  <Characters>5725</Characters>
  <Application>Microsoft Office Word</Application>
  <DocSecurity>0</DocSecurity>
  <Lines>47</Lines>
  <Paragraphs>13</Paragraphs>
  <ScaleCrop>false</ScaleCrop>
  <Company/>
  <LinksUpToDate>false</LinksUpToDate>
  <CharactersWithSpaces>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2</cp:revision>
  <dcterms:created xsi:type="dcterms:W3CDTF">2020-01-08T11:42:00Z</dcterms:created>
  <dcterms:modified xsi:type="dcterms:W3CDTF">2025-01-13T16:59:00Z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2024-12-20T18:02:48Z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60f63d4c-f39e-4b29-bc17-8d93ad9d41c2</vt:lpwstr>
  </property>
  <property fmtid="{D5CDD505-2E9C-101B-9397-08002B2CF9AE}" pid="8" name="MSIP_Label_defa4170-0d19-0005-0004-bc88714345d2_ContentBits">
    <vt:lpwstr>0</vt:lpwstr>
  </property>
</Properties>
</file>