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8808E" w14:textId="77777777" w:rsidR="00A97C1F" w:rsidRDefault="00000000">
      <w:pPr>
        <w:spacing w:line="276" w:lineRule="auto"/>
        <w:ind w:right="283"/>
      </w:pPr>
      <w:r>
        <w:rPr>
          <w:noProof/>
        </w:rPr>
        <w:drawing>
          <wp:anchor distT="0" distB="0" distL="114300" distR="114300" simplePos="0" relativeHeight="251658240" behindDoc="0" locked="0" layoutInCell="1" hidden="0" allowOverlap="1" wp14:anchorId="3E17452E" wp14:editId="1DC5D552">
            <wp:simplePos x="0" y="0"/>
            <wp:positionH relativeFrom="column">
              <wp:posOffset>-1080132</wp:posOffset>
            </wp:positionH>
            <wp:positionV relativeFrom="paragraph">
              <wp:posOffset>-447672</wp:posOffset>
            </wp:positionV>
            <wp:extent cx="7581265" cy="1019175"/>
            <wp:effectExtent l="0" t="0" r="0" b="0"/>
            <wp:wrapNone/>
            <wp:docPr id="19912860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A489A4E" w14:textId="77777777" w:rsidR="00A97C1F" w:rsidRDefault="00A97C1F">
      <w:pPr>
        <w:spacing w:line="276" w:lineRule="auto"/>
        <w:ind w:right="283"/>
        <w:jc w:val="right"/>
        <w:rPr>
          <w:rFonts w:ascii="National" w:eastAsia="National" w:hAnsi="National" w:cs="National"/>
          <w:color w:val="303AB2"/>
          <w:sz w:val="36"/>
          <w:szCs w:val="36"/>
        </w:rPr>
      </w:pPr>
    </w:p>
    <w:p w14:paraId="2E54908F" w14:textId="77777777" w:rsidR="00A97C1F" w:rsidRDefault="00A97C1F">
      <w:pPr>
        <w:spacing w:line="276" w:lineRule="auto"/>
        <w:ind w:right="283"/>
        <w:jc w:val="right"/>
        <w:rPr>
          <w:rFonts w:ascii="National" w:eastAsia="National" w:hAnsi="National" w:cs="National"/>
          <w:color w:val="303AB2"/>
          <w:sz w:val="36"/>
          <w:szCs w:val="36"/>
        </w:rPr>
      </w:pPr>
    </w:p>
    <w:p w14:paraId="7D3A78D7" w14:textId="77777777" w:rsidR="00A97C1F" w:rsidRDefault="00000000">
      <w:pPr>
        <w:spacing w:line="276" w:lineRule="auto"/>
        <w:ind w:right="283"/>
        <w:jc w:val="center"/>
        <w:rPr>
          <w:rFonts w:ascii="National" w:eastAsia="National" w:hAnsi="National" w:cs="National"/>
          <w:b/>
          <w:color w:val="1DBDC5"/>
          <w:sz w:val="40"/>
          <w:szCs w:val="40"/>
        </w:rPr>
      </w:pPr>
      <w:r>
        <w:rPr>
          <w:rFonts w:ascii="National" w:eastAsia="National" w:hAnsi="National" w:cs="National"/>
          <w:b/>
          <w:color w:val="1DBDC5"/>
          <w:sz w:val="40"/>
          <w:szCs w:val="40"/>
        </w:rPr>
        <w:t>INFORME LA VIVIENDA EN VENTA EN 2024</w:t>
      </w:r>
    </w:p>
    <w:p w14:paraId="473AC777" w14:textId="77777777" w:rsidR="00A97C1F" w:rsidRDefault="00000000">
      <w:pPr>
        <w:spacing w:line="276" w:lineRule="auto"/>
        <w:ind w:right="283"/>
        <w:jc w:val="center"/>
        <w:rPr>
          <w:rFonts w:ascii="National" w:eastAsia="National" w:hAnsi="National" w:cs="National"/>
          <w:b/>
          <w:color w:val="303AB2"/>
          <w:sz w:val="48"/>
          <w:szCs w:val="48"/>
        </w:rPr>
      </w:pPr>
      <w:r>
        <w:rPr>
          <w:rFonts w:ascii="National" w:eastAsia="National" w:hAnsi="National" w:cs="National"/>
          <w:b/>
          <w:color w:val="303AB2"/>
          <w:sz w:val="48"/>
          <w:szCs w:val="48"/>
        </w:rPr>
        <w:t>Cinco ciudades españolas superan los 6.000 euros/m² en España</w:t>
      </w:r>
    </w:p>
    <w:p w14:paraId="350307B5" w14:textId="77777777" w:rsidR="00A97C1F" w:rsidRDefault="00A97C1F">
      <w:pPr>
        <w:spacing w:line="276" w:lineRule="auto"/>
        <w:ind w:right="283"/>
        <w:rPr>
          <w:rFonts w:ascii="National" w:eastAsia="National" w:hAnsi="National" w:cs="National"/>
          <w:b/>
          <w:color w:val="303AB2"/>
          <w:sz w:val="16"/>
          <w:szCs w:val="16"/>
        </w:rPr>
      </w:pPr>
    </w:p>
    <w:p w14:paraId="504B7EAC" w14:textId="77777777" w:rsidR="00A97C1F"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 xml:space="preserve">Santa </w:t>
      </w:r>
      <w:proofErr w:type="spellStart"/>
      <w:r>
        <w:rPr>
          <w:rFonts w:ascii="Open Sans" w:eastAsia="Open Sans" w:hAnsi="Open Sans" w:cs="Open Sans"/>
          <w:color w:val="303AB2"/>
        </w:rPr>
        <w:t>Eulàlia</w:t>
      </w:r>
      <w:proofErr w:type="spellEnd"/>
      <w:r>
        <w:rPr>
          <w:rFonts w:ascii="Open Sans" w:eastAsia="Open Sans" w:hAnsi="Open Sans" w:cs="Open Sans"/>
          <w:color w:val="303AB2"/>
        </w:rPr>
        <w:t xml:space="preserve"> des </w:t>
      </w:r>
      <w:proofErr w:type="spellStart"/>
      <w:r>
        <w:rPr>
          <w:rFonts w:ascii="Open Sans" w:eastAsia="Open Sans" w:hAnsi="Open Sans" w:cs="Open Sans"/>
          <w:color w:val="303AB2"/>
        </w:rPr>
        <w:t>Riu</w:t>
      </w:r>
      <w:proofErr w:type="spellEnd"/>
      <w:r>
        <w:rPr>
          <w:rFonts w:ascii="Open Sans" w:eastAsia="Open Sans" w:hAnsi="Open Sans" w:cs="Open Sans"/>
          <w:color w:val="303AB2"/>
        </w:rPr>
        <w:t xml:space="preserve"> es el municipio más caro para comprar una vivienda en España y es el único con supera los 8.000 €/m</w:t>
      </w:r>
      <w:r>
        <w:rPr>
          <w:rFonts w:ascii="Open Sans" w:eastAsia="Open Sans" w:hAnsi="Open Sans" w:cs="Open Sans"/>
          <w:color w:val="303AB2"/>
          <w:vertAlign w:val="superscript"/>
        </w:rPr>
        <w:t>2</w:t>
      </w:r>
    </w:p>
    <w:p w14:paraId="7B47771B" w14:textId="77777777" w:rsidR="00A97C1F"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La comunidad de Baleares cuenta con tres municipios con el precio de la vivienda más caro del país y en el caso del País Vasco son dos los municipios</w:t>
      </w:r>
    </w:p>
    <w:p w14:paraId="7FB132DA" w14:textId="77777777" w:rsidR="00A97C1F"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6 de los 10 municipios con el precio más alto del país se encuentran en Baleares, dos en País Vasco, uno en Cataluña y otro en Madrid</w:t>
      </w:r>
    </w:p>
    <w:p w14:paraId="23B80076" w14:textId="77777777" w:rsidR="00A97C1F" w:rsidRDefault="00000000">
      <w:pPr>
        <w:pBdr>
          <w:top w:val="nil"/>
          <w:left w:val="nil"/>
          <w:bottom w:val="nil"/>
          <w:right w:val="nil"/>
          <w:between w:val="nil"/>
        </w:pBdr>
        <w:spacing w:line="276" w:lineRule="auto"/>
        <w:ind w:right="283" w:hanging="11"/>
        <w:jc w:val="both"/>
        <w:rPr>
          <w:rFonts w:ascii="Open Sans Light" w:eastAsia="Open Sans Light" w:hAnsi="Open Sans Light" w:cs="Open Sans Light"/>
          <w:color w:val="303AB2"/>
        </w:rPr>
      </w:pPr>
      <w:r>
        <w:rPr>
          <w:rFonts w:ascii="Open Sans Light" w:eastAsia="Open Sans Light" w:hAnsi="Open Sans Light" w:cs="Open Sans Light"/>
          <w:b/>
          <w:color w:val="303AB2"/>
        </w:rPr>
        <w:br/>
      </w:r>
      <w:r>
        <w:rPr>
          <w:rFonts w:ascii="Open Sans" w:eastAsia="Open Sans" w:hAnsi="Open Sans" w:cs="Open Sans"/>
          <w:color w:val="303AB2"/>
        </w:rPr>
        <w:t>Madrid, 17 de enero de 2025</w:t>
      </w:r>
    </w:p>
    <w:p w14:paraId="64F663C4" w14:textId="77777777" w:rsidR="00A97C1F" w:rsidRDefault="00A97C1F">
      <w:pPr>
        <w:spacing w:line="276" w:lineRule="auto"/>
        <w:ind w:right="283"/>
        <w:rPr>
          <w:rFonts w:ascii="Open Sans Light" w:eastAsia="Open Sans Light" w:hAnsi="Open Sans Light" w:cs="Open Sans Light"/>
          <w:color w:val="303AB2"/>
        </w:rPr>
      </w:pPr>
    </w:p>
    <w:p w14:paraId="5B5E392F" w14:textId="77777777" w:rsidR="00A97C1F" w:rsidRDefault="00000000">
      <w:pPr>
        <w:spacing w:line="276" w:lineRule="auto"/>
        <w:jc w:val="both"/>
        <w:rPr>
          <w:rFonts w:ascii="Open Sans" w:eastAsia="Open Sans" w:hAnsi="Open Sans" w:cs="Open Sans"/>
        </w:rPr>
      </w:pPr>
      <w:r>
        <w:rPr>
          <w:rFonts w:ascii="Open Sans" w:eastAsia="Open Sans" w:hAnsi="Open Sans" w:cs="Open Sans"/>
          <w:color w:val="000000"/>
        </w:rPr>
        <w:t xml:space="preserve">El precio de la vivienda de segunda mano en España ha cerrado 2024 con un precio medio de </w:t>
      </w:r>
      <w:r>
        <w:rPr>
          <w:rFonts w:ascii="Open Sans" w:eastAsia="Open Sans" w:hAnsi="Open Sans" w:cs="Open Sans"/>
        </w:rPr>
        <w:t>2</w:t>
      </w:r>
      <w:r>
        <w:rPr>
          <w:rFonts w:ascii="Open Sans" w:eastAsia="Open Sans" w:hAnsi="Open Sans" w:cs="Open Sans"/>
          <w:color w:val="000000"/>
        </w:rPr>
        <w:t>.389 €/m</w:t>
      </w:r>
      <w:r>
        <w:rPr>
          <w:rFonts w:ascii="Open Sans" w:eastAsia="Open Sans" w:hAnsi="Open Sans" w:cs="Open Sans"/>
          <w:color w:val="000000"/>
          <w:vertAlign w:val="superscript"/>
        </w:rPr>
        <w:t>2</w:t>
      </w:r>
      <w:r>
        <w:rPr>
          <w:rFonts w:ascii="Open Sans" w:eastAsia="Open Sans" w:hAnsi="Open Sans" w:cs="Open Sans"/>
          <w:color w:val="000000"/>
        </w:rPr>
        <w:t xml:space="preserve">, según los datos del informe de </w:t>
      </w:r>
      <w:r>
        <w:rPr>
          <w:rFonts w:ascii="Open Sans" w:eastAsia="Open Sans" w:hAnsi="Open Sans" w:cs="Open Sans"/>
          <w:b/>
          <w:color w:val="000000"/>
        </w:rPr>
        <w:t>“</w:t>
      </w:r>
      <w:hyperlink r:id="rId9">
        <w:r>
          <w:rPr>
            <w:rFonts w:ascii="Open Sans" w:eastAsia="Open Sans" w:hAnsi="Open Sans" w:cs="Open Sans"/>
            <w:b/>
            <w:i/>
            <w:color w:val="0000FF"/>
            <w:u w:val="single"/>
          </w:rPr>
          <w:t>La vivienda de segunda mano en 2024</w:t>
        </w:r>
      </w:hyperlink>
      <w:r>
        <w:rPr>
          <w:rFonts w:ascii="Open Sans" w:eastAsia="Open Sans" w:hAnsi="Open Sans" w:cs="Open Sans"/>
          <w:b/>
          <w:i/>
          <w:color w:val="000000"/>
        </w:rPr>
        <w:t>”</w:t>
      </w:r>
      <w:r>
        <w:rPr>
          <w:rFonts w:ascii="Open Sans" w:eastAsia="Open Sans" w:hAnsi="Open Sans" w:cs="Open Sans"/>
          <w:i/>
          <w:color w:val="000000"/>
        </w:rPr>
        <w:t xml:space="preserve"> </w:t>
      </w:r>
      <w:r>
        <w:rPr>
          <w:rFonts w:ascii="Open Sans" w:eastAsia="Open Sans" w:hAnsi="Open Sans" w:cs="Open Sans"/>
          <w:color w:val="000000"/>
        </w:rPr>
        <w:t>elaborado a partir</w:t>
      </w:r>
      <w:r>
        <w:rPr>
          <w:rFonts w:ascii="Open Sans" w:eastAsia="Open Sans" w:hAnsi="Open Sans" w:cs="Open Sans"/>
          <w:i/>
          <w:color w:val="000000"/>
        </w:rPr>
        <w:t xml:space="preserve"> </w:t>
      </w:r>
      <w:r>
        <w:rPr>
          <w:rFonts w:ascii="Open Sans" w:eastAsia="Open Sans" w:hAnsi="Open Sans" w:cs="Open Sans"/>
          <w:color w:val="000000"/>
        </w:rPr>
        <w:t>del</w:t>
      </w:r>
      <w:r>
        <w:rPr>
          <w:rFonts w:ascii="Open Sans" w:eastAsia="Open Sans" w:hAnsi="Open Sans" w:cs="Open Sans"/>
          <w:i/>
          <w:color w:val="000000"/>
        </w:rPr>
        <w:t xml:space="preserve"> </w:t>
      </w:r>
      <w:r>
        <w:rPr>
          <w:rFonts w:ascii="Open Sans" w:eastAsia="Open Sans" w:hAnsi="Open Sans" w:cs="Open Sans"/>
          <w:color w:val="000000"/>
        </w:rPr>
        <w:t xml:space="preserve">Índice Inmobiliario </w:t>
      </w:r>
      <w:hyperlink r:id="rId10">
        <w:r>
          <w:rPr>
            <w:rFonts w:ascii="Open Sans" w:eastAsia="Open Sans" w:hAnsi="Open Sans" w:cs="Open Sans"/>
            <w:color w:val="0000FF"/>
            <w:u w:val="single"/>
          </w:rPr>
          <w:t>Fotocasa</w:t>
        </w:r>
      </w:hyperlink>
      <w:r>
        <w:rPr>
          <w:rFonts w:ascii="Open Sans" w:eastAsia="Open Sans" w:hAnsi="Open Sans" w:cs="Open Sans"/>
          <w:color w:val="000000"/>
        </w:rPr>
        <w:t xml:space="preserve">. Sin embargo, </w:t>
      </w:r>
      <w:r>
        <w:rPr>
          <w:rFonts w:ascii="Open Sans" w:eastAsia="Open Sans" w:hAnsi="Open Sans" w:cs="Open Sans"/>
          <w:b/>
          <w:color w:val="000000"/>
        </w:rPr>
        <w:t>hay cinco municipios en España que han cerrado el año con un precio muy por encima de la media y sobrepasan la barrera de los 6.000 euros/m²</w:t>
      </w:r>
      <w:r>
        <w:rPr>
          <w:rFonts w:ascii="Open Sans" w:eastAsia="Open Sans" w:hAnsi="Open Sans" w:cs="Open Sans"/>
        </w:rPr>
        <w:t xml:space="preserve">, y han alcanzado en algún momento de 2024 el precio máximo histórico. </w:t>
      </w:r>
    </w:p>
    <w:p w14:paraId="48C497E4" w14:textId="77777777" w:rsidR="00A97C1F" w:rsidRDefault="00A97C1F">
      <w:pPr>
        <w:spacing w:line="276" w:lineRule="auto"/>
        <w:jc w:val="both"/>
        <w:rPr>
          <w:rFonts w:ascii="Open Sans" w:eastAsia="Open Sans" w:hAnsi="Open Sans" w:cs="Open Sans"/>
        </w:rPr>
      </w:pPr>
    </w:p>
    <w:p w14:paraId="3903DB2C" w14:textId="77777777" w:rsidR="00A97C1F" w:rsidRDefault="00000000">
      <w:pPr>
        <w:spacing w:line="276" w:lineRule="auto"/>
        <w:jc w:val="both"/>
        <w:rPr>
          <w:rFonts w:ascii="Open Sans" w:eastAsia="Open Sans" w:hAnsi="Open Sans" w:cs="Open Sans"/>
          <w:color w:val="000000"/>
        </w:rPr>
      </w:pPr>
      <w:r>
        <w:rPr>
          <w:rFonts w:ascii="Open Sans" w:eastAsia="Open Sans" w:hAnsi="Open Sans" w:cs="Open Sans"/>
        </w:rPr>
        <w:t xml:space="preserve">En diciembre de 2024 </w:t>
      </w:r>
      <w:r>
        <w:rPr>
          <w:rFonts w:ascii="Open Sans" w:eastAsia="Open Sans" w:hAnsi="Open Sans" w:cs="Open Sans"/>
          <w:b/>
        </w:rPr>
        <w:t xml:space="preserve">cinco localidades españolas, tres pertenecen a Baleares y dos al País Vasco, han situado el precio medio por encima de los </w:t>
      </w:r>
      <w:r>
        <w:rPr>
          <w:rFonts w:ascii="Open Sans" w:eastAsia="Open Sans" w:hAnsi="Open Sans" w:cs="Open Sans"/>
          <w:b/>
          <w:color w:val="000000"/>
        </w:rPr>
        <w:t>6.000 euros/m²</w:t>
      </w:r>
      <w:r>
        <w:rPr>
          <w:rFonts w:ascii="Open Sans" w:eastAsia="Open Sans" w:hAnsi="Open Sans" w:cs="Open Sans"/>
          <w:b/>
        </w:rPr>
        <w:t xml:space="preserve"> y son los municipios con el precio más alto de compra de vivienda</w:t>
      </w:r>
      <w:r>
        <w:rPr>
          <w:rFonts w:ascii="Open Sans" w:eastAsia="Open Sans" w:hAnsi="Open Sans" w:cs="Open Sans"/>
        </w:rPr>
        <w:t xml:space="preserve">. El municipio que encabeza la lista como el más caro de España es </w:t>
      </w:r>
      <w:r>
        <w:rPr>
          <w:rFonts w:ascii="Open Sans" w:eastAsia="Open Sans" w:hAnsi="Open Sans" w:cs="Open Sans"/>
          <w:b/>
        </w:rPr>
        <w:t xml:space="preserve">Santa </w:t>
      </w:r>
      <w:proofErr w:type="spellStart"/>
      <w:r>
        <w:rPr>
          <w:rFonts w:ascii="Open Sans" w:eastAsia="Open Sans" w:hAnsi="Open Sans" w:cs="Open Sans"/>
          <w:b/>
        </w:rPr>
        <w:t>Eulàlia</w:t>
      </w:r>
      <w:proofErr w:type="spellEnd"/>
      <w:r>
        <w:rPr>
          <w:rFonts w:ascii="Open Sans" w:eastAsia="Open Sans" w:hAnsi="Open Sans" w:cs="Open Sans"/>
          <w:b/>
        </w:rPr>
        <w:t xml:space="preserve"> des </w:t>
      </w:r>
      <w:proofErr w:type="spellStart"/>
      <w:r>
        <w:rPr>
          <w:rFonts w:ascii="Open Sans" w:eastAsia="Open Sans" w:hAnsi="Open Sans" w:cs="Open Sans"/>
          <w:b/>
        </w:rPr>
        <w:t>Riu</w:t>
      </w:r>
      <w:proofErr w:type="spellEnd"/>
      <w:r>
        <w:rPr>
          <w:rFonts w:ascii="Open Sans" w:eastAsia="Open Sans" w:hAnsi="Open Sans" w:cs="Open Sans"/>
        </w:rPr>
        <w:t xml:space="preserve">, </w:t>
      </w:r>
      <w:r>
        <w:rPr>
          <w:rFonts w:ascii="Open Sans" w:eastAsia="Open Sans" w:hAnsi="Open Sans" w:cs="Open Sans"/>
          <w:b/>
        </w:rPr>
        <w:t>en Baleares</w:t>
      </w:r>
      <w:r>
        <w:rPr>
          <w:rFonts w:ascii="Open Sans" w:eastAsia="Open Sans" w:hAnsi="Open Sans" w:cs="Open Sans"/>
        </w:rPr>
        <w:t xml:space="preserve">, con un precio medio de 8.411 </w:t>
      </w:r>
      <w:r>
        <w:rPr>
          <w:rFonts w:ascii="Open Sans" w:eastAsia="Open Sans" w:hAnsi="Open Sans" w:cs="Open Sans"/>
          <w:color w:val="000000"/>
        </w:rPr>
        <w:t xml:space="preserve">euros/m² y es, además, el único municipio de España que supera los 8.000 euros/m² y cierra el año con una subida del 40% respecto al año anterior. Le sigue </w:t>
      </w:r>
      <w:r>
        <w:rPr>
          <w:rFonts w:ascii="Open Sans" w:eastAsia="Open Sans" w:hAnsi="Open Sans" w:cs="Open Sans"/>
          <w:b/>
          <w:color w:val="000000"/>
        </w:rPr>
        <w:t>Ibiza, también en Baleares</w:t>
      </w:r>
      <w:r>
        <w:rPr>
          <w:rFonts w:ascii="Open Sans" w:eastAsia="Open Sans" w:hAnsi="Open Sans" w:cs="Open Sans"/>
          <w:color w:val="000000"/>
        </w:rPr>
        <w:t xml:space="preserve">, con un precio medio de 6.986 euros/m². En el tercer puesto encontramos a </w:t>
      </w:r>
      <w:r>
        <w:rPr>
          <w:rFonts w:ascii="Open Sans" w:eastAsia="Open Sans" w:hAnsi="Open Sans" w:cs="Open Sans"/>
          <w:b/>
          <w:color w:val="000000"/>
        </w:rPr>
        <w:t>Zarautz, en el País Vasco</w:t>
      </w:r>
      <w:r>
        <w:rPr>
          <w:rFonts w:ascii="Open Sans" w:eastAsia="Open Sans" w:hAnsi="Open Sans" w:cs="Open Sans"/>
          <w:color w:val="000000"/>
        </w:rPr>
        <w:t xml:space="preserve">, con un precio medio de 6.758 euros/m² y una variación anual del 12%. En el cuarto puesto, </w:t>
      </w:r>
      <w:r>
        <w:rPr>
          <w:rFonts w:ascii="Open Sans" w:eastAsia="Open Sans" w:hAnsi="Open Sans" w:cs="Open Sans"/>
          <w:b/>
          <w:color w:val="000000"/>
        </w:rPr>
        <w:t xml:space="preserve">San Sebastián, </w:t>
      </w:r>
      <w:r>
        <w:rPr>
          <w:rFonts w:ascii="Open Sans" w:eastAsia="Open Sans" w:hAnsi="Open Sans" w:cs="Open Sans"/>
          <w:b/>
          <w:color w:val="000000"/>
        </w:rPr>
        <w:lastRenderedPageBreak/>
        <w:t>también en el País Vasco</w:t>
      </w:r>
      <w:r>
        <w:rPr>
          <w:rFonts w:ascii="Open Sans" w:eastAsia="Open Sans" w:hAnsi="Open Sans" w:cs="Open Sans"/>
          <w:color w:val="000000"/>
        </w:rPr>
        <w:t xml:space="preserve">, ha cerrado el año con un precio medio de 6.696 euros/m² y una variación del 9% y en el quinto lugar, </w:t>
      </w:r>
      <w:r>
        <w:rPr>
          <w:rFonts w:ascii="Open Sans" w:eastAsia="Open Sans" w:hAnsi="Open Sans" w:cs="Open Sans"/>
          <w:b/>
          <w:color w:val="000000"/>
        </w:rPr>
        <w:t>Calvià, en Baleares</w:t>
      </w:r>
      <w:r>
        <w:rPr>
          <w:rFonts w:ascii="Open Sans" w:eastAsia="Open Sans" w:hAnsi="Open Sans" w:cs="Open Sans"/>
          <w:color w:val="000000"/>
        </w:rPr>
        <w:t xml:space="preserve">, cuenta con un precio medio de 6.640 euros/m². </w:t>
      </w:r>
    </w:p>
    <w:p w14:paraId="63FBFC8D" w14:textId="77777777" w:rsidR="00A97C1F" w:rsidRDefault="00A97C1F">
      <w:pPr>
        <w:spacing w:line="276" w:lineRule="auto"/>
        <w:jc w:val="both"/>
        <w:rPr>
          <w:rFonts w:ascii="Open Sans" w:eastAsia="Open Sans" w:hAnsi="Open Sans" w:cs="Open Sans"/>
        </w:rPr>
      </w:pPr>
    </w:p>
    <w:p w14:paraId="551497B2" w14:textId="77777777" w:rsidR="00A97C1F" w:rsidRDefault="00000000">
      <w:pPr>
        <w:spacing w:line="276" w:lineRule="auto"/>
        <w:jc w:val="both"/>
        <w:rPr>
          <w:rFonts w:ascii="Open Sans" w:eastAsia="Open Sans" w:hAnsi="Open Sans" w:cs="Open Sans"/>
        </w:rPr>
      </w:pPr>
      <w:r>
        <w:rPr>
          <w:rFonts w:ascii="Open Sans" w:eastAsia="Open Sans" w:hAnsi="Open Sans" w:cs="Open Sans"/>
        </w:rPr>
        <w:t xml:space="preserve">“El precio de la vivienda ha marcado un nuevo máximo en los municipios más tensionados de España. Algunos de ellos, como los que pertenecen a Baleares, cuentan con atractivo turístico internacional a la vez que una limitada disponibilidad de suelo edificable, por su territorio limitado. Por otro lado, en los vascos, barceloneses y madrileños, los factores que influyen en la subida y mantenimiento del alto precio a lo largo de los años, es la elevada demanda en contraste con una oferta muy restringida. Este desequilibrio, sumado a su exclusividad, consolida a estas localidades en los primeros puestos de los precios más altos del mercado inmobiliario en España”, </w:t>
      </w:r>
      <w:r w:rsidRPr="006424D9">
        <w:rPr>
          <w:rFonts w:ascii="Open Sans" w:eastAsia="Open Sans" w:hAnsi="Open Sans" w:cs="Open Sans"/>
          <w:b/>
          <w:bCs/>
        </w:rPr>
        <w:t xml:space="preserve">comenta María Matos, directora de Estudios y portavoz de </w:t>
      </w:r>
      <w:hyperlink r:id="rId11">
        <w:r w:rsidRPr="006424D9">
          <w:rPr>
            <w:rFonts w:ascii="Open Sans" w:eastAsia="Open Sans" w:hAnsi="Open Sans" w:cs="Open Sans"/>
            <w:b/>
            <w:bCs/>
            <w:color w:val="1155CC"/>
            <w:u w:val="single"/>
          </w:rPr>
          <w:t>Fotocasa</w:t>
        </w:r>
      </w:hyperlink>
      <w:r w:rsidRPr="006424D9">
        <w:rPr>
          <w:rFonts w:ascii="Open Sans" w:eastAsia="Open Sans" w:hAnsi="Open Sans" w:cs="Open Sans"/>
          <w:b/>
          <w:bCs/>
        </w:rPr>
        <w:t>.</w:t>
      </w:r>
    </w:p>
    <w:p w14:paraId="120C65C7" w14:textId="77777777" w:rsidR="00A97C1F" w:rsidRDefault="00A97C1F">
      <w:pPr>
        <w:spacing w:line="276" w:lineRule="auto"/>
        <w:jc w:val="both"/>
        <w:rPr>
          <w:rFonts w:ascii="Open Sans" w:eastAsia="Open Sans" w:hAnsi="Open Sans" w:cs="Open Sans"/>
        </w:rPr>
      </w:pPr>
    </w:p>
    <w:p w14:paraId="00A93C2B" w14:textId="77777777" w:rsidR="00A97C1F" w:rsidRDefault="00000000">
      <w:pPr>
        <w:spacing w:line="276" w:lineRule="auto"/>
        <w:jc w:val="both"/>
        <w:rPr>
          <w:rFonts w:ascii="Open Sans" w:eastAsia="Open Sans" w:hAnsi="Open Sans" w:cs="Open Sans"/>
          <w:color w:val="000000"/>
        </w:rPr>
      </w:pPr>
      <w:r>
        <w:rPr>
          <w:rFonts w:ascii="Open Sans" w:eastAsia="Open Sans" w:hAnsi="Open Sans" w:cs="Open Sans"/>
        </w:rPr>
        <w:t xml:space="preserve">Las siguientes poblaciones en la lista de municipios con el precio de venta más elevado y muy cercanas a los 6.000 euros el metro cuadrado son: </w:t>
      </w:r>
      <w:r>
        <w:rPr>
          <w:rFonts w:ascii="Open Sans" w:eastAsia="Open Sans" w:hAnsi="Open Sans" w:cs="Open Sans"/>
          <w:b/>
        </w:rPr>
        <w:t xml:space="preserve">Sant Josep de </w:t>
      </w:r>
      <w:proofErr w:type="spellStart"/>
      <w:r>
        <w:rPr>
          <w:rFonts w:ascii="Open Sans" w:eastAsia="Open Sans" w:hAnsi="Open Sans" w:cs="Open Sans"/>
          <w:b/>
        </w:rPr>
        <w:t>sa</w:t>
      </w:r>
      <w:proofErr w:type="spellEnd"/>
      <w:r>
        <w:rPr>
          <w:rFonts w:ascii="Open Sans" w:eastAsia="Open Sans" w:hAnsi="Open Sans" w:cs="Open Sans"/>
          <w:b/>
        </w:rPr>
        <w:t xml:space="preserve"> Talaia en Baleares</w:t>
      </w:r>
      <w:r>
        <w:rPr>
          <w:rFonts w:ascii="Open Sans" w:eastAsia="Open Sans" w:hAnsi="Open Sans" w:cs="Open Sans"/>
        </w:rPr>
        <w:t xml:space="preserve"> (5.953 </w:t>
      </w:r>
      <w:r>
        <w:rPr>
          <w:rFonts w:ascii="Open Sans" w:eastAsia="Open Sans" w:hAnsi="Open Sans" w:cs="Open Sans"/>
          <w:color w:val="000000"/>
        </w:rPr>
        <w:t xml:space="preserve">euros/m²), </w:t>
      </w:r>
      <w:r>
        <w:rPr>
          <w:rFonts w:ascii="Open Sans" w:eastAsia="Open Sans" w:hAnsi="Open Sans" w:cs="Open Sans"/>
          <w:b/>
          <w:color w:val="000000"/>
        </w:rPr>
        <w:t>Sant Antoni de Portmany, en Baleares</w:t>
      </w:r>
      <w:r>
        <w:rPr>
          <w:rFonts w:ascii="Open Sans" w:eastAsia="Open Sans" w:hAnsi="Open Sans" w:cs="Open Sans"/>
          <w:color w:val="000000"/>
        </w:rPr>
        <w:t xml:space="preserve">, con un precio de 5.837 euros/m², </w:t>
      </w:r>
      <w:r>
        <w:rPr>
          <w:rFonts w:ascii="Open Sans" w:eastAsia="Open Sans" w:hAnsi="Open Sans" w:cs="Open Sans"/>
          <w:b/>
          <w:color w:val="000000"/>
        </w:rPr>
        <w:t>Andratx, en Baleares</w:t>
      </w:r>
      <w:r>
        <w:rPr>
          <w:rFonts w:ascii="Open Sans" w:eastAsia="Open Sans" w:hAnsi="Open Sans" w:cs="Open Sans"/>
          <w:color w:val="000000"/>
        </w:rPr>
        <w:t xml:space="preserve">, con un precio medio de 5.746 euros/m². El noveno municipio más caro se encuentra en </w:t>
      </w:r>
      <w:r>
        <w:rPr>
          <w:rFonts w:ascii="Open Sans" w:eastAsia="Open Sans" w:hAnsi="Open Sans" w:cs="Open Sans"/>
          <w:b/>
          <w:color w:val="000000"/>
        </w:rPr>
        <w:t>Cataluña y se trata de Sant Just Desvern</w:t>
      </w:r>
      <w:r>
        <w:rPr>
          <w:rFonts w:ascii="Open Sans" w:eastAsia="Open Sans" w:hAnsi="Open Sans" w:cs="Open Sans"/>
          <w:color w:val="000000"/>
        </w:rPr>
        <w:t xml:space="preserve"> (5.740 euros/m²) y el décimo municipio más caro es </w:t>
      </w:r>
      <w:r>
        <w:rPr>
          <w:rFonts w:ascii="Open Sans" w:eastAsia="Open Sans" w:hAnsi="Open Sans" w:cs="Open Sans"/>
          <w:b/>
          <w:color w:val="000000"/>
        </w:rPr>
        <w:t>La Moraleja, en Madrid</w:t>
      </w:r>
      <w:r>
        <w:rPr>
          <w:rFonts w:ascii="Open Sans" w:eastAsia="Open Sans" w:hAnsi="Open Sans" w:cs="Open Sans"/>
          <w:color w:val="000000"/>
        </w:rPr>
        <w:t>, con un precio medio de 5.600 euros/m²).</w:t>
      </w:r>
    </w:p>
    <w:p w14:paraId="7775EBEC" w14:textId="77777777" w:rsidR="00A97C1F" w:rsidRDefault="00000000">
      <w:pPr>
        <w:spacing w:line="276" w:lineRule="auto"/>
        <w:jc w:val="both"/>
        <w:rPr>
          <w:rFonts w:ascii="Open Sans" w:eastAsia="Open Sans" w:hAnsi="Open Sans" w:cs="Open Sans"/>
          <w:color w:val="000000"/>
        </w:rPr>
      </w:pPr>
      <w:r>
        <w:rPr>
          <w:noProof/>
        </w:rPr>
        <w:drawing>
          <wp:inline distT="0" distB="0" distL="0" distR="0" wp14:anchorId="49957BF0" wp14:editId="06C0752A">
            <wp:extent cx="5581015" cy="3021330"/>
            <wp:effectExtent l="0" t="0" r="0" b="0"/>
            <wp:docPr id="1991286089" name="image2.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 Gráfico de barras&#10;&#10;Descripción generada automáticamente"/>
                    <pic:cNvPicPr preferRelativeResize="0"/>
                  </pic:nvPicPr>
                  <pic:blipFill>
                    <a:blip r:embed="rId12"/>
                    <a:srcRect/>
                    <a:stretch>
                      <a:fillRect/>
                    </a:stretch>
                  </pic:blipFill>
                  <pic:spPr>
                    <a:xfrm>
                      <a:off x="0" y="0"/>
                      <a:ext cx="5581015" cy="3021330"/>
                    </a:xfrm>
                    <a:prstGeom prst="rect">
                      <a:avLst/>
                    </a:prstGeom>
                    <a:ln/>
                  </pic:spPr>
                </pic:pic>
              </a:graphicData>
            </a:graphic>
          </wp:inline>
        </w:drawing>
      </w:r>
    </w:p>
    <w:p w14:paraId="5A1ACFA9" w14:textId="77777777" w:rsidR="00A97C1F" w:rsidRDefault="00000000">
      <w:pPr>
        <w:shd w:val="clear" w:color="auto" w:fill="FFFFFF"/>
        <w:spacing w:before="280" w:after="280" w:line="276" w:lineRule="auto"/>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lastRenderedPageBreak/>
        <w:t>Los 10 municipios más caros han llegado a máximos en 2024</w:t>
      </w:r>
    </w:p>
    <w:p w14:paraId="519D670E" w14:textId="77777777" w:rsidR="00A97C1F"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en España está todavía un -19% por debajo del precio máximo que alcanzó en abril de 2007. El precio máximo entonces fue de 2.952 euros/m² y en diciembre de 2024 ha cerrado el año con un precio de 2.389 euros/m² y una variación interanual del 8,4%. En cambio, los diez municipios más caros de España han cerrado el 2024 llegando a máximos en algún momento del año. </w:t>
      </w:r>
    </w:p>
    <w:p w14:paraId="1E875AB5" w14:textId="77777777" w:rsidR="00A97C1F" w:rsidRDefault="00A97C1F">
      <w:pPr>
        <w:spacing w:line="276" w:lineRule="auto"/>
        <w:jc w:val="both"/>
        <w:rPr>
          <w:rFonts w:ascii="Open Sans" w:eastAsia="Open Sans" w:hAnsi="Open Sans" w:cs="Open Sans"/>
          <w:color w:val="000000"/>
        </w:rPr>
      </w:pPr>
    </w:p>
    <w:p w14:paraId="49AF8455" w14:textId="77777777" w:rsidR="00A97C1F" w:rsidRDefault="00000000">
      <w:pPr>
        <w:shd w:val="clear" w:color="auto" w:fill="FFFFFF"/>
        <w:spacing w:before="280" w:after="280" w:line="276" w:lineRule="auto"/>
        <w:jc w:val="center"/>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Precio, variación anual y mes de precio máximo</w:t>
      </w:r>
    </w:p>
    <w:tbl>
      <w:tblPr>
        <w:tblStyle w:val="a6"/>
        <w:tblW w:w="89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5"/>
        <w:gridCol w:w="1605"/>
        <w:gridCol w:w="1620"/>
        <w:gridCol w:w="1425"/>
        <w:gridCol w:w="1485"/>
        <w:gridCol w:w="1425"/>
      </w:tblGrid>
      <w:tr w:rsidR="00A97C1F" w14:paraId="7865D3EF" w14:textId="77777777" w:rsidTr="00A97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6D747BA8" w14:textId="77777777" w:rsidR="00A97C1F" w:rsidRDefault="00000000">
            <w:pPr>
              <w:spacing w:line="276" w:lineRule="auto"/>
              <w:jc w:val="both"/>
              <w:rPr>
                <w:rFonts w:ascii="Open Sans" w:eastAsia="Open Sans" w:hAnsi="Open Sans" w:cs="Open Sans"/>
              </w:rPr>
            </w:pPr>
            <w:r>
              <w:rPr>
                <w:rFonts w:ascii="Open Sans" w:eastAsia="Open Sans" w:hAnsi="Open Sans" w:cs="Open Sans"/>
              </w:rPr>
              <w:t>CCAA</w:t>
            </w:r>
          </w:p>
        </w:tc>
        <w:tc>
          <w:tcPr>
            <w:tcW w:w="1605" w:type="dxa"/>
          </w:tcPr>
          <w:p w14:paraId="28B8C083" w14:textId="77777777" w:rsidR="00A97C1F"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Municipios</w:t>
            </w:r>
          </w:p>
        </w:tc>
        <w:tc>
          <w:tcPr>
            <w:tcW w:w="1620" w:type="dxa"/>
          </w:tcPr>
          <w:p w14:paraId="52BE2B65" w14:textId="77777777" w:rsidR="00A97C1F"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 xml:space="preserve">Precio medio </w:t>
            </w:r>
          </w:p>
          <w:p w14:paraId="6493984E" w14:textId="77777777" w:rsidR="00A97C1F"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(dic. 2024)</w:t>
            </w:r>
          </w:p>
        </w:tc>
        <w:tc>
          <w:tcPr>
            <w:tcW w:w="1425" w:type="dxa"/>
          </w:tcPr>
          <w:p w14:paraId="0D46E7A4" w14:textId="77777777" w:rsidR="00A97C1F"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Variación anual</w:t>
            </w:r>
          </w:p>
        </w:tc>
        <w:tc>
          <w:tcPr>
            <w:tcW w:w="1485" w:type="dxa"/>
          </w:tcPr>
          <w:p w14:paraId="7431495B" w14:textId="77777777" w:rsidR="00A97C1F"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Mes máximo</w:t>
            </w:r>
          </w:p>
        </w:tc>
        <w:tc>
          <w:tcPr>
            <w:tcW w:w="1425" w:type="dxa"/>
          </w:tcPr>
          <w:p w14:paraId="21D80C8A" w14:textId="77777777" w:rsidR="00A97C1F"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Precio máximo</w:t>
            </w:r>
          </w:p>
        </w:tc>
      </w:tr>
      <w:tr w:rsidR="00A97C1F" w14:paraId="50AC01A8" w14:textId="77777777" w:rsidTr="00A9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vAlign w:val="bottom"/>
          </w:tcPr>
          <w:p w14:paraId="758074CD" w14:textId="77777777" w:rsidR="00A97C1F" w:rsidRDefault="00000000">
            <w:pPr>
              <w:spacing w:line="276" w:lineRule="auto"/>
              <w:jc w:val="both"/>
              <w:rPr>
                <w:rFonts w:ascii="Open Sans" w:eastAsia="Open Sans" w:hAnsi="Open Sans" w:cs="Open Sans"/>
                <w:color w:val="000000"/>
              </w:rPr>
            </w:pPr>
            <w:r>
              <w:rPr>
                <w:rFonts w:ascii="Open Sans" w:eastAsia="Open Sans" w:hAnsi="Open Sans" w:cs="Open Sans"/>
                <w:sz w:val="22"/>
                <w:szCs w:val="22"/>
              </w:rPr>
              <w:t>Baleares</w:t>
            </w:r>
          </w:p>
        </w:tc>
        <w:tc>
          <w:tcPr>
            <w:tcW w:w="1605" w:type="dxa"/>
            <w:vAlign w:val="bottom"/>
          </w:tcPr>
          <w:p w14:paraId="5C0DDBC6"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 xml:space="preserve">Santa Eulària des </w:t>
            </w:r>
            <w:proofErr w:type="spellStart"/>
            <w:r>
              <w:rPr>
                <w:rFonts w:ascii="Open Sans" w:eastAsia="Open Sans" w:hAnsi="Open Sans" w:cs="Open Sans"/>
                <w:sz w:val="22"/>
                <w:szCs w:val="22"/>
              </w:rPr>
              <w:t>Riu</w:t>
            </w:r>
            <w:proofErr w:type="spellEnd"/>
          </w:p>
        </w:tc>
        <w:tc>
          <w:tcPr>
            <w:tcW w:w="1620" w:type="dxa"/>
            <w:vAlign w:val="bottom"/>
          </w:tcPr>
          <w:p w14:paraId="1AB52C26"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 xml:space="preserve">                           8.411 € </w:t>
            </w:r>
          </w:p>
        </w:tc>
        <w:tc>
          <w:tcPr>
            <w:tcW w:w="1425" w:type="dxa"/>
            <w:vAlign w:val="bottom"/>
          </w:tcPr>
          <w:p w14:paraId="336B72E4"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sz w:val="22"/>
                <w:szCs w:val="22"/>
              </w:rPr>
              <w:t>40,2%</w:t>
            </w:r>
          </w:p>
        </w:tc>
        <w:tc>
          <w:tcPr>
            <w:tcW w:w="1485" w:type="dxa"/>
            <w:vAlign w:val="bottom"/>
          </w:tcPr>
          <w:p w14:paraId="3C235A70"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nov.-24</w:t>
            </w:r>
          </w:p>
        </w:tc>
        <w:tc>
          <w:tcPr>
            <w:tcW w:w="1425" w:type="dxa"/>
            <w:vAlign w:val="bottom"/>
          </w:tcPr>
          <w:p w14:paraId="33514AB6"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8.476 €</w:t>
            </w:r>
          </w:p>
        </w:tc>
      </w:tr>
      <w:tr w:rsidR="00A97C1F" w14:paraId="1E89152F" w14:textId="77777777" w:rsidTr="00A97C1F">
        <w:tc>
          <w:tcPr>
            <w:cnfStyle w:val="001000000000" w:firstRow="0" w:lastRow="0" w:firstColumn="1" w:lastColumn="0" w:oddVBand="0" w:evenVBand="0" w:oddHBand="0" w:evenHBand="0" w:firstRowFirstColumn="0" w:firstRowLastColumn="0" w:lastRowFirstColumn="0" w:lastRowLastColumn="0"/>
            <w:tcW w:w="1365" w:type="dxa"/>
            <w:vAlign w:val="bottom"/>
          </w:tcPr>
          <w:p w14:paraId="71C86631" w14:textId="77777777" w:rsidR="00A97C1F" w:rsidRDefault="00000000">
            <w:pPr>
              <w:spacing w:line="276" w:lineRule="auto"/>
              <w:jc w:val="both"/>
              <w:rPr>
                <w:rFonts w:ascii="Open Sans" w:eastAsia="Open Sans" w:hAnsi="Open Sans" w:cs="Open Sans"/>
                <w:color w:val="000000"/>
              </w:rPr>
            </w:pPr>
            <w:r>
              <w:rPr>
                <w:rFonts w:ascii="Open Sans" w:eastAsia="Open Sans" w:hAnsi="Open Sans" w:cs="Open Sans"/>
                <w:sz w:val="22"/>
                <w:szCs w:val="22"/>
              </w:rPr>
              <w:t>Baleares</w:t>
            </w:r>
          </w:p>
        </w:tc>
        <w:tc>
          <w:tcPr>
            <w:tcW w:w="1605" w:type="dxa"/>
            <w:vAlign w:val="bottom"/>
          </w:tcPr>
          <w:p w14:paraId="30054FAD"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Eivissa</w:t>
            </w:r>
          </w:p>
        </w:tc>
        <w:tc>
          <w:tcPr>
            <w:tcW w:w="1620" w:type="dxa"/>
            <w:vAlign w:val="bottom"/>
          </w:tcPr>
          <w:p w14:paraId="56CE6CA6"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 xml:space="preserve">                           6.986 € </w:t>
            </w:r>
          </w:p>
        </w:tc>
        <w:tc>
          <w:tcPr>
            <w:tcW w:w="1425" w:type="dxa"/>
            <w:vAlign w:val="bottom"/>
          </w:tcPr>
          <w:p w14:paraId="482AFD1D"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sz w:val="22"/>
                <w:szCs w:val="22"/>
              </w:rPr>
              <w:t>9,1%</w:t>
            </w:r>
          </w:p>
        </w:tc>
        <w:tc>
          <w:tcPr>
            <w:tcW w:w="1485" w:type="dxa"/>
            <w:vAlign w:val="bottom"/>
          </w:tcPr>
          <w:p w14:paraId="343D0F16"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ago.-24</w:t>
            </w:r>
          </w:p>
        </w:tc>
        <w:tc>
          <w:tcPr>
            <w:tcW w:w="1425" w:type="dxa"/>
            <w:vAlign w:val="bottom"/>
          </w:tcPr>
          <w:p w14:paraId="257898C2"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7.147 €</w:t>
            </w:r>
          </w:p>
        </w:tc>
      </w:tr>
      <w:tr w:rsidR="00A97C1F" w14:paraId="1486B4A9" w14:textId="77777777" w:rsidTr="00A9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vAlign w:val="bottom"/>
          </w:tcPr>
          <w:p w14:paraId="0BFE633A" w14:textId="77777777" w:rsidR="00A97C1F" w:rsidRDefault="00000000">
            <w:pPr>
              <w:spacing w:line="276" w:lineRule="auto"/>
              <w:jc w:val="both"/>
              <w:rPr>
                <w:rFonts w:ascii="Open Sans" w:eastAsia="Open Sans" w:hAnsi="Open Sans" w:cs="Open Sans"/>
                <w:color w:val="000000"/>
              </w:rPr>
            </w:pPr>
            <w:r>
              <w:rPr>
                <w:rFonts w:ascii="Open Sans" w:eastAsia="Open Sans" w:hAnsi="Open Sans" w:cs="Open Sans"/>
                <w:sz w:val="22"/>
                <w:szCs w:val="22"/>
              </w:rPr>
              <w:t>País Vasco</w:t>
            </w:r>
          </w:p>
        </w:tc>
        <w:tc>
          <w:tcPr>
            <w:tcW w:w="1605" w:type="dxa"/>
            <w:vAlign w:val="bottom"/>
          </w:tcPr>
          <w:p w14:paraId="39314F8F"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Zarautz</w:t>
            </w:r>
          </w:p>
        </w:tc>
        <w:tc>
          <w:tcPr>
            <w:tcW w:w="1620" w:type="dxa"/>
            <w:vAlign w:val="bottom"/>
          </w:tcPr>
          <w:p w14:paraId="33C5F039"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 xml:space="preserve">                           6.758 € </w:t>
            </w:r>
          </w:p>
        </w:tc>
        <w:tc>
          <w:tcPr>
            <w:tcW w:w="1425" w:type="dxa"/>
            <w:vAlign w:val="bottom"/>
          </w:tcPr>
          <w:p w14:paraId="4B9D9B4A"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sz w:val="22"/>
                <w:szCs w:val="22"/>
              </w:rPr>
              <w:t>12,1%</w:t>
            </w:r>
          </w:p>
        </w:tc>
        <w:tc>
          <w:tcPr>
            <w:tcW w:w="1485" w:type="dxa"/>
            <w:vAlign w:val="bottom"/>
          </w:tcPr>
          <w:p w14:paraId="785B44E4"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dic.-24</w:t>
            </w:r>
          </w:p>
        </w:tc>
        <w:tc>
          <w:tcPr>
            <w:tcW w:w="1425" w:type="dxa"/>
            <w:vAlign w:val="bottom"/>
          </w:tcPr>
          <w:p w14:paraId="606EC4F4"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6.758 €</w:t>
            </w:r>
          </w:p>
        </w:tc>
      </w:tr>
      <w:tr w:rsidR="00A97C1F" w14:paraId="4E8313BC" w14:textId="77777777" w:rsidTr="00A97C1F">
        <w:tc>
          <w:tcPr>
            <w:cnfStyle w:val="001000000000" w:firstRow="0" w:lastRow="0" w:firstColumn="1" w:lastColumn="0" w:oddVBand="0" w:evenVBand="0" w:oddHBand="0" w:evenHBand="0" w:firstRowFirstColumn="0" w:firstRowLastColumn="0" w:lastRowFirstColumn="0" w:lastRowLastColumn="0"/>
            <w:tcW w:w="1365" w:type="dxa"/>
            <w:vAlign w:val="bottom"/>
          </w:tcPr>
          <w:p w14:paraId="0ECD8014" w14:textId="77777777" w:rsidR="00A97C1F" w:rsidRDefault="00000000">
            <w:pPr>
              <w:spacing w:line="276" w:lineRule="auto"/>
              <w:jc w:val="both"/>
              <w:rPr>
                <w:rFonts w:ascii="Open Sans" w:eastAsia="Open Sans" w:hAnsi="Open Sans" w:cs="Open Sans"/>
                <w:color w:val="000000"/>
              </w:rPr>
            </w:pPr>
            <w:r>
              <w:rPr>
                <w:rFonts w:ascii="Open Sans" w:eastAsia="Open Sans" w:hAnsi="Open Sans" w:cs="Open Sans"/>
                <w:sz w:val="22"/>
                <w:szCs w:val="22"/>
              </w:rPr>
              <w:t>País Vasco</w:t>
            </w:r>
          </w:p>
        </w:tc>
        <w:tc>
          <w:tcPr>
            <w:tcW w:w="1605" w:type="dxa"/>
            <w:vAlign w:val="bottom"/>
          </w:tcPr>
          <w:p w14:paraId="7CB73A15"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San Sebastián</w:t>
            </w:r>
          </w:p>
        </w:tc>
        <w:tc>
          <w:tcPr>
            <w:tcW w:w="1620" w:type="dxa"/>
            <w:vAlign w:val="bottom"/>
          </w:tcPr>
          <w:p w14:paraId="1C3C2806"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 xml:space="preserve">                           6.696 € </w:t>
            </w:r>
          </w:p>
        </w:tc>
        <w:tc>
          <w:tcPr>
            <w:tcW w:w="1425" w:type="dxa"/>
            <w:vAlign w:val="bottom"/>
          </w:tcPr>
          <w:p w14:paraId="4AD83357"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sz w:val="22"/>
                <w:szCs w:val="22"/>
              </w:rPr>
              <w:t>9,4%</w:t>
            </w:r>
          </w:p>
        </w:tc>
        <w:tc>
          <w:tcPr>
            <w:tcW w:w="1485" w:type="dxa"/>
            <w:vAlign w:val="bottom"/>
          </w:tcPr>
          <w:p w14:paraId="63365D2E"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dic.-24</w:t>
            </w:r>
          </w:p>
        </w:tc>
        <w:tc>
          <w:tcPr>
            <w:tcW w:w="1425" w:type="dxa"/>
            <w:vAlign w:val="bottom"/>
          </w:tcPr>
          <w:p w14:paraId="37A19FFA"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6.696 €</w:t>
            </w:r>
          </w:p>
        </w:tc>
      </w:tr>
      <w:tr w:rsidR="00A97C1F" w14:paraId="6E519E31" w14:textId="77777777" w:rsidTr="00A9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vAlign w:val="bottom"/>
          </w:tcPr>
          <w:p w14:paraId="1598EBF1" w14:textId="77777777" w:rsidR="00A97C1F" w:rsidRDefault="00000000">
            <w:pPr>
              <w:spacing w:line="276" w:lineRule="auto"/>
              <w:jc w:val="both"/>
              <w:rPr>
                <w:rFonts w:ascii="Open Sans" w:eastAsia="Open Sans" w:hAnsi="Open Sans" w:cs="Open Sans"/>
                <w:color w:val="000000"/>
              </w:rPr>
            </w:pPr>
            <w:r>
              <w:rPr>
                <w:rFonts w:ascii="Open Sans" w:eastAsia="Open Sans" w:hAnsi="Open Sans" w:cs="Open Sans"/>
                <w:sz w:val="22"/>
                <w:szCs w:val="22"/>
              </w:rPr>
              <w:t>Baleares</w:t>
            </w:r>
          </w:p>
        </w:tc>
        <w:tc>
          <w:tcPr>
            <w:tcW w:w="1605" w:type="dxa"/>
            <w:vAlign w:val="bottom"/>
          </w:tcPr>
          <w:p w14:paraId="26A02B75"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Calvià</w:t>
            </w:r>
          </w:p>
        </w:tc>
        <w:tc>
          <w:tcPr>
            <w:tcW w:w="1620" w:type="dxa"/>
            <w:vAlign w:val="bottom"/>
          </w:tcPr>
          <w:p w14:paraId="69AFF61A"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 xml:space="preserve">                           6.640 € </w:t>
            </w:r>
          </w:p>
        </w:tc>
        <w:tc>
          <w:tcPr>
            <w:tcW w:w="1425" w:type="dxa"/>
            <w:vAlign w:val="bottom"/>
          </w:tcPr>
          <w:p w14:paraId="1E81320B"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sz w:val="22"/>
                <w:szCs w:val="22"/>
              </w:rPr>
              <w:t>20,2%</w:t>
            </w:r>
          </w:p>
        </w:tc>
        <w:tc>
          <w:tcPr>
            <w:tcW w:w="1485" w:type="dxa"/>
            <w:vAlign w:val="bottom"/>
          </w:tcPr>
          <w:p w14:paraId="5D69875E"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dic.-24</w:t>
            </w:r>
          </w:p>
        </w:tc>
        <w:tc>
          <w:tcPr>
            <w:tcW w:w="1425" w:type="dxa"/>
            <w:vAlign w:val="bottom"/>
          </w:tcPr>
          <w:p w14:paraId="347B03E8"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6.640 €</w:t>
            </w:r>
          </w:p>
        </w:tc>
      </w:tr>
      <w:tr w:rsidR="00A97C1F" w14:paraId="6B4BE78D" w14:textId="77777777" w:rsidTr="00A97C1F">
        <w:tc>
          <w:tcPr>
            <w:cnfStyle w:val="001000000000" w:firstRow="0" w:lastRow="0" w:firstColumn="1" w:lastColumn="0" w:oddVBand="0" w:evenVBand="0" w:oddHBand="0" w:evenHBand="0" w:firstRowFirstColumn="0" w:firstRowLastColumn="0" w:lastRowFirstColumn="0" w:lastRowLastColumn="0"/>
            <w:tcW w:w="1365" w:type="dxa"/>
            <w:vAlign w:val="bottom"/>
          </w:tcPr>
          <w:p w14:paraId="4C2E9F82" w14:textId="77777777" w:rsidR="00A97C1F" w:rsidRDefault="00000000">
            <w:pPr>
              <w:spacing w:line="276" w:lineRule="auto"/>
              <w:jc w:val="both"/>
              <w:rPr>
                <w:rFonts w:ascii="Open Sans" w:eastAsia="Open Sans" w:hAnsi="Open Sans" w:cs="Open Sans"/>
                <w:color w:val="000000"/>
              </w:rPr>
            </w:pPr>
            <w:r>
              <w:rPr>
                <w:rFonts w:ascii="Open Sans" w:eastAsia="Open Sans" w:hAnsi="Open Sans" w:cs="Open Sans"/>
                <w:sz w:val="22"/>
                <w:szCs w:val="22"/>
              </w:rPr>
              <w:t>Baleares</w:t>
            </w:r>
          </w:p>
        </w:tc>
        <w:tc>
          <w:tcPr>
            <w:tcW w:w="1605" w:type="dxa"/>
            <w:vAlign w:val="bottom"/>
          </w:tcPr>
          <w:p w14:paraId="33AA12AC"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 xml:space="preserve">Sant Josep de </w:t>
            </w:r>
            <w:proofErr w:type="spellStart"/>
            <w:r>
              <w:rPr>
                <w:rFonts w:ascii="Open Sans" w:eastAsia="Open Sans" w:hAnsi="Open Sans" w:cs="Open Sans"/>
                <w:sz w:val="22"/>
                <w:szCs w:val="22"/>
              </w:rPr>
              <w:t>sa</w:t>
            </w:r>
            <w:proofErr w:type="spellEnd"/>
            <w:r>
              <w:rPr>
                <w:rFonts w:ascii="Open Sans" w:eastAsia="Open Sans" w:hAnsi="Open Sans" w:cs="Open Sans"/>
                <w:sz w:val="22"/>
                <w:szCs w:val="22"/>
              </w:rPr>
              <w:t xml:space="preserve"> Talaia</w:t>
            </w:r>
          </w:p>
        </w:tc>
        <w:tc>
          <w:tcPr>
            <w:tcW w:w="1620" w:type="dxa"/>
            <w:vAlign w:val="bottom"/>
          </w:tcPr>
          <w:p w14:paraId="1E9B1F29"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 xml:space="preserve">                           5.953 € </w:t>
            </w:r>
          </w:p>
        </w:tc>
        <w:tc>
          <w:tcPr>
            <w:tcW w:w="1425" w:type="dxa"/>
            <w:vAlign w:val="bottom"/>
          </w:tcPr>
          <w:p w14:paraId="40073718"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sz w:val="22"/>
                <w:szCs w:val="22"/>
              </w:rPr>
              <w:t>12,2%</w:t>
            </w:r>
          </w:p>
        </w:tc>
        <w:tc>
          <w:tcPr>
            <w:tcW w:w="1485" w:type="dxa"/>
            <w:vAlign w:val="bottom"/>
          </w:tcPr>
          <w:p w14:paraId="6FD96D55"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nov.-24</w:t>
            </w:r>
          </w:p>
        </w:tc>
        <w:tc>
          <w:tcPr>
            <w:tcW w:w="1425" w:type="dxa"/>
            <w:vAlign w:val="bottom"/>
          </w:tcPr>
          <w:p w14:paraId="03443903"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6.023 €</w:t>
            </w:r>
          </w:p>
        </w:tc>
      </w:tr>
      <w:tr w:rsidR="00A97C1F" w14:paraId="163F822F" w14:textId="77777777" w:rsidTr="00A9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vAlign w:val="bottom"/>
          </w:tcPr>
          <w:p w14:paraId="59FF06A8" w14:textId="77777777" w:rsidR="00A97C1F" w:rsidRDefault="00000000">
            <w:pPr>
              <w:spacing w:line="276" w:lineRule="auto"/>
              <w:jc w:val="both"/>
              <w:rPr>
                <w:rFonts w:ascii="Open Sans" w:eastAsia="Open Sans" w:hAnsi="Open Sans" w:cs="Open Sans"/>
                <w:color w:val="000000"/>
              </w:rPr>
            </w:pPr>
            <w:r>
              <w:rPr>
                <w:rFonts w:ascii="Open Sans" w:eastAsia="Open Sans" w:hAnsi="Open Sans" w:cs="Open Sans"/>
                <w:sz w:val="22"/>
                <w:szCs w:val="22"/>
              </w:rPr>
              <w:t>Baleares</w:t>
            </w:r>
          </w:p>
        </w:tc>
        <w:tc>
          <w:tcPr>
            <w:tcW w:w="1605" w:type="dxa"/>
            <w:vAlign w:val="bottom"/>
          </w:tcPr>
          <w:p w14:paraId="27AF444F"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Sant Antoni de Portmany</w:t>
            </w:r>
          </w:p>
        </w:tc>
        <w:tc>
          <w:tcPr>
            <w:tcW w:w="1620" w:type="dxa"/>
            <w:vAlign w:val="bottom"/>
          </w:tcPr>
          <w:p w14:paraId="09DC460C"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 xml:space="preserve">                           5.837 € </w:t>
            </w:r>
          </w:p>
        </w:tc>
        <w:tc>
          <w:tcPr>
            <w:tcW w:w="1425" w:type="dxa"/>
            <w:vAlign w:val="bottom"/>
          </w:tcPr>
          <w:p w14:paraId="6277E870"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sz w:val="22"/>
                <w:szCs w:val="22"/>
              </w:rPr>
              <w:t>28,5%</w:t>
            </w:r>
          </w:p>
        </w:tc>
        <w:tc>
          <w:tcPr>
            <w:tcW w:w="1485" w:type="dxa"/>
            <w:vAlign w:val="bottom"/>
          </w:tcPr>
          <w:p w14:paraId="2D1D05BA"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dic.-24</w:t>
            </w:r>
          </w:p>
        </w:tc>
        <w:tc>
          <w:tcPr>
            <w:tcW w:w="1425" w:type="dxa"/>
            <w:vAlign w:val="bottom"/>
          </w:tcPr>
          <w:p w14:paraId="4D717FC5"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5.837 €</w:t>
            </w:r>
          </w:p>
        </w:tc>
      </w:tr>
      <w:tr w:rsidR="00A97C1F" w14:paraId="4134F12B" w14:textId="77777777" w:rsidTr="00A97C1F">
        <w:tc>
          <w:tcPr>
            <w:cnfStyle w:val="001000000000" w:firstRow="0" w:lastRow="0" w:firstColumn="1" w:lastColumn="0" w:oddVBand="0" w:evenVBand="0" w:oddHBand="0" w:evenHBand="0" w:firstRowFirstColumn="0" w:firstRowLastColumn="0" w:lastRowFirstColumn="0" w:lastRowLastColumn="0"/>
            <w:tcW w:w="1365" w:type="dxa"/>
            <w:vAlign w:val="bottom"/>
          </w:tcPr>
          <w:p w14:paraId="1D7201D8" w14:textId="77777777" w:rsidR="00A97C1F" w:rsidRDefault="00000000">
            <w:pPr>
              <w:spacing w:line="276" w:lineRule="auto"/>
              <w:jc w:val="both"/>
              <w:rPr>
                <w:rFonts w:ascii="Open Sans" w:eastAsia="Open Sans" w:hAnsi="Open Sans" w:cs="Open Sans"/>
                <w:color w:val="000000"/>
              </w:rPr>
            </w:pPr>
            <w:r>
              <w:rPr>
                <w:rFonts w:ascii="Open Sans" w:eastAsia="Open Sans" w:hAnsi="Open Sans" w:cs="Open Sans"/>
                <w:sz w:val="22"/>
                <w:szCs w:val="22"/>
              </w:rPr>
              <w:t>Baleares</w:t>
            </w:r>
          </w:p>
        </w:tc>
        <w:tc>
          <w:tcPr>
            <w:tcW w:w="1605" w:type="dxa"/>
            <w:vAlign w:val="bottom"/>
          </w:tcPr>
          <w:p w14:paraId="39BD7ADC"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Andratx</w:t>
            </w:r>
          </w:p>
        </w:tc>
        <w:tc>
          <w:tcPr>
            <w:tcW w:w="1620" w:type="dxa"/>
            <w:vAlign w:val="bottom"/>
          </w:tcPr>
          <w:p w14:paraId="351F1706"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 xml:space="preserve">                           5.746 € </w:t>
            </w:r>
          </w:p>
        </w:tc>
        <w:tc>
          <w:tcPr>
            <w:tcW w:w="1425" w:type="dxa"/>
            <w:vAlign w:val="bottom"/>
          </w:tcPr>
          <w:p w14:paraId="04C31780"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sz w:val="22"/>
                <w:szCs w:val="22"/>
              </w:rPr>
              <w:t>4,5%</w:t>
            </w:r>
          </w:p>
        </w:tc>
        <w:tc>
          <w:tcPr>
            <w:tcW w:w="1485" w:type="dxa"/>
            <w:vAlign w:val="bottom"/>
          </w:tcPr>
          <w:p w14:paraId="4B694691"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ago.-24</w:t>
            </w:r>
          </w:p>
        </w:tc>
        <w:tc>
          <w:tcPr>
            <w:tcW w:w="1425" w:type="dxa"/>
            <w:vAlign w:val="bottom"/>
          </w:tcPr>
          <w:p w14:paraId="20C503F1"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6.905 €</w:t>
            </w:r>
          </w:p>
        </w:tc>
      </w:tr>
      <w:tr w:rsidR="00A97C1F" w14:paraId="6ED9C799" w14:textId="77777777" w:rsidTr="00A97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vAlign w:val="bottom"/>
          </w:tcPr>
          <w:p w14:paraId="2714D670" w14:textId="77777777" w:rsidR="00A97C1F" w:rsidRDefault="00000000">
            <w:pPr>
              <w:spacing w:line="276" w:lineRule="auto"/>
              <w:jc w:val="both"/>
              <w:rPr>
                <w:rFonts w:ascii="Open Sans" w:eastAsia="Open Sans" w:hAnsi="Open Sans" w:cs="Open Sans"/>
                <w:color w:val="000000"/>
              </w:rPr>
            </w:pPr>
            <w:r>
              <w:rPr>
                <w:rFonts w:ascii="Open Sans" w:eastAsia="Open Sans" w:hAnsi="Open Sans" w:cs="Open Sans"/>
                <w:sz w:val="22"/>
                <w:szCs w:val="22"/>
              </w:rPr>
              <w:t>Cataluña</w:t>
            </w:r>
          </w:p>
        </w:tc>
        <w:tc>
          <w:tcPr>
            <w:tcW w:w="1605" w:type="dxa"/>
            <w:vAlign w:val="bottom"/>
          </w:tcPr>
          <w:p w14:paraId="65735C07"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Sant Just Desvern</w:t>
            </w:r>
          </w:p>
        </w:tc>
        <w:tc>
          <w:tcPr>
            <w:tcW w:w="1620" w:type="dxa"/>
            <w:vAlign w:val="bottom"/>
          </w:tcPr>
          <w:p w14:paraId="159E747A"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 xml:space="preserve">                           5.740 € </w:t>
            </w:r>
          </w:p>
        </w:tc>
        <w:tc>
          <w:tcPr>
            <w:tcW w:w="1425" w:type="dxa"/>
            <w:vAlign w:val="bottom"/>
          </w:tcPr>
          <w:p w14:paraId="7AE7306D"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sz w:val="22"/>
                <w:szCs w:val="22"/>
              </w:rPr>
              <w:t>36,6%</w:t>
            </w:r>
          </w:p>
        </w:tc>
        <w:tc>
          <w:tcPr>
            <w:tcW w:w="1485" w:type="dxa"/>
            <w:vAlign w:val="bottom"/>
          </w:tcPr>
          <w:p w14:paraId="1239CA13"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nov.-24</w:t>
            </w:r>
          </w:p>
        </w:tc>
        <w:tc>
          <w:tcPr>
            <w:tcW w:w="1425" w:type="dxa"/>
            <w:vAlign w:val="bottom"/>
          </w:tcPr>
          <w:p w14:paraId="4E09F3C6" w14:textId="77777777" w:rsidR="00A97C1F"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5.826 €</w:t>
            </w:r>
          </w:p>
        </w:tc>
      </w:tr>
      <w:tr w:rsidR="00A97C1F" w14:paraId="24AB6BC8" w14:textId="77777777" w:rsidTr="00A97C1F">
        <w:tc>
          <w:tcPr>
            <w:cnfStyle w:val="001000000000" w:firstRow="0" w:lastRow="0" w:firstColumn="1" w:lastColumn="0" w:oddVBand="0" w:evenVBand="0" w:oddHBand="0" w:evenHBand="0" w:firstRowFirstColumn="0" w:firstRowLastColumn="0" w:lastRowFirstColumn="0" w:lastRowLastColumn="0"/>
            <w:tcW w:w="1365" w:type="dxa"/>
            <w:vAlign w:val="bottom"/>
          </w:tcPr>
          <w:p w14:paraId="33CB1C2A" w14:textId="77777777" w:rsidR="00A97C1F" w:rsidRDefault="00000000">
            <w:pPr>
              <w:spacing w:line="276" w:lineRule="auto"/>
              <w:jc w:val="both"/>
              <w:rPr>
                <w:rFonts w:ascii="Open Sans" w:eastAsia="Open Sans" w:hAnsi="Open Sans" w:cs="Open Sans"/>
                <w:color w:val="000000"/>
              </w:rPr>
            </w:pPr>
            <w:r>
              <w:rPr>
                <w:rFonts w:ascii="Open Sans" w:eastAsia="Open Sans" w:hAnsi="Open Sans" w:cs="Open Sans"/>
                <w:sz w:val="22"/>
                <w:szCs w:val="22"/>
              </w:rPr>
              <w:t>Madrid</w:t>
            </w:r>
          </w:p>
        </w:tc>
        <w:tc>
          <w:tcPr>
            <w:tcW w:w="1605" w:type="dxa"/>
            <w:vAlign w:val="bottom"/>
          </w:tcPr>
          <w:p w14:paraId="12043A2C"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La Moraleja</w:t>
            </w:r>
          </w:p>
        </w:tc>
        <w:tc>
          <w:tcPr>
            <w:tcW w:w="1620" w:type="dxa"/>
            <w:vAlign w:val="bottom"/>
          </w:tcPr>
          <w:p w14:paraId="47386554"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 xml:space="preserve">                           5.600 € </w:t>
            </w:r>
          </w:p>
        </w:tc>
        <w:tc>
          <w:tcPr>
            <w:tcW w:w="1425" w:type="dxa"/>
            <w:vAlign w:val="bottom"/>
          </w:tcPr>
          <w:p w14:paraId="59941BF5"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9C0006"/>
                <w:sz w:val="22"/>
                <w:szCs w:val="22"/>
              </w:rPr>
              <w:t>-1,8%</w:t>
            </w:r>
          </w:p>
        </w:tc>
        <w:tc>
          <w:tcPr>
            <w:tcW w:w="1485" w:type="dxa"/>
            <w:vAlign w:val="bottom"/>
          </w:tcPr>
          <w:p w14:paraId="22017B0B"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ago.-24</w:t>
            </w:r>
          </w:p>
        </w:tc>
        <w:tc>
          <w:tcPr>
            <w:tcW w:w="1425" w:type="dxa"/>
            <w:vAlign w:val="bottom"/>
          </w:tcPr>
          <w:p w14:paraId="2DDA2432" w14:textId="77777777" w:rsidR="00A97C1F"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6.081 €</w:t>
            </w:r>
          </w:p>
        </w:tc>
      </w:tr>
    </w:tbl>
    <w:p w14:paraId="5F52946C" w14:textId="77777777" w:rsidR="00A97C1F" w:rsidRDefault="00A97C1F">
      <w:pPr>
        <w:spacing w:line="276" w:lineRule="auto"/>
        <w:jc w:val="both"/>
        <w:rPr>
          <w:rFonts w:ascii="Open Sans" w:eastAsia="Open Sans" w:hAnsi="Open Sans" w:cs="Open Sans"/>
          <w:color w:val="000000"/>
        </w:rPr>
      </w:pPr>
    </w:p>
    <w:p w14:paraId="7E14D8FC" w14:textId="77777777" w:rsidR="00A97C1F" w:rsidRDefault="00A97C1F">
      <w:pPr>
        <w:spacing w:line="276" w:lineRule="auto"/>
        <w:jc w:val="both"/>
        <w:rPr>
          <w:rFonts w:ascii="Open Sans" w:eastAsia="Open Sans" w:hAnsi="Open Sans" w:cs="Open Sans"/>
          <w:color w:val="000000"/>
        </w:rPr>
      </w:pPr>
    </w:p>
    <w:p w14:paraId="3ABDFFC3" w14:textId="77777777" w:rsidR="006424D9" w:rsidRDefault="006424D9">
      <w:pPr>
        <w:spacing w:line="276" w:lineRule="auto"/>
        <w:jc w:val="both"/>
        <w:rPr>
          <w:rFonts w:ascii="Open Sans" w:eastAsia="Open Sans" w:hAnsi="Open Sans" w:cs="Open Sans"/>
          <w:color w:val="000000"/>
        </w:rPr>
      </w:pPr>
    </w:p>
    <w:p w14:paraId="5D664790" w14:textId="77777777" w:rsidR="006424D9" w:rsidRDefault="006424D9">
      <w:pPr>
        <w:spacing w:line="276" w:lineRule="auto"/>
        <w:jc w:val="both"/>
        <w:rPr>
          <w:rFonts w:ascii="Open Sans" w:eastAsia="Open Sans" w:hAnsi="Open Sans" w:cs="Open Sans"/>
          <w:color w:val="000000"/>
        </w:rPr>
      </w:pPr>
    </w:p>
    <w:p w14:paraId="65D7A55C" w14:textId="77777777" w:rsidR="006424D9" w:rsidRDefault="006424D9">
      <w:pPr>
        <w:spacing w:line="276" w:lineRule="auto"/>
        <w:jc w:val="both"/>
        <w:rPr>
          <w:rFonts w:ascii="Open Sans" w:eastAsia="Open Sans" w:hAnsi="Open Sans" w:cs="Open Sans"/>
          <w:color w:val="000000"/>
        </w:rPr>
      </w:pPr>
    </w:p>
    <w:p w14:paraId="00D52F04" w14:textId="77777777" w:rsidR="00A97C1F" w:rsidRDefault="00000000">
      <w:pPr>
        <w:spacing w:line="276" w:lineRule="auto"/>
        <w:ind w:right="-142"/>
        <w:jc w:val="right"/>
        <w:rPr>
          <w:rFonts w:ascii="Open Sans Light" w:eastAsia="Open Sans Light" w:hAnsi="Open Sans Light" w:cs="Open Sans Light"/>
          <w:b/>
          <w:color w:val="303AB2"/>
        </w:rPr>
      </w:pPr>
      <w:bookmarkStart w:id="0" w:name="_heading=h.1fob9te" w:colFirst="0" w:colLast="0"/>
      <w:bookmarkEnd w:id="0"/>
      <w:r>
        <w:rPr>
          <w:rFonts w:ascii="Open Sans Light" w:eastAsia="Open Sans Light" w:hAnsi="Open Sans Light" w:cs="Open Sans Light"/>
          <w:b/>
          <w:color w:val="303AB2"/>
        </w:rPr>
        <w:lastRenderedPageBreak/>
        <w:t>Sobre Fotocasa</w:t>
      </w:r>
    </w:p>
    <w:p w14:paraId="0D795C7C" w14:textId="77777777" w:rsidR="00A97C1F" w:rsidRDefault="00000000">
      <w:pPr>
        <w:shd w:val="clear" w:color="auto" w:fill="FFFFFF"/>
        <w:spacing w:before="280" w:after="280" w:line="276" w:lineRule="auto"/>
        <w:ind w:right="-142"/>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3DDC516" w14:textId="77777777" w:rsidR="00A97C1F" w:rsidRDefault="00000000">
      <w:pPr>
        <w:shd w:val="clear" w:color="auto" w:fill="FFFFFF"/>
        <w:spacing w:before="280" w:after="280" w:line="276" w:lineRule="auto"/>
        <w:ind w:right="-142"/>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6DDE9945" w14:textId="77777777" w:rsidR="00A97C1F" w:rsidRDefault="00000000">
      <w:pPr>
        <w:shd w:val="clear" w:color="auto" w:fill="FFFFFF"/>
        <w:spacing w:before="280" w:after="280" w:line="276" w:lineRule="auto"/>
        <w:ind w:right="-142"/>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0FAADE13" w14:textId="77777777" w:rsidR="00A97C1F" w:rsidRDefault="00A97C1F">
      <w:pPr>
        <w:spacing w:line="276" w:lineRule="auto"/>
        <w:ind w:right="-142"/>
        <w:jc w:val="right"/>
        <w:rPr>
          <w:rFonts w:ascii="Open Sans Light" w:eastAsia="Open Sans Light" w:hAnsi="Open Sans Light" w:cs="Open Sans Light"/>
          <w:b/>
          <w:color w:val="303AB2"/>
        </w:rPr>
      </w:pPr>
    </w:p>
    <w:p w14:paraId="29162D49" w14:textId="77777777" w:rsidR="00A97C1F" w:rsidRDefault="00000000">
      <w:pPr>
        <w:spacing w:line="276" w:lineRule="auto"/>
        <w:ind w:right="-142"/>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52D40DB4" w14:textId="77777777" w:rsidR="00A97C1F" w:rsidRDefault="00000000">
      <w:pPr>
        <w:spacing w:before="143" w:after="200"/>
        <w:ind w:right="-142"/>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2C1E9778" w14:textId="77777777" w:rsidR="00A97C1F" w:rsidRDefault="00000000">
      <w:pPr>
        <w:spacing w:before="143" w:after="200"/>
        <w:ind w:right="-142"/>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2CA5B1B5" w14:textId="77777777" w:rsidR="00A97C1F" w:rsidRDefault="00000000">
      <w:pPr>
        <w:spacing w:before="143" w:after="200"/>
        <w:ind w:right="-142"/>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6B9F41CC" w14:textId="77777777" w:rsidR="00A97C1F" w:rsidRDefault="00000000">
      <w:pPr>
        <w:spacing w:before="143" w:after="200"/>
        <w:ind w:right="-142"/>
        <w:jc w:val="both"/>
        <w:rPr>
          <w:rFonts w:ascii="Open Sans" w:eastAsia="Open Sans" w:hAnsi="Open Sans" w:cs="Open Sans"/>
        </w:rPr>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57AC0F2B" w14:textId="77777777" w:rsidR="00A97C1F" w:rsidRDefault="00A97C1F">
      <w:pPr>
        <w:spacing w:line="276" w:lineRule="auto"/>
        <w:ind w:right="-142"/>
        <w:jc w:val="right"/>
        <w:rPr>
          <w:rFonts w:ascii="Open Sans" w:eastAsia="Open Sans" w:hAnsi="Open Sans" w:cs="Open Sans"/>
        </w:rPr>
      </w:pPr>
    </w:p>
    <w:p w14:paraId="7ECEB95D" w14:textId="77777777" w:rsidR="00A97C1F" w:rsidRDefault="00A97C1F">
      <w:pPr>
        <w:spacing w:line="276" w:lineRule="auto"/>
        <w:ind w:right="-142"/>
        <w:jc w:val="right"/>
        <w:rPr>
          <w:rFonts w:ascii="Open Sans" w:eastAsia="Open Sans" w:hAnsi="Open Sans" w:cs="Open Sans"/>
        </w:rPr>
      </w:pPr>
    </w:p>
    <w:p w14:paraId="5BAA0F55" w14:textId="77777777" w:rsidR="00A97C1F" w:rsidRDefault="00000000">
      <w:pPr>
        <w:spacing w:line="276" w:lineRule="auto"/>
        <w:ind w:right="-142"/>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61B151C" w14:textId="77777777" w:rsidR="00A97C1F" w:rsidRDefault="00000000">
      <w:pPr>
        <w:shd w:val="clear" w:color="auto" w:fill="FFFFFF"/>
        <w:spacing w:line="276" w:lineRule="auto"/>
        <w:ind w:right="-142"/>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80595DB" w14:textId="77777777" w:rsidR="00A97C1F" w:rsidRDefault="00000000">
      <w:pPr>
        <w:shd w:val="clear" w:color="auto" w:fill="FFFFFF"/>
        <w:spacing w:line="276" w:lineRule="auto"/>
        <w:ind w:right="-142"/>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0952E5BA" w14:textId="77777777" w:rsidR="00A97C1F" w:rsidRDefault="00000000">
      <w:pPr>
        <w:shd w:val="clear" w:color="auto" w:fill="FFFFFF"/>
        <w:spacing w:line="276" w:lineRule="auto"/>
        <w:ind w:right="-142"/>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C43CB17" w14:textId="77777777" w:rsidR="00A97C1F" w:rsidRDefault="00A97C1F">
      <w:pPr>
        <w:spacing w:line="276" w:lineRule="auto"/>
        <w:ind w:right="-142"/>
        <w:rPr>
          <w:rFonts w:ascii="Open Sans Light" w:eastAsia="Open Sans Light" w:hAnsi="Open Sans Light" w:cs="Open Sans Light"/>
          <w:b/>
          <w:color w:val="303AB2"/>
          <w:sz w:val="22"/>
          <w:szCs w:val="22"/>
        </w:rPr>
      </w:pPr>
    </w:p>
    <w:p w14:paraId="5FD305DF" w14:textId="77777777" w:rsidR="00A97C1F" w:rsidRDefault="00A97C1F">
      <w:pPr>
        <w:spacing w:line="276" w:lineRule="auto"/>
        <w:ind w:right="-142"/>
        <w:rPr>
          <w:rFonts w:ascii="Open Sans Light" w:eastAsia="Open Sans Light" w:hAnsi="Open Sans Light" w:cs="Open Sans Light"/>
          <w:b/>
          <w:color w:val="303AB2"/>
          <w:sz w:val="22"/>
          <w:szCs w:val="22"/>
        </w:rPr>
      </w:pPr>
    </w:p>
    <w:p w14:paraId="3D953805" w14:textId="77777777" w:rsidR="00A97C1F" w:rsidRDefault="00A97C1F">
      <w:pPr>
        <w:shd w:val="clear" w:color="auto" w:fill="FFFFFF"/>
        <w:ind w:right="-142"/>
        <w:rPr>
          <w:rFonts w:ascii="Open Sans" w:eastAsia="Open Sans" w:hAnsi="Open Sans" w:cs="Open Sans"/>
          <w:color w:val="000000"/>
          <w:sz w:val="22"/>
          <w:szCs w:val="22"/>
        </w:rPr>
      </w:pPr>
    </w:p>
    <w:p w14:paraId="2092E2E6" w14:textId="77777777" w:rsidR="00A97C1F" w:rsidRDefault="00A97C1F">
      <w:pPr>
        <w:spacing w:line="276" w:lineRule="auto"/>
        <w:ind w:right="-142"/>
        <w:jc w:val="right"/>
      </w:pPr>
    </w:p>
    <w:sectPr w:rsidR="00A97C1F">
      <w:footerReference w:type="default" r:id="rId22"/>
      <w:pgSz w:w="11900" w:h="16840"/>
      <w:pgMar w:top="1417" w:right="1410"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59437" w14:textId="77777777" w:rsidR="00C60BBE" w:rsidRDefault="00C60BBE">
      <w:r>
        <w:separator/>
      </w:r>
    </w:p>
  </w:endnote>
  <w:endnote w:type="continuationSeparator" w:id="0">
    <w:p w14:paraId="1BC2CC7E" w14:textId="77777777" w:rsidR="00C60BBE" w:rsidRDefault="00C60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BB74BB6-6082-42EB-B206-4B3A83CE82B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57EB769-0AFA-475A-B672-F0390D59B055}"/>
    <w:embedBold r:id="rId3" w:fontKey="{FD3E31A6-0434-407D-A4C7-6749513BF98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66D4B064-15C2-4F4C-9986-728E2BFD345E}"/>
  </w:font>
  <w:font w:name="Georgia">
    <w:panose1 w:val="02040502050405020303"/>
    <w:charset w:val="00"/>
    <w:family w:val="roman"/>
    <w:pitch w:val="variable"/>
    <w:sig w:usb0="00000287" w:usb1="00000000" w:usb2="00000000" w:usb3="00000000" w:csb0="0000009F" w:csb1="00000000"/>
    <w:embedRegular r:id="rId5" w:fontKey="{E08EF721-0FB4-406D-938A-49FCC5B53BBD}"/>
    <w:embedItalic r:id="rId6" w:fontKey="{6B530264-80A6-4BC7-A1EE-13213D3B179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9E40AD4F-DF42-4F89-BEBA-119FBBBC056F}"/>
    <w:embedBold r:id="rId8" w:fontKey="{11B7AA27-2343-4D6E-9548-3CEE86FBD139}"/>
    <w:embedItalic r:id="rId9" w:fontKey="{3F41D7B7-F141-410A-949F-9688A7F67D3E}"/>
    <w:embedBoldItalic r:id="rId10" w:fontKey="{9A024246-0411-4725-A20B-0080D8A6ED7E}"/>
  </w:font>
  <w:font w:name="Open Sans Light">
    <w:charset w:val="00"/>
    <w:family w:val="swiss"/>
    <w:pitch w:val="variable"/>
    <w:sig w:usb0="E00002EF" w:usb1="4000205B" w:usb2="00000028" w:usb3="00000000" w:csb0="0000019F" w:csb1="00000000"/>
    <w:embedRegular r:id="rId11" w:fontKey="{E1F9D07B-F66C-41D1-9C42-FDD52F93E33A}"/>
    <w:embedBold r:id="rId12" w:fontKey="{C7AC381C-57CB-468F-AA0E-F45788227563}"/>
  </w:font>
  <w:font w:name="Calibri Light">
    <w:panose1 w:val="020F0302020204030204"/>
    <w:charset w:val="00"/>
    <w:family w:val="swiss"/>
    <w:pitch w:val="variable"/>
    <w:sig w:usb0="E4002EFF" w:usb1="C000247B" w:usb2="00000009" w:usb3="00000000" w:csb0="000001FF" w:csb1="00000000"/>
    <w:embedRegular r:id="rId13" w:fontKey="{3CAEFEB4-2734-4709-A304-E73BAB91BB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FB6F7" w14:textId="77777777" w:rsidR="00A97C1F" w:rsidRDefault="00A97C1F">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A4AA8" w14:textId="77777777" w:rsidR="00C60BBE" w:rsidRDefault="00C60BBE">
      <w:r>
        <w:separator/>
      </w:r>
    </w:p>
  </w:footnote>
  <w:footnote w:type="continuationSeparator" w:id="0">
    <w:p w14:paraId="1BE4E1F8" w14:textId="77777777" w:rsidR="00C60BBE" w:rsidRDefault="00C60B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81344B"/>
    <w:multiLevelType w:val="multilevel"/>
    <w:tmpl w:val="B6682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56479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C1F"/>
    <w:rsid w:val="006424D9"/>
    <w:rsid w:val="00A97C1F"/>
    <w:rsid w:val="00C60BBE"/>
    <w:rsid w:val="00CB30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8E7C"/>
  <w15:docId w15:val="{9B60BF40-657A-4C19-9919-C82A12A4A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D7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inespaciado">
    <w:name w:val="No Spacing"/>
    <w:uiPriority w:val="1"/>
    <w:qFormat/>
    <w:rsid w:val="00596244"/>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Mencinsinresolver">
    <w:name w:val="Unresolved Mention"/>
    <w:basedOn w:val="Fuentedeprrafopredeter"/>
    <w:uiPriority w:val="99"/>
    <w:semiHidden/>
    <w:unhideWhenUsed/>
    <w:rsid w:val="00FE44F2"/>
    <w:rPr>
      <w:color w:val="605E5C"/>
      <w:shd w:val="clear" w:color="auto" w:fill="E1DFDD"/>
    </w:rPr>
  </w:style>
  <w:style w:type="table" w:styleId="Tablaconcuadrcula">
    <w:name w:val="Table Grid"/>
    <w:basedOn w:val="Tablanormal"/>
    <w:uiPriority w:val="39"/>
    <w:rsid w:val="009D6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6">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s36360.pcdn.co/wp-content/uploads/2025/01/La-vivienda-en-venta-en-2024.pdf" TargetMode="External"/><Relationship Id="rId14" Type="http://schemas.openxmlformats.org/officeDocument/2006/relationships/hyperlink" Target="http://prensa.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byuEgqGRtWYIE89Hz0KcNQO0PA==">CgMxLjAyCWguMWZvYjl0ZTIJaC4yczhleW8xOAByITEzT203dDFQZDl0OTU2OXJMMldqU1RmNENpbFhEbkRHdQ==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1058</Words>
  <Characters>5825</Characters>
  <Application>Microsoft Office Word</Application>
  <DocSecurity>0</DocSecurity>
  <Lines>48</Lines>
  <Paragraphs>13</Paragraphs>
  <ScaleCrop>false</ScaleCrop>
  <Company/>
  <LinksUpToDate>false</LinksUpToDate>
  <CharactersWithSpaces>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2</cp:revision>
  <dcterms:created xsi:type="dcterms:W3CDTF">2020-01-08T11:42:00Z</dcterms:created>
  <dcterms:modified xsi:type="dcterms:W3CDTF">2025-01-13T10:35:00Z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2024-12-20T18:02:48Z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60f63d4c-f39e-4b29-bc17-8d93ad9d41c2</vt:lpwstr>
  </property>
  <property fmtid="{D5CDD505-2E9C-101B-9397-08002B2CF9AE}" pid="8" name="MSIP_Label_defa4170-0d19-0005-0004-bc88714345d2_ContentBits">
    <vt:lpwstr>0</vt:lpwstr>
  </property>
</Properties>
</file>