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ind w:right="-5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-739769</wp:posOffset>
            </wp:positionH>
            <wp:positionV relativeFrom="paragraph">
              <wp:posOffset>0</wp:posOffset>
            </wp:positionV>
            <wp:extent cx="2939415" cy="1019175"/>
            <wp:effectExtent b="0" l="0" r="0" t="0"/>
            <wp:wrapNone/>
            <wp:docPr id="1568227946" name="image3.png"/>
            <a:graphic>
              <a:graphicData uri="http://schemas.openxmlformats.org/drawingml/2006/picture">
                <pic:pic>
                  <pic:nvPicPr>
                    <pic:cNvPr id="0" name="image3.png"/>
                    <pic:cNvPicPr preferRelativeResize="0"/>
                  </pic:nvPicPr>
                  <pic:blipFill>
                    <a:blip r:embed="rId7"/>
                    <a:srcRect b="0" l="-1338" r="62569" t="0"/>
                    <a:stretch>
                      <a:fillRect/>
                    </a:stretch>
                  </pic:blipFill>
                  <pic:spPr>
                    <a:xfrm>
                      <a:off x="0" y="0"/>
                      <a:ext cx="2939415" cy="1019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3682365</wp:posOffset>
            </wp:positionH>
            <wp:positionV relativeFrom="paragraph">
              <wp:posOffset>157480</wp:posOffset>
            </wp:positionV>
            <wp:extent cx="2352040" cy="895350"/>
            <wp:effectExtent b="0" l="0" r="0" t="0"/>
            <wp:wrapSquare wrapText="bothSides" distB="0" distT="0" distL="114300" distR="114300"/>
            <wp:docPr id="156822794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352040" cy="895350"/>
                    </a:xfrm>
                    <a:prstGeom prst="rect"/>
                    <a:ln/>
                  </pic:spPr>
                </pic:pic>
              </a:graphicData>
            </a:graphic>
          </wp:anchor>
        </w:drawing>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ind w:right="-560"/>
        <w:rPr/>
      </w:pPr>
      <w:r w:rsidDel="00000000" w:rsidR="00000000" w:rsidRPr="00000000">
        <w:rPr>
          <w:rtl w:val="0"/>
        </w:rPr>
      </w:r>
    </w:p>
    <w:p w:rsidR="00000000" w:rsidDel="00000000" w:rsidP="00000000" w:rsidRDefault="00000000" w:rsidRPr="00000000" w14:paraId="00000003">
      <w:pPr>
        <w:ind w:right="-560"/>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ind w:right="-560"/>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5">
      <w:pPr>
        <w:ind w:right="-560"/>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6">
      <w:pPr>
        <w:ind w:right="-560"/>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7">
      <w:pPr>
        <w:spacing w:line="276" w:lineRule="auto"/>
        <w:ind w:right="-560"/>
        <w:jc w:val="center"/>
        <w:rPr>
          <w:rFonts w:ascii="National" w:cs="National" w:eastAsia="National" w:hAnsi="National"/>
          <w:b w:val="1"/>
          <w:color w:val="1dbdc5"/>
          <w:sz w:val="42"/>
          <w:szCs w:val="42"/>
        </w:rPr>
      </w:pPr>
      <w:r w:rsidDel="00000000" w:rsidR="00000000" w:rsidRPr="00000000">
        <w:rPr>
          <w:rFonts w:ascii="National" w:cs="National" w:eastAsia="National" w:hAnsi="National"/>
          <w:b w:val="1"/>
          <w:color w:val="1dbdc5"/>
          <w:sz w:val="32"/>
          <w:szCs w:val="32"/>
          <w:rtl w:val="0"/>
        </w:rPr>
        <w:t xml:space="preserve">ÍNDICE PREDICTIVO DE PRECIOS “SMARTPRICE”</w:t>
      </w:r>
      <w:r w:rsidDel="00000000" w:rsidR="00000000" w:rsidRPr="00000000">
        <w:rPr>
          <w:rtl w:val="0"/>
        </w:rPr>
      </w:r>
    </w:p>
    <w:p w:rsidR="00000000" w:rsidDel="00000000" w:rsidP="00000000" w:rsidRDefault="00000000" w:rsidRPr="00000000" w14:paraId="00000008">
      <w:pPr>
        <w:ind w:right="-560"/>
        <w:jc w:val="center"/>
        <w:rPr>
          <w:rFonts w:ascii="National" w:cs="National" w:eastAsia="National" w:hAnsi="National"/>
          <w:b w:val="1"/>
          <w:color w:val="002060"/>
          <w:sz w:val="46"/>
          <w:szCs w:val="46"/>
        </w:rPr>
      </w:pPr>
      <w:r w:rsidDel="00000000" w:rsidR="00000000" w:rsidRPr="00000000">
        <w:rPr>
          <w:rFonts w:ascii="National" w:cs="National" w:eastAsia="National" w:hAnsi="National"/>
          <w:b w:val="1"/>
          <w:color w:val="002060"/>
          <w:sz w:val="46"/>
          <w:szCs w:val="46"/>
          <w:rtl w:val="0"/>
        </w:rPr>
        <w:t xml:space="preserve">La IA prevé que Santander, Lugo y Alicante registrarán las mayores subidas de precios de compraventa al cierre del primer trimestre</w:t>
      </w:r>
    </w:p>
    <w:p w:rsidR="00000000" w:rsidDel="00000000" w:rsidP="00000000" w:rsidRDefault="00000000" w:rsidRPr="00000000" w14:paraId="00000009">
      <w:pPr>
        <w:spacing w:line="276" w:lineRule="auto"/>
        <w:ind w:right="-560"/>
        <w:jc w:val="both"/>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0A">
      <w:pPr>
        <w:numPr>
          <w:ilvl w:val="0"/>
          <w:numId w:val="1"/>
        </w:numPr>
        <w:spacing w:line="276" w:lineRule="auto"/>
        <w:ind w:left="720" w:right="-560" w:hanging="360"/>
        <w:jc w:val="both"/>
        <w:rPr>
          <w:rFonts w:ascii="Open Sans" w:cs="Open Sans" w:eastAsia="Open Sans" w:hAnsi="Open Sans"/>
          <w:color w:val="002060"/>
        </w:rPr>
      </w:pPr>
      <w:r w:rsidDel="00000000" w:rsidR="00000000" w:rsidRPr="00000000">
        <w:rPr>
          <w:rFonts w:ascii="Open Sans" w:cs="Open Sans" w:eastAsia="Open Sans" w:hAnsi="Open Sans"/>
          <w:color w:val="002060"/>
          <w:rtl w:val="0"/>
        </w:rPr>
        <w:t xml:space="preserve">Por contra, capitales de provincia como Ávila (-6,1%), Segovia (-6,6%) y Vigo (-7,5%) experimentarán los mayores descensos trimestrales de precios</w:t>
      </w:r>
    </w:p>
    <w:p w:rsidR="00000000" w:rsidDel="00000000" w:rsidP="00000000" w:rsidRDefault="00000000" w:rsidRPr="00000000" w14:paraId="0000000B">
      <w:pPr>
        <w:numPr>
          <w:ilvl w:val="0"/>
          <w:numId w:val="1"/>
        </w:numPr>
        <w:spacing w:line="276" w:lineRule="auto"/>
        <w:ind w:left="720" w:right="-560" w:hanging="360"/>
        <w:jc w:val="both"/>
        <w:rPr>
          <w:rFonts w:ascii="Open Sans" w:cs="Open Sans" w:eastAsia="Open Sans" w:hAnsi="Open Sans"/>
          <w:color w:val="002060"/>
        </w:rPr>
      </w:pPr>
      <w:r w:rsidDel="00000000" w:rsidR="00000000" w:rsidRPr="00000000">
        <w:rPr>
          <w:rFonts w:ascii="Open Sans" w:cs="Open Sans" w:eastAsia="Open Sans" w:hAnsi="Open Sans"/>
          <w:color w:val="002060"/>
          <w:rtl w:val="0"/>
        </w:rPr>
        <w:t xml:space="preserve">La innovadora herramienta DataVenues, desarrollada por Fotocasa, ofrece la posibilidad de adelantarse al comportamiento del mercado inmobiliario gracias a un análisis combinado de Big Data e Inteligencia Artificial</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276" w:lineRule="auto"/>
        <w:ind w:left="720" w:right="-560" w:hanging="360"/>
        <w:jc w:val="both"/>
        <w:rPr>
          <w:rFonts w:ascii="Open Sans Light" w:cs="Open Sans Light" w:eastAsia="Open Sans Light" w:hAnsi="Open Sans Light"/>
          <w:b w:val="1"/>
          <w:color w:val="002060"/>
        </w:rPr>
      </w:pPr>
      <w:r w:rsidDel="00000000" w:rsidR="00000000" w:rsidRPr="00000000">
        <w:rPr>
          <w:rFonts w:ascii="Open Sans" w:cs="Open Sans" w:eastAsia="Open Sans" w:hAnsi="Open Sans"/>
          <w:color w:val="002060"/>
          <w:rtl w:val="0"/>
        </w:rPr>
        <w:t xml:space="preserve">Fotocasa publicará trimestralmente las previsiones sobre compraventa y alquiler que realice esta revolucionaria herramienta tecnológica</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ind w:left="720" w:right="-560" w:firstLine="0"/>
        <w:jc w:val="both"/>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0E">
      <w:pPr>
        <w:spacing w:line="276" w:lineRule="auto"/>
        <w:ind w:right="-560"/>
        <w:rPr>
          <w:rFonts w:ascii="Open Sans" w:cs="Open Sans" w:eastAsia="Open Sans" w:hAnsi="Open Sans"/>
          <w:b w:val="1"/>
          <w:color w:val="002060"/>
          <w:sz w:val="22"/>
          <w:szCs w:val="22"/>
        </w:rPr>
      </w:pPr>
      <w:r w:rsidDel="00000000" w:rsidR="00000000" w:rsidRPr="00000000">
        <w:rPr>
          <w:rFonts w:ascii="Open Sans" w:cs="Open Sans" w:eastAsia="Open Sans" w:hAnsi="Open Sans"/>
          <w:b w:val="1"/>
          <w:color w:val="002060"/>
          <w:sz w:val="22"/>
          <w:szCs w:val="22"/>
          <w:rtl w:val="0"/>
        </w:rPr>
        <w:t xml:space="preserve">Madrid, 23 de enero de 2025</w:t>
      </w:r>
    </w:p>
    <w:p w:rsidR="00000000" w:rsidDel="00000000" w:rsidP="00000000" w:rsidRDefault="00000000" w:rsidRPr="00000000" w14:paraId="0000000F">
      <w:pPr>
        <w:spacing w:line="276" w:lineRule="auto"/>
        <w:ind w:right="-56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0">
      <w:pPr>
        <w:spacing w:line="276" w:lineRule="auto"/>
        <w:ind w:right="-560"/>
        <w:jc w:val="both"/>
        <w:rPr>
          <w:rFonts w:ascii="Open Sans" w:cs="Open Sans" w:eastAsia="Open Sans" w:hAnsi="Open Sans"/>
          <w:color w:val="262626"/>
          <w:sz w:val="22"/>
          <w:szCs w:val="22"/>
        </w:rPr>
      </w:pPr>
      <w:bookmarkStart w:colFirst="0" w:colLast="0" w:name="_heading=h.30j0zll" w:id="1"/>
      <w:bookmarkEnd w:id="1"/>
      <w:r w:rsidDel="00000000" w:rsidR="00000000" w:rsidRPr="00000000">
        <w:rPr>
          <w:rFonts w:ascii="Open Sans" w:cs="Open Sans" w:eastAsia="Open Sans" w:hAnsi="Open Sans"/>
          <w:color w:val="262626"/>
          <w:sz w:val="22"/>
          <w:szCs w:val="22"/>
          <w:rtl w:val="0"/>
        </w:rPr>
        <w:t xml:space="preserve">La Inteligencia Artificial prevé que las ciudades de Santander (+6,6%), Lugo (+5,4%) y Alicante (+4,9%) registrarán las mayores subidas de precios de compraventa de viviendas de toda España a nivel trimestral (es decir, comparando la evolución estimada entre 1 de enero y 31 de marzo de 2025). </w:t>
      </w:r>
      <w:r w:rsidDel="00000000" w:rsidR="00000000" w:rsidRPr="00000000">
        <w:rPr>
          <w:rFonts w:ascii="Open Sans" w:cs="Open Sans" w:eastAsia="Open Sans" w:hAnsi="Open Sans"/>
          <w:b w:val="1"/>
          <w:color w:val="262626"/>
          <w:sz w:val="22"/>
          <w:szCs w:val="22"/>
          <w:rtl w:val="0"/>
        </w:rPr>
        <w:t xml:space="preserve">Estas son las principales estimaciones del algoritmo inmobiliario </w:t>
      </w:r>
      <w:r w:rsidDel="00000000" w:rsidR="00000000" w:rsidRPr="00000000">
        <w:rPr>
          <w:rFonts w:ascii="Open Sans" w:cs="Open Sans" w:eastAsia="Open Sans" w:hAnsi="Open Sans"/>
          <w:b w:val="1"/>
          <w:i w:val="1"/>
          <w:color w:val="262626"/>
          <w:sz w:val="22"/>
          <w:szCs w:val="22"/>
          <w:rtl w:val="0"/>
        </w:rPr>
        <w:t xml:space="preserve">SmartPrice</w:t>
      </w:r>
      <w:r w:rsidDel="00000000" w:rsidR="00000000" w:rsidRPr="00000000">
        <w:rPr>
          <w:rFonts w:ascii="Open Sans" w:cs="Open Sans" w:eastAsia="Open Sans" w:hAnsi="Open Sans"/>
          <w:b w:val="1"/>
          <w:color w:val="262626"/>
          <w:sz w:val="22"/>
          <w:szCs w:val="22"/>
          <w:rtl w:val="0"/>
        </w:rPr>
        <w:t xml:space="preserve"> que </w:t>
      </w:r>
      <w:hyperlink r:id="rId9">
        <w:r w:rsidDel="00000000" w:rsidR="00000000" w:rsidRPr="00000000">
          <w:rPr>
            <w:rFonts w:ascii="Open Sans" w:cs="Open Sans" w:eastAsia="Open Sans" w:hAnsi="Open Sans"/>
            <w:b w:val="1"/>
            <w:color w:val="0000ff"/>
            <w:sz w:val="22"/>
            <w:szCs w:val="22"/>
            <w:u w:val="single"/>
            <w:rtl w:val="0"/>
          </w:rPr>
          <w:t xml:space="preserve">Fotocasa</w:t>
        </w:r>
      </w:hyperlink>
      <w:r w:rsidDel="00000000" w:rsidR="00000000" w:rsidRPr="00000000">
        <w:rPr>
          <w:rFonts w:ascii="Open Sans" w:cs="Open Sans" w:eastAsia="Open Sans" w:hAnsi="Open Sans"/>
          <w:b w:val="1"/>
          <w:color w:val="262626"/>
          <w:sz w:val="22"/>
          <w:szCs w:val="22"/>
          <w:rtl w:val="0"/>
        </w:rPr>
        <w:t xml:space="preserve">, gracias a su innovadora herramienta de datos </w:t>
      </w:r>
      <w:hyperlink r:id="rId10">
        <w:r w:rsidDel="00000000" w:rsidR="00000000" w:rsidRPr="00000000">
          <w:rPr>
            <w:rFonts w:ascii="Open Sans" w:cs="Open Sans" w:eastAsia="Open Sans" w:hAnsi="Open Sans"/>
            <w:b w:val="1"/>
            <w:color w:val="0000ff"/>
            <w:sz w:val="22"/>
            <w:szCs w:val="22"/>
            <w:u w:val="single"/>
            <w:rtl w:val="0"/>
          </w:rPr>
          <w:t xml:space="preserve">DataVenues</w:t>
        </w:r>
      </w:hyperlink>
      <w:r w:rsidDel="00000000" w:rsidR="00000000" w:rsidRPr="00000000">
        <w:rPr>
          <w:rFonts w:ascii="Open Sans" w:cs="Open Sans" w:eastAsia="Open Sans" w:hAnsi="Open Sans"/>
          <w:b w:val="1"/>
          <w:color w:val="262626"/>
          <w:sz w:val="22"/>
          <w:szCs w:val="22"/>
          <w:rtl w:val="0"/>
        </w:rPr>
        <w:t xml:space="preserve">, ha desarrollado y que permite adelantarse al comportamiento del mercado y prever la evolución de los precios en el sector de la vivienda, tanto de compra como de alquiler, a nivel trimestral.</w:t>
      </w:r>
      <w:r w:rsidDel="00000000" w:rsidR="00000000" w:rsidRPr="00000000">
        <w:rPr>
          <w:rFonts w:ascii="Open Sans" w:cs="Open Sans" w:eastAsia="Open Sans" w:hAnsi="Open Sans"/>
          <w:color w:val="262626"/>
          <w:sz w:val="22"/>
          <w:szCs w:val="22"/>
          <w:rtl w:val="0"/>
        </w:rPr>
        <w:t xml:space="preserve"> </w:t>
      </w:r>
      <w:hyperlink r:id="rId11">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color w:val="262626"/>
          <w:sz w:val="22"/>
          <w:szCs w:val="22"/>
          <w:rtl w:val="0"/>
        </w:rPr>
        <w:t xml:space="preserve"> publicará trimestralmente las estimaciones de esta innovadora aplicación desplegada gracias al uso combinado de tecnologías como la Inteligencia Artificial y el Big Data, puestas al servicio del mercado inmobiliario.</w:t>
      </w:r>
    </w:p>
    <w:p w:rsidR="00000000" w:rsidDel="00000000" w:rsidP="00000000" w:rsidRDefault="00000000" w:rsidRPr="00000000" w14:paraId="00000011">
      <w:pPr>
        <w:spacing w:line="276" w:lineRule="auto"/>
        <w:ind w:right="-560"/>
        <w:jc w:val="both"/>
        <w:rPr>
          <w:rFonts w:ascii="Open Sans" w:cs="Open Sans" w:eastAsia="Open Sans" w:hAnsi="Open Sans"/>
          <w:color w:val="262626"/>
          <w:sz w:val="22"/>
          <w:szCs w:val="22"/>
        </w:rPr>
      </w:pPr>
      <w:r w:rsidDel="00000000" w:rsidR="00000000" w:rsidRPr="00000000">
        <w:rPr>
          <w:rtl w:val="0"/>
        </w:rPr>
      </w:r>
    </w:p>
    <w:p w:rsidR="00000000" w:rsidDel="00000000" w:rsidP="00000000" w:rsidRDefault="00000000" w:rsidRPr="00000000" w14:paraId="00000012">
      <w:pPr>
        <w:spacing w:line="276" w:lineRule="auto"/>
        <w:ind w:right="-560"/>
        <w:jc w:val="both"/>
        <w:rPr>
          <w:rFonts w:ascii="Open Sans" w:cs="Open Sans" w:eastAsia="Open Sans" w:hAnsi="Open Sans"/>
          <w:color w:val="262626"/>
          <w:sz w:val="22"/>
          <w:szCs w:val="22"/>
        </w:rPr>
      </w:pPr>
      <w:r w:rsidDel="00000000" w:rsidR="00000000" w:rsidRPr="00000000">
        <w:rPr>
          <w:rtl w:val="0"/>
        </w:rPr>
      </w:r>
    </w:p>
    <w:p w:rsidR="00000000" w:rsidDel="00000000" w:rsidP="00000000" w:rsidRDefault="00000000" w:rsidRPr="00000000" w14:paraId="00000013">
      <w:pPr>
        <w:spacing w:line="276" w:lineRule="auto"/>
        <w:ind w:right="-560"/>
        <w:jc w:val="both"/>
        <w:rPr>
          <w:rFonts w:ascii="Open Sans" w:cs="Open Sans" w:eastAsia="Open Sans" w:hAnsi="Open Sans"/>
          <w:b w:val="1"/>
          <w:color w:val="000000"/>
          <w:sz w:val="22"/>
          <w:szCs w:val="22"/>
        </w:rPr>
      </w:pPr>
      <w:r w:rsidDel="00000000" w:rsidR="00000000" w:rsidRPr="00000000">
        <w:rPr>
          <w:rFonts w:ascii="Open Sans" w:cs="Open Sans" w:eastAsia="Open Sans" w:hAnsi="Open Sans"/>
          <w:color w:val="262626"/>
          <w:sz w:val="22"/>
          <w:szCs w:val="22"/>
          <w:rtl w:val="0"/>
        </w:rPr>
        <w:t xml:space="preserve">“El mercado inmobiliario en España está viviendo tiempos de gran dinamismo. En estos momentos, para todos los agentes involucrados en este sector, es más importante que nunca poder detectar cuáles serán las tendencias principales que moverán el mercado, especialmente en lo relativo a los precios de compra y alquiler. Fotocasa quiere contribuir a señalar e identificar estas tendencias: gracias a la combinación de la Inteligencia Artificial y el Big Data, la herramienta de DataVenues ofrece la posibilidad de saber cómo se va a comportar el mercado en los próximos meses. El algoritmo combina datos históricos de precios de la vivienda, junto con las cifras de oferta y demanda de cada zona para poder hacer una estimación a tres meses sobre cuál será la evolución de los precios en cada ciudad. Es un algoritmo que el equipo de DataVenues sigue entrenando día a día para conseguir tener la previsión de precios más fidedigna posible</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b w:val="1"/>
          <w:color w:val="000000"/>
          <w:sz w:val="22"/>
          <w:szCs w:val="22"/>
          <w:rtl w:val="0"/>
        </w:rPr>
        <w:t xml:space="preserve">comenta María Matos, directora de Estudios de </w:t>
      </w:r>
      <w:hyperlink r:id="rId12">
        <w:r w:rsidDel="00000000" w:rsidR="00000000" w:rsidRPr="00000000">
          <w:rPr>
            <w:rFonts w:ascii="Open Sans" w:cs="Open Sans" w:eastAsia="Open Sans" w:hAnsi="Open Sans"/>
            <w:b w:val="1"/>
            <w:color w:val="0000ff"/>
            <w:sz w:val="22"/>
            <w:szCs w:val="22"/>
            <w:u w:val="single"/>
            <w:rtl w:val="0"/>
          </w:rPr>
          <w:t xml:space="preserve">Fotocasa</w:t>
        </w:r>
      </w:hyperlink>
      <w:r w:rsidDel="00000000" w:rsidR="00000000" w:rsidRPr="00000000">
        <w:rPr>
          <w:rFonts w:ascii="Open Sans" w:cs="Open Sans" w:eastAsia="Open Sans" w:hAnsi="Open Sans"/>
          <w:b w:val="1"/>
          <w:color w:val="000000"/>
          <w:sz w:val="22"/>
          <w:szCs w:val="22"/>
          <w:rtl w:val="0"/>
        </w:rPr>
        <w:t xml:space="preserve">.</w:t>
      </w:r>
    </w:p>
    <w:p w:rsidR="00000000" w:rsidDel="00000000" w:rsidP="00000000" w:rsidRDefault="00000000" w:rsidRPr="00000000" w14:paraId="00000014">
      <w:pPr>
        <w:spacing w:line="276" w:lineRule="auto"/>
        <w:ind w:right="-560"/>
        <w:jc w:val="both"/>
        <w:rPr>
          <w:rFonts w:ascii="Open Sans" w:cs="Open Sans" w:eastAsia="Open Sans" w:hAnsi="Open Sans"/>
          <w:color w:val="262626"/>
          <w:sz w:val="22"/>
          <w:szCs w:val="22"/>
        </w:rPr>
      </w:pPr>
      <w:r w:rsidDel="00000000" w:rsidR="00000000" w:rsidRPr="00000000">
        <w:rPr>
          <w:rtl w:val="0"/>
        </w:rPr>
      </w:r>
    </w:p>
    <w:p w:rsidR="00000000" w:rsidDel="00000000" w:rsidP="00000000" w:rsidRDefault="00000000" w:rsidRPr="00000000" w14:paraId="00000015">
      <w:pPr>
        <w:spacing w:line="276" w:lineRule="auto"/>
        <w:ind w:right="-560"/>
        <w:rPr>
          <w:rFonts w:ascii="Open Sans" w:cs="Open Sans" w:eastAsia="Open Sans" w:hAnsi="Open Sans"/>
          <w:b w:val="1"/>
          <w:color w:val="002060"/>
        </w:rPr>
      </w:pPr>
      <w:r w:rsidDel="00000000" w:rsidR="00000000" w:rsidRPr="00000000">
        <w:rPr>
          <w:rFonts w:ascii="Open Sans" w:cs="Open Sans" w:eastAsia="Open Sans" w:hAnsi="Open Sans"/>
          <w:b w:val="1"/>
          <w:color w:val="002060"/>
          <w:rtl w:val="0"/>
        </w:rPr>
        <w:t xml:space="preserve">Ciudades con mayores incrementos trimestrales </w:t>
      </w:r>
    </w:p>
    <w:p w:rsidR="00000000" w:rsidDel="00000000" w:rsidP="00000000" w:rsidRDefault="00000000" w:rsidRPr="00000000" w14:paraId="00000016">
      <w:pPr>
        <w:spacing w:line="276" w:lineRule="auto"/>
        <w:ind w:right="-560"/>
        <w:jc w:val="both"/>
        <w:rPr>
          <w:rFonts w:ascii="Open Sans" w:cs="Open Sans" w:eastAsia="Open Sans" w:hAnsi="Open Sans"/>
          <w:color w:val="262626"/>
          <w:sz w:val="22"/>
          <w:szCs w:val="22"/>
        </w:rPr>
      </w:pPr>
      <w:r w:rsidDel="00000000" w:rsidR="00000000" w:rsidRPr="00000000">
        <w:rPr>
          <w:rtl w:val="0"/>
        </w:rPr>
      </w:r>
    </w:p>
    <w:p w:rsidR="00000000" w:rsidDel="00000000" w:rsidP="00000000" w:rsidRDefault="00000000" w:rsidRPr="00000000" w14:paraId="00000017">
      <w:pPr>
        <w:spacing w:line="276" w:lineRule="auto"/>
        <w:ind w:right="-560"/>
        <w:jc w:val="both"/>
        <w:rPr>
          <w:rFonts w:ascii="Open Sans" w:cs="Open Sans" w:eastAsia="Open Sans" w:hAnsi="Open Sans"/>
          <w:color w:val="262626"/>
          <w:sz w:val="22"/>
          <w:szCs w:val="22"/>
        </w:rPr>
      </w:pPr>
      <w:r w:rsidDel="00000000" w:rsidR="00000000" w:rsidRPr="00000000">
        <w:rPr>
          <w:rFonts w:ascii="Open Sans" w:cs="Open Sans" w:eastAsia="Open Sans" w:hAnsi="Open Sans"/>
          <w:color w:val="262626"/>
          <w:sz w:val="22"/>
          <w:szCs w:val="22"/>
          <w:rtl w:val="0"/>
        </w:rPr>
        <w:t xml:space="preserve">Tras las ciudades de Santander, Lugo y Alicante, otras capitales de provincia registrarán subidas en los precios de compraventa de viviendas en España a cierre del primer trimestre. Así, </w:t>
      </w:r>
      <w:r w:rsidDel="00000000" w:rsidR="00000000" w:rsidRPr="00000000">
        <w:rPr>
          <w:rFonts w:ascii="Open Sans" w:cs="Open Sans" w:eastAsia="Open Sans" w:hAnsi="Open Sans"/>
          <w:b w:val="1"/>
          <w:color w:val="262626"/>
          <w:sz w:val="22"/>
          <w:szCs w:val="22"/>
          <w:rtl w:val="0"/>
        </w:rPr>
        <w:t xml:space="preserve">el valor de un inmueble en Murcia capital se incrementará un 4,7%, seguida de Pontevedra (+4,4%), Toledo (+4,3%), y Oviedo (+3,9%).</w:t>
      </w:r>
      <w:r w:rsidDel="00000000" w:rsidR="00000000" w:rsidRPr="00000000">
        <w:rPr>
          <w:rFonts w:ascii="Open Sans" w:cs="Open Sans" w:eastAsia="Open Sans" w:hAnsi="Open Sans"/>
          <w:color w:val="262626"/>
          <w:sz w:val="22"/>
          <w:szCs w:val="22"/>
          <w:rtl w:val="0"/>
        </w:rPr>
        <w:t xml:space="preserve"> Según el algoritmo, estas capitales completarán el Top 10 de ciudades con mayores alzas de precios a nivel nacional: Castellón de la Plana (+3,7%), Burgos (+3,6%), y Barcelona (+3,5%).</w:t>
      </w:r>
    </w:p>
    <w:p w:rsidR="00000000" w:rsidDel="00000000" w:rsidP="00000000" w:rsidRDefault="00000000" w:rsidRPr="00000000" w14:paraId="00000018">
      <w:pPr>
        <w:spacing w:line="276" w:lineRule="auto"/>
        <w:ind w:right="-560"/>
        <w:jc w:val="both"/>
        <w:rPr>
          <w:rFonts w:ascii="Open Sans" w:cs="Open Sans" w:eastAsia="Open Sans" w:hAnsi="Open Sans"/>
          <w:color w:val="262626"/>
          <w:sz w:val="22"/>
          <w:szCs w:val="22"/>
        </w:rPr>
      </w:pPr>
      <w:r w:rsidDel="00000000" w:rsidR="00000000" w:rsidRPr="00000000">
        <w:rPr>
          <w:rtl w:val="0"/>
        </w:rPr>
      </w:r>
    </w:p>
    <w:p w:rsidR="00000000" w:rsidDel="00000000" w:rsidP="00000000" w:rsidRDefault="00000000" w:rsidRPr="00000000" w14:paraId="00000019">
      <w:pPr>
        <w:spacing w:line="276" w:lineRule="auto"/>
        <w:ind w:right="-560"/>
        <w:jc w:val="both"/>
        <w:rPr>
          <w:rFonts w:ascii="Open Sans" w:cs="Open Sans" w:eastAsia="Open Sans" w:hAnsi="Open Sans"/>
          <w:color w:val="262626"/>
          <w:sz w:val="22"/>
          <w:szCs w:val="22"/>
        </w:rPr>
      </w:pPr>
      <w:r w:rsidDel="00000000" w:rsidR="00000000" w:rsidRPr="00000000">
        <w:rPr/>
        <w:drawing>
          <wp:inline distB="0" distT="0" distL="0" distR="0">
            <wp:extent cx="5714828" cy="3273686"/>
            <wp:effectExtent b="0" l="0" r="0" t="0"/>
            <wp:docPr descr="Gráfico, Gráfico de barras, Histograma&#10;&#10;Descripción generada automáticamente" id="1568227949" name="image5.png"/>
            <a:graphic>
              <a:graphicData uri="http://schemas.openxmlformats.org/drawingml/2006/picture">
                <pic:pic>
                  <pic:nvPicPr>
                    <pic:cNvPr descr="Gráfico, Gráfico de barras, Histograma&#10;&#10;Descripción generada automáticamente" id="0" name="image5.png"/>
                    <pic:cNvPicPr preferRelativeResize="0"/>
                  </pic:nvPicPr>
                  <pic:blipFill>
                    <a:blip r:embed="rId13"/>
                    <a:srcRect b="0" l="0" r="0" t="0"/>
                    <a:stretch>
                      <a:fillRect/>
                    </a:stretch>
                  </pic:blipFill>
                  <pic:spPr>
                    <a:xfrm>
                      <a:off x="0" y="0"/>
                      <a:ext cx="5714828" cy="327368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ind w:right="-560"/>
        <w:jc w:val="both"/>
        <w:rPr>
          <w:rFonts w:ascii="Open Sans" w:cs="Open Sans" w:eastAsia="Open Sans" w:hAnsi="Open Sans"/>
          <w:color w:val="262626"/>
          <w:sz w:val="22"/>
          <w:szCs w:val="22"/>
        </w:rPr>
      </w:pPr>
      <w:r w:rsidDel="00000000" w:rsidR="00000000" w:rsidRPr="00000000">
        <w:rPr>
          <w:rtl w:val="0"/>
        </w:rPr>
      </w:r>
    </w:p>
    <w:p w:rsidR="00000000" w:rsidDel="00000000" w:rsidP="00000000" w:rsidRDefault="00000000" w:rsidRPr="00000000" w14:paraId="0000001B">
      <w:pPr>
        <w:spacing w:line="276" w:lineRule="auto"/>
        <w:ind w:right="-560"/>
        <w:jc w:val="both"/>
        <w:rPr>
          <w:rFonts w:ascii="Open Sans" w:cs="Open Sans" w:eastAsia="Open Sans" w:hAnsi="Open Sans"/>
          <w:color w:val="262626"/>
          <w:sz w:val="22"/>
          <w:szCs w:val="22"/>
        </w:rPr>
      </w:pPr>
      <w:r w:rsidDel="00000000" w:rsidR="00000000" w:rsidRPr="00000000">
        <w:rPr>
          <w:rFonts w:ascii="Open Sans" w:cs="Open Sans" w:eastAsia="Open Sans" w:hAnsi="Open Sans"/>
          <w:b w:val="1"/>
          <w:color w:val="262626"/>
          <w:sz w:val="22"/>
          <w:szCs w:val="22"/>
          <w:rtl w:val="0"/>
        </w:rPr>
        <w:t xml:space="preserve">En la zona más temperada de incrementos de precio se encontrarán ciudades como Palma (+3,4%), Cáceres (+3,2%), Valladolid (+3,1%), Madrid (+2,6%), Palencia (+2,6%), Sevilla (+2,5%), León (+2,1%), y Girona (+2,0%).</w:t>
      </w:r>
      <w:r w:rsidDel="00000000" w:rsidR="00000000" w:rsidRPr="00000000">
        <w:rPr>
          <w:rFonts w:ascii="Open Sans" w:cs="Open Sans" w:eastAsia="Open Sans" w:hAnsi="Open Sans"/>
          <w:color w:val="262626"/>
          <w:sz w:val="22"/>
          <w:szCs w:val="22"/>
          <w:rtl w:val="0"/>
        </w:rPr>
        <w:t xml:space="preserve"> A continuación, el algoritmo </w:t>
      </w:r>
      <w:r w:rsidDel="00000000" w:rsidR="00000000" w:rsidRPr="00000000">
        <w:rPr>
          <w:rFonts w:ascii="Open Sans" w:cs="Open Sans" w:eastAsia="Open Sans" w:hAnsi="Open Sans"/>
          <w:i w:val="1"/>
          <w:color w:val="262626"/>
          <w:sz w:val="22"/>
          <w:szCs w:val="22"/>
          <w:rtl w:val="0"/>
        </w:rPr>
        <w:t xml:space="preserve">SmartPrice</w:t>
      </w:r>
      <w:r w:rsidDel="00000000" w:rsidR="00000000" w:rsidRPr="00000000">
        <w:rPr>
          <w:rFonts w:ascii="Open Sans" w:cs="Open Sans" w:eastAsia="Open Sans" w:hAnsi="Open Sans"/>
          <w:color w:val="262626"/>
          <w:sz w:val="22"/>
          <w:szCs w:val="22"/>
          <w:rtl w:val="0"/>
        </w:rPr>
        <w:t xml:space="preserve"> predice que registrarán variaciones positivas inferiores al 2% capitales de provincia como Huelva (+1,9%), Santa Cruz de Tenerife (+1,6%), Salamanca (1,6%), Guadalajara (+1,5%), Bilbao (+1,4%), Lleida (+1,1%), Albacete (+1,0%), Cuenca (+0,9%), Jaén (+0,9%), Granada (+0,8%), A Coruña (+0,7%), Logroño (+0,5%), o Córdoba (+0,3%).</w:t>
      </w:r>
    </w:p>
    <w:p w:rsidR="00000000" w:rsidDel="00000000" w:rsidP="00000000" w:rsidRDefault="00000000" w:rsidRPr="00000000" w14:paraId="0000001C">
      <w:pPr>
        <w:spacing w:line="276" w:lineRule="auto"/>
        <w:ind w:right="-560"/>
        <w:jc w:val="both"/>
        <w:rPr>
          <w:rFonts w:ascii="Open Sans" w:cs="Open Sans" w:eastAsia="Open Sans" w:hAnsi="Open Sans"/>
          <w:color w:val="262626"/>
          <w:sz w:val="22"/>
          <w:szCs w:val="22"/>
        </w:rPr>
      </w:pPr>
      <w:r w:rsidDel="00000000" w:rsidR="00000000" w:rsidRPr="00000000">
        <w:rPr>
          <w:rtl w:val="0"/>
        </w:rPr>
      </w:r>
    </w:p>
    <w:p w:rsidR="00000000" w:rsidDel="00000000" w:rsidP="00000000" w:rsidRDefault="00000000" w:rsidRPr="00000000" w14:paraId="0000001D">
      <w:pPr>
        <w:spacing w:line="276" w:lineRule="auto"/>
        <w:ind w:right="-560"/>
        <w:jc w:val="both"/>
        <w:rPr>
          <w:rFonts w:ascii="Open Sans" w:cs="Open Sans" w:eastAsia="Open Sans" w:hAnsi="Open Sans"/>
          <w:color w:val="262626"/>
          <w:sz w:val="22"/>
          <w:szCs w:val="22"/>
        </w:rPr>
      </w:pPr>
      <w:r w:rsidDel="00000000" w:rsidR="00000000" w:rsidRPr="00000000">
        <w:rPr>
          <w:rtl w:val="0"/>
        </w:rPr>
      </w:r>
    </w:p>
    <w:p w:rsidR="00000000" w:rsidDel="00000000" w:rsidP="00000000" w:rsidRDefault="00000000" w:rsidRPr="00000000" w14:paraId="0000001E">
      <w:pPr>
        <w:spacing w:line="276" w:lineRule="auto"/>
        <w:ind w:right="-560"/>
        <w:rPr>
          <w:rFonts w:ascii="Open Sans" w:cs="Open Sans" w:eastAsia="Open Sans" w:hAnsi="Open Sans"/>
          <w:b w:val="1"/>
          <w:color w:val="002060"/>
        </w:rPr>
      </w:pPr>
      <w:r w:rsidDel="00000000" w:rsidR="00000000" w:rsidRPr="00000000">
        <w:rPr>
          <w:rFonts w:ascii="Open Sans" w:cs="Open Sans" w:eastAsia="Open Sans" w:hAnsi="Open Sans"/>
          <w:b w:val="1"/>
          <w:color w:val="002060"/>
          <w:rtl w:val="0"/>
        </w:rPr>
        <w:t xml:space="preserve">¿Dónde se prevé que bajen los precios trimestralmente?</w:t>
      </w:r>
    </w:p>
    <w:p w:rsidR="00000000" w:rsidDel="00000000" w:rsidP="00000000" w:rsidRDefault="00000000" w:rsidRPr="00000000" w14:paraId="0000001F">
      <w:pPr>
        <w:spacing w:line="276" w:lineRule="auto"/>
        <w:ind w:right="-560"/>
        <w:jc w:val="both"/>
        <w:rPr>
          <w:rFonts w:ascii="Open Sans" w:cs="Open Sans" w:eastAsia="Open Sans" w:hAnsi="Open Sans"/>
          <w:color w:val="262626"/>
          <w:sz w:val="22"/>
          <w:szCs w:val="22"/>
        </w:rPr>
      </w:pPr>
      <w:r w:rsidDel="00000000" w:rsidR="00000000" w:rsidRPr="00000000">
        <w:rPr>
          <w:rtl w:val="0"/>
        </w:rPr>
      </w:r>
    </w:p>
    <w:p w:rsidR="00000000" w:rsidDel="00000000" w:rsidP="00000000" w:rsidRDefault="00000000" w:rsidRPr="00000000" w14:paraId="00000020">
      <w:pPr>
        <w:spacing w:line="276" w:lineRule="auto"/>
        <w:ind w:right="-560"/>
        <w:jc w:val="both"/>
        <w:rPr>
          <w:rFonts w:ascii="Open Sans" w:cs="Open Sans" w:eastAsia="Open Sans" w:hAnsi="Open Sans"/>
          <w:color w:val="262626"/>
          <w:sz w:val="22"/>
          <w:szCs w:val="22"/>
        </w:rPr>
      </w:pPr>
      <w:r w:rsidDel="00000000" w:rsidR="00000000" w:rsidRPr="00000000">
        <w:rPr>
          <w:rFonts w:ascii="Open Sans" w:cs="Open Sans" w:eastAsia="Open Sans" w:hAnsi="Open Sans"/>
          <w:color w:val="262626"/>
          <w:sz w:val="22"/>
          <w:szCs w:val="22"/>
          <w:rtl w:val="0"/>
        </w:rPr>
        <w:t xml:space="preserve">Por el contrario, el Índice Predictivo de Precios de </w:t>
      </w:r>
      <w:hyperlink r:id="rId14">
        <w:r w:rsidDel="00000000" w:rsidR="00000000" w:rsidRPr="00000000">
          <w:rPr>
            <w:rFonts w:ascii="Open Sans" w:cs="Open Sans" w:eastAsia="Open Sans" w:hAnsi="Open Sans"/>
            <w:color w:val="0000ff"/>
            <w:sz w:val="22"/>
            <w:szCs w:val="22"/>
            <w:u w:val="single"/>
            <w:rtl w:val="0"/>
          </w:rPr>
          <w:t xml:space="preserve">DataVenues</w:t>
        </w:r>
      </w:hyperlink>
      <w:r w:rsidDel="00000000" w:rsidR="00000000" w:rsidRPr="00000000">
        <w:rPr>
          <w:rFonts w:ascii="Open Sans" w:cs="Open Sans" w:eastAsia="Open Sans" w:hAnsi="Open Sans"/>
          <w:color w:val="262626"/>
          <w:sz w:val="22"/>
          <w:szCs w:val="22"/>
          <w:rtl w:val="0"/>
        </w:rPr>
        <w:t xml:space="preserve"> también estima que los precios bajarán en otras capitales de provincia en España al cierre del primer trimestre de 2025. </w:t>
      </w:r>
      <w:r w:rsidDel="00000000" w:rsidR="00000000" w:rsidRPr="00000000">
        <w:rPr>
          <w:rFonts w:ascii="Open Sans" w:cs="Open Sans" w:eastAsia="Open Sans" w:hAnsi="Open Sans"/>
          <w:b w:val="1"/>
          <w:color w:val="262626"/>
          <w:sz w:val="22"/>
          <w:szCs w:val="22"/>
          <w:rtl w:val="0"/>
        </w:rPr>
        <w:t xml:space="preserve">Entre las ciudades que registrarán descensos de valoraciones más destacadas están Málaga (-3,7%), Las Palmas de Gran Canaria (-3,8%), Vitoria (-4,9%), Ávila (-6,1%), Segovia (-6,6%), y Vigo (-7,5%).</w:t>
      </w:r>
      <w:r w:rsidDel="00000000" w:rsidR="00000000" w:rsidRPr="00000000">
        <w:rPr>
          <w:rFonts w:ascii="Open Sans" w:cs="Open Sans" w:eastAsia="Open Sans" w:hAnsi="Open Sans"/>
          <w:color w:val="262626"/>
          <w:sz w:val="22"/>
          <w:szCs w:val="22"/>
          <w:rtl w:val="0"/>
        </w:rPr>
        <w:t xml:space="preserve"> También experimentarán descensos trimestrales más suaves otras ciudades como Orense (-0,1%), Almería (-0,2%), Valencia (-0,6%), Zamora (-0,7%), Huesca (-0,7%), o Badajoz (-1,8%).</w:t>
      </w:r>
    </w:p>
    <w:p w:rsidR="00000000" w:rsidDel="00000000" w:rsidP="00000000" w:rsidRDefault="00000000" w:rsidRPr="00000000" w14:paraId="00000021">
      <w:pPr>
        <w:spacing w:line="276" w:lineRule="auto"/>
        <w:ind w:right="-560"/>
        <w:jc w:val="both"/>
        <w:rPr>
          <w:rFonts w:ascii="Open Sans" w:cs="Open Sans" w:eastAsia="Open Sans" w:hAnsi="Open Sans"/>
          <w:color w:val="262626"/>
          <w:sz w:val="22"/>
          <w:szCs w:val="22"/>
        </w:rPr>
      </w:pPr>
      <w:r w:rsidDel="00000000" w:rsidR="00000000" w:rsidRPr="00000000">
        <w:rPr/>
        <w:drawing>
          <wp:inline distB="0" distT="0" distL="0" distR="0">
            <wp:extent cx="5205526" cy="4219307"/>
            <wp:effectExtent b="0" l="0" r="0" t="0"/>
            <wp:docPr descr="Gráfico&#10;&#10;Descripción generada automáticamente" id="1568227950" name="image1.png"/>
            <a:graphic>
              <a:graphicData uri="http://schemas.openxmlformats.org/drawingml/2006/picture">
                <pic:pic>
                  <pic:nvPicPr>
                    <pic:cNvPr descr="Gráfico&#10;&#10;Descripción generada automáticamente" id="0" name="image1.png"/>
                    <pic:cNvPicPr preferRelativeResize="0"/>
                  </pic:nvPicPr>
                  <pic:blipFill>
                    <a:blip r:embed="rId15"/>
                    <a:srcRect b="0" l="0" r="0" t="0"/>
                    <a:stretch>
                      <a:fillRect/>
                    </a:stretch>
                  </pic:blipFill>
                  <pic:spPr>
                    <a:xfrm>
                      <a:off x="0" y="0"/>
                      <a:ext cx="5205526" cy="421930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76" w:lineRule="auto"/>
        <w:ind w:right="-560"/>
        <w:jc w:val="both"/>
        <w:rPr>
          <w:rFonts w:ascii="Open Sans" w:cs="Open Sans" w:eastAsia="Open Sans" w:hAnsi="Open Sans"/>
          <w:color w:val="262626"/>
          <w:sz w:val="22"/>
          <w:szCs w:val="22"/>
        </w:rPr>
      </w:pPr>
      <w:r w:rsidDel="00000000" w:rsidR="00000000" w:rsidRPr="00000000">
        <w:rPr>
          <w:rtl w:val="0"/>
        </w:rPr>
      </w:r>
    </w:p>
    <w:p w:rsidR="00000000" w:rsidDel="00000000" w:rsidP="00000000" w:rsidRDefault="00000000" w:rsidRPr="00000000" w14:paraId="00000023">
      <w:pPr>
        <w:spacing w:line="276" w:lineRule="auto"/>
        <w:ind w:right="-560"/>
        <w:jc w:val="center"/>
        <w:rPr>
          <w:rFonts w:ascii="Open Sans" w:cs="Open Sans" w:eastAsia="Open Sans" w:hAnsi="Open Sans"/>
          <w:b w:val="1"/>
          <w:color w:val="002060"/>
          <w:sz w:val="28"/>
          <w:szCs w:val="28"/>
        </w:rPr>
      </w:pPr>
      <w:r w:rsidDel="00000000" w:rsidR="00000000" w:rsidRPr="00000000">
        <w:rPr>
          <w:rFonts w:ascii="Open Sans" w:cs="Open Sans" w:eastAsia="Open Sans" w:hAnsi="Open Sans"/>
          <w:b w:val="1"/>
          <w:color w:val="002060"/>
          <w:sz w:val="28"/>
          <w:szCs w:val="28"/>
          <w:rtl w:val="0"/>
        </w:rPr>
        <w:t xml:space="preserve">Ciudades con mayor y menor variación trimestral</w:t>
      </w:r>
    </w:p>
    <w:p w:rsidR="00000000" w:rsidDel="00000000" w:rsidP="00000000" w:rsidRDefault="00000000" w:rsidRPr="00000000" w14:paraId="00000024">
      <w:pPr>
        <w:spacing w:line="276" w:lineRule="auto"/>
        <w:ind w:right="-560"/>
        <w:jc w:val="both"/>
        <w:rPr>
          <w:rFonts w:ascii="Open Sans" w:cs="Open Sans" w:eastAsia="Open Sans" w:hAnsi="Open Sans"/>
          <w:b w:val="1"/>
          <w:color w:val="000000"/>
          <w:sz w:val="22"/>
          <w:szCs w:val="22"/>
        </w:rPr>
      </w:pPr>
      <w:r w:rsidDel="00000000" w:rsidR="00000000" w:rsidRPr="00000000">
        <w:rPr>
          <w:rtl w:val="0"/>
        </w:rPr>
      </w:r>
    </w:p>
    <w:tbl>
      <w:tblPr>
        <w:tblStyle w:val="Table1"/>
        <w:tblW w:w="5949.0" w:type="dxa"/>
        <w:jc w:val="center"/>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2689"/>
        <w:gridCol w:w="3260"/>
        <w:tblGridChange w:id="0">
          <w:tblGrid>
            <w:gridCol w:w="2689"/>
            <w:gridCol w:w="3260"/>
          </w:tblGrid>
        </w:tblGridChange>
      </w:tblGrid>
      <w:tr>
        <w:trPr>
          <w:cantSplit w:val="0"/>
          <w:tblHeader w:val="0"/>
        </w:trPr>
        <w:tc>
          <w:tcPr/>
          <w:p w:rsidR="00000000" w:rsidDel="00000000" w:rsidP="00000000" w:rsidRDefault="00000000" w:rsidRPr="00000000" w14:paraId="00000025">
            <w:pPr>
              <w:spacing w:line="276" w:lineRule="auto"/>
              <w:ind w:right="-560"/>
              <w:jc w:val="center"/>
              <w:rPr>
                <w:rFonts w:ascii="Open Sans" w:cs="Open Sans" w:eastAsia="Open Sans" w:hAnsi="Open Sans"/>
              </w:rPr>
            </w:pPr>
            <w:r w:rsidDel="00000000" w:rsidR="00000000" w:rsidRPr="00000000">
              <w:rPr>
                <w:rFonts w:ascii="Open Sans" w:cs="Open Sans" w:eastAsia="Open Sans" w:hAnsi="Open Sans"/>
                <w:rtl w:val="0"/>
              </w:rPr>
              <w:t xml:space="preserve">CIUDAD</w:t>
            </w:r>
          </w:p>
        </w:tc>
        <w:tc>
          <w:tcPr/>
          <w:p w:rsidR="00000000" w:rsidDel="00000000" w:rsidP="00000000" w:rsidRDefault="00000000" w:rsidRPr="00000000" w14:paraId="00000026">
            <w:pPr>
              <w:spacing w:line="276" w:lineRule="auto"/>
              <w:ind w:right="-560"/>
              <w:jc w:val="center"/>
              <w:rPr>
                <w:rFonts w:ascii="Open Sans" w:cs="Open Sans" w:eastAsia="Open Sans" w:hAnsi="Open Sans"/>
                <w:b w:val="0"/>
              </w:rPr>
            </w:pPr>
            <w:r w:rsidDel="00000000" w:rsidR="00000000" w:rsidRPr="00000000">
              <w:rPr>
                <w:rFonts w:ascii="Open Sans" w:cs="Open Sans" w:eastAsia="Open Sans" w:hAnsi="Open Sans"/>
                <w:rtl w:val="0"/>
              </w:rPr>
              <w:t xml:space="preserve">VARIACIÓN PRIMER</w:t>
            </w:r>
            <w:r w:rsidDel="00000000" w:rsidR="00000000" w:rsidRPr="00000000">
              <w:rPr>
                <w:rtl w:val="0"/>
              </w:rPr>
            </w:r>
          </w:p>
          <w:p w:rsidR="00000000" w:rsidDel="00000000" w:rsidP="00000000" w:rsidRDefault="00000000" w:rsidRPr="00000000" w14:paraId="00000027">
            <w:pPr>
              <w:spacing w:line="276" w:lineRule="auto"/>
              <w:ind w:right="-560"/>
              <w:jc w:val="center"/>
              <w:rPr>
                <w:rFonts w:ascii="Open Sans" w:cs="Open Sans" w:eastAsia="Open Sans" w:hAnsi="Open Sans"/>
              </w:rPr>
            </w:pPr>
            <w:r w:rsidDel="00000000" w:rsidR="00000000" w:rsidRPr="00000000">
              <w:rPr>
                <w:rFonts w:ascii="Open Sans" w:cs="Open Sans" w:eastAsia="Open Sans" w:hAnsi="Open Sans"/>
                <w:rtl w:val="0"/>
              </w:rPr>
              <w:t xml:space="preserve">TRIMESTRE 2025</w:t>
            </w:r>
          </w:p>
        </w:tc>
      </w:tr>
      <w:tr>
        <w:trPr>
          <w:cantSplit w:val="0"/>
          <w:tblHeader w:val="0"/>
        </w:trPr>
        <w:tc>
          <w:tcPr/>
          <w:p w:rsidR="00000000" w:rsidDel="00000000" w:rsidP="00000000" w:rsidRDefault="00000000" w:rsidRPr="00000000" w14:paraId="00000028">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Santander</w:t>
            </w:r>
          </w:p>
        </w:tc>
        <w:tc>
          <w:tcPr/>
          <w:p w:rsidR="00000000" w:rsidDel="00000000" w:rsidP="00000000" w:rsidRDefault="00000000" w:rsidRPr="00000000" w14:paraId="00000029">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6,6%</w:t>
            </w:r>
            <w:r w:rsidDel="00000000" w:rsidR="00000000" w:rsidRPr="00000000">
              <w:rPr>
                <w:rtl w:val="0"/>
              </w:rPr>
            </w:r>
          </w:p>
        </w:tc>
      </w:tr>
      <w:tr>
        <w:trPr>
          <w:cantSplit w:val="0"/>
          <w:tblHeader w:val="0"/>
        </w:trPr>
        <w:tc>
          <w:tcPr/>
          <w:p w:rsidR="00000000" w:rsidDel="00000000" w:rsidP="00000000" w:rsidRDefault="00000000" w:rsidRPr="00000000" w14:paraId="0000002A">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Lugo</w:t>
            </w:r>
          </w:p>
        </w:tc>
        <w:tc>
          <w:tcPr/>
          <w:p w:rsidR="00000000" w:rsidDel="00000000" w:rsidP="00000000" w:rsidRDefault="00000000" w:rsidRPr="00000000" w14:paraId="0000002B">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5,4%</w:t>
            </w:r>
            <w:r w:rsidDel="00000000" w:rsidR="00000000" w:rsidRPr="00000000">
              <w:rPr>
                <w:rtl w:val="0"/>
              </w:rPr>
            </w:r>
          </w:p>
        </w:tc>
      </w:tr>
      <w:tr>
        <w:trPr>
          <w:cantSplit w:val="0"/>
          <w:tblHeader w:val="0"/>
        </w:trPr>
        <w:tc>
          <w:tcPr/>
          <w:p w:rsidR="00000000" w:rsidDel="00000000" w:rsidP="00000000" w:rsidRDefault="00000000" w:rsidRPr="00000000" w14:paraId="0000002C">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Alicante</w:t>
            </w:r>
          </w:p>
        </w:tc>
        <w:tc>
          <w:tcPr/>
          <w:p w:rsidR="00000000" w:rsidDel="00000000" w:rsidP="00000000" w:rsidRDefault="00000000" w:rsidRPr="00000000" w14:paraId="0000002D">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4,9%</w:t>
            </w:r>
            <w:r w:rsidDel="00000000" w:rsidR="00000000" w:rsidRPr="00000000">
              <w:rPr>
                <w:rtl w:val="0"/>
              </w:rPr>
            </w:r>
          </w:p>
        </w:tc>
      </w:tr>
      <w:tr>
        <w:trPr>
          <w:cantSplit w:val="0"/>
          <w:tblHeader w:val="0"/>
        </w:trPr>
        <w:tc>
          <w:tcPr/>
          <w:p w:rsidR="00000000" w:rsidDel="00000000" w:rsidP="00000000" w:rsidRDefault="00000000" w:rsidRPr="00000000" w14:paraId="0000002E">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Murcia</w:t>
            </w:r>
          </w:p>
        </w:tc>
        <w:tc>
          <w:tcPr/>
          <w:p w:rsidR="00000000" w:rsidDel="00000000" w:rsidP="00000000" w:rsidRDefault="00000000" w:rsidRPr="00000000" w14:paraId="0000002F">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4,7%</w:t>
            </w:r>
            <w:r w:rsidDel="00000000" w:rsidR="00000000" w:rsidRPr="00000000">
              <w:rPr>
                <w:rtl w:val="0"/>
              </w:rPr>
            </w:r>
          </w:p>
        </w:tc>
      </w:tr>
      <w:tr>
        <w:trPr>
          <w:cantSplit w:val="0"/>
          <w:tblHeader w:val="0"/>
        </w:trPr>
        <w:tc>
          <w:tcPr/>
          <w:p w:rsidR="00000000" w:rsidDel="00000000" w:rsidP="00000000" w:rsidRDefault="00000000" w:rsidRPr="00000000" w14:paraId="00000030">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Pontevedra</w:t>
            </w:r>
          </w:p>
        </w:tc>
        <w:tc>
          <w:tcPr/>
          <w:p w:rsidR="00000000" w:rsidDel="00000000" w:rsidP="00000000" w:rsidRDefault="00000000" w:rsidRPr="00000000" w14:paraId="00000031">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4,4%</w:t>
            </w:r>
            <w:r w:rsidDel="00000000" w:rsidR="00000000" w:rsidRPr="00000000">
              <w:rPr>
                <w:rtl w:val="0"/>
              </w:rPr>
            </w:r>
          </w:p>
        </w:tc>
      </w:tr>
      <w:tr>
        <w:trPr>
          <w:cantSplit w:val="0"/>
          <w:tblHeader w:val="0"/>
        </w:trPr>
        <w:tc>
          <w:tcPr/>
          <w:p w:rsidR="00000000" w:rsidDel="00000000" w:rsidP="00000000" w:rsidRDefault="00000000" w:rsidRPr="00000000" w14:paraId="00000032">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Toledo</w:t>
            </w:r>
          </w:p>
        </w:tc>
        <w:tc>
          <w:tcPr/>
          <w:p w:rsidR="00000000" w:rsidDel="00000000" w:rsidP="00000000" w:rsidRDefault="00000000" w:rsidRPr="00000000" w14:paraId="00000033">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4,3%</w:t>
            </w:r>
            <w:r w:rsidDel="00000000" w:rsidR="00000000" w:rsidRPr="00000000">
              <w:rPr>
                <w:rtl w:val="0"/>
              </w:rPr>
            </w:r>
          </w:p>
        </w:tc>
      </w:tr>
      <w:tr>
        <w:trPr>
          <w:cantSplit w:val="0"/>
          <w:tblHeader w:val="0"/>
        </w:trPr>
        <w:tc>
          <w:tcPr/>
          <w:p w:rsidR="00000000" w:rsidDel="00000000" w:rsidP="00000000" w:rsidRDefault="00000000" w:rsidRPr="00000000" w14:paraId="00000034">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Oviedo Ciudad</w:t>
            </w:r>
          </w:p>
        </w:tc>
        <w:tc>
          <w:tcPr/>
          <w:p w:rsidR="00000000" w:rsidDel="00000000" w:rsidP="00000000" w:rsidRDefault="00000000" w:rsidRPr="00000000" w14:paraId="00000035">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3,9%</w:t>
            </w:r>
            <w:r w:rsidDel="00000000" w:rsidR="00000000" w:rsidRPr="00000000">
              <w:rPr>
                <w:rtl w:val="0"/>
              </w:rPr>
            </w:r>
          </w:p>
        </w:tc>
      </w:tr>
      <w:tr>
        <w:trPr>
          <w:cantSplit w:val="0"/>
          <w:tblHeader w:val="0"/>
        </w:trPr>
        <w:tc>
          <w:tcPr/>
          <w:p w:rsidR="00000000" w:rsidDel="00000000" w:rsidP="00000000" w:rsidRDefault="00000000" w:rsidRPr="00000000" w14:paraId="00000036">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Castellón</w:t>
            </w:r>
          </w:p>
        </w:tc>
        <w:tc>
          <w:tcPr/>
          <w:p w:rsidR="00000000" w:rsidDel="00000000" w:rsidP="00000000" w:rsidRDefault="00000000" w:rsidRPr="00000000" w14:paraId="00000037">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3,7%</w:t>
            </w:r>
            <w:r w:rsidDel="00000000" w:rsidR="00000000" w:rsidRPr="00000000">
              <w:rPr>
                <w:rtl w:val="0"/>
              </w:rPr>
            </w:r>
          </w:p>
        </w:tc>
      </w:tr>
      <w:tr>
        <w:trPr>
          <w:cantSplit w:val="0"/>
          <w:tblHeader w:val="0"/>
        </w:trPr>
        <w:tc>
          <w:tcPr/>
          <w:p w:rsidR="00000000" w:rsidDel="00000000" w:rsidP="00000000" w:rsidRDefault="00000000" w:rsidRPr="00000000" w14:paraId="00000038">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Burgos</w:t>
            </w:r>
          </w:p>
        </w:tc>
        <w:tc>
          <w:tcPr/>
          <w:p w:rsidR="00000000" w:rsidDel="00000000" w:rsidP="00000000" w:rsidRDefault="00000000" w:rsidRPr="00000000" w14:paraId="00000039">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3,6%</w:t>
            </w:r>
            <w:r w:rsidDel="00000000" w:rsidR="00000000" w:rsidRPr="00000000">
              <w:rPr>
                <w:rtl w:val="0"/>
              </w:rPr>
            </w:r>
          </w:p>
        </w:tc>
      </w:tr>
      <w:tr>
        <w:trPr>
          <w:cantSplit w:val="0"/>
          <w:tblHeader w:val="0"/>
        </w:trPr>
        <w:tc>
          <w:tcPr/>
          <w:p w:rsidR="00000000" w:rsidDel="00000000" w:rsidP="00000000" w:rsidRDefault="00000000" w:rsidRPr="00000000" w14:paraId="0000003A">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Barcelona</w:t>
            </w:r>
          </w:p>
        </w:tc>
        <w:tc>
          <w:tcPr/>
          <w:p w:rsidR="00000000" w:rsidDel="00000000" w:rsidP="00000000" w:rsidRDefault="00000000" w:rsidRPr="00000000" w14:paraId="0000003B">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3,5%</w:t>
            </w:r>
            <w:r w:rsidDel="00000000" w:rsidR="00000000" w:rsidRPr="00000000">
              <w:rPr>
                <w:rtl w:val="0"/>
              </w:rPr>
            </w:r>
          </w:p>
        </w:tc>
      </w:tr>
      <w:tr>
        <w:trPr>
          <w:cantSplit w:val="0"/>
          <w:tblHeader w:val="0"/>
        </w:trPr>
        <w:tc>
          <w:tcPr/>
          <w:p w:rsidR="00000000" w:rsidDel="00000000" w:rsidP="00000000" w:rsidRDefault="00000000" w:rsidRPr="00000000" w14:paraId="0000003C">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Palma</w:t>
            </w:r>
          </w:p>
        </w:tc>
        <w:tc>
          <w:tcPr/>
          <w:p w:rsidR="00000000" w:rsidDel="00000000" w:rsidP="00000000" w:rsidRDefault="00000000" w:rsidRPr="00000000" w14:paraId="0000003D">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3,4%</w:t>
            </w:r>
            <w:r w:rsidDel="00000000" w:rsidR="00000000" w:rsidRPr="00000000">
              <w:rPr>
                <w:rtl w:val="0"/>
              </w:rPr>
            </w:r>
          </w:p>
        </w:tc>
      </w:tr>
      <w:tr>
        <w:trPr>
          <w:cantSplit w:val="0"/>
          <w:tblHeader w:val="0"/>
        </w:trPr>
        <w:tc>
          <w:tcPr/>
          <w:p w:rsidR="00000000" w:rsidDel="00000000" w:rsidP="00000000" w:rsidRDefault="00000000" w:rsidRPr="00000000" w14:paraId="0000003E">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Cáceres</w:t>
            </w:r>
          </w:p>
        </w:tc>
        <w:tc>
          <w:tcPr/>
          <w:p w:rsidR="00000000" w:rsidDel="00000000" w:rsidP="00000000" w:rsidRDefault="00000000" w:rsidRPr="00000000" w14:paraId="0000003F">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3,2%</w:t>
            </w:r>
            <w:r w:rsidDel="00000000" w:rsidR="00000000" w:rsidRPr="00000000">
              <w:rPr>
                <w:rtl w:val="0"/>
              </w:rPr>
            </w:r>
          </w:p>
        </w:tc>
      </w:tr>
      <w:tr>
        <w:trPr>
          <w:cantSplit w:val="0"/>
          <w:tblHeader w:val="0"/>
        </w:trPr>
        <w:tc>
          <w:tcPr/>
          <w:p w:rsidR="00000000" w:rsidDel="00000000" w:rsidP="00000000" w:rsidRDefault="00000000" w:rsidRPr="00000000" w14:paraId="00000040">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Valladolid</w:t>
            </w:r>
          </w:p>
        </w:tc>
        <w:tc>
          <w:tcPr/>
          <w:p w:rsidR="00000000" w:rsidDel="00000000" w:rsidP="00000000" w:rsidRDefault="00000000" w:rsidRPr="00000000" w14:paraId="00000041">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3,1%</w:t>
            </w:r>
            <w:r w:rsidDel="00000000" w:rsidR="00000000" w:rsidRPr="00000000">
              <w:rPr>
                <w:rtl w:val="0"/>
              </w:rPr>
            </w:r>
          </w:p>
        </w:tc>
      </w:tr>
      <w:tr>
        <w:trPr>
          <w:cantSplit w:val="0"/>
          <w:tblHeader w:val="0"/>
        </w:trPr>
        <w:tc>
          <w:tcPr/>
          <w:p w:rsidR="00000000" w:rsidDel="00000000" w:rsidP="00000000" w:rsidRDefault="00000000" w:rsidRPr="00000000" w14:paraId="00000042">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Madrid</w:t>
            </w:r>
          </w:p>
        </w:tc>
        <w:tc>
          <w:tcPr/>
          <w:p w:rsidR="00000000" w:rsidDel="00000000" w:rsidP="00000000" w:rsidRDefault="00000000" w:rsidRPr="00000000" w14:paraId="00000043">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2,6%</w:t>
            </w:r>
            <w:r w:rsidDel="00000000" w:rsidR="00000000" w:rsidRPr="00000000">
              <w:rPr>
                <w:rtl w:val="0"/>
              </w:rPr>
            </w:r>
          </w:p>
        </w:tc>
      </w:tr>
      <w:tr>
        <w:trPr>
          <w:cantSplit w:val="0"/>
          <w:tblHeader w:val="0"/>
        </w:trPr>
        <w:tc>
          <w:tcPr/>
          <w:p w:rsidR="00000000" w:rsidDel="00000000" w:rsidP="00000000" w:rsidRDefault="00000000" w:rsidRPr="00000000" w14:paraId="00000044">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Palencia</w:t>
            </w:r>
          </w:p>
        </w:tc>
        <w:tc>
          <w:tcPr/>
          <w:p w:rsidR="00000000" w:rsidDel="00000000" w:rsidP="00000000" w:rsidRDefault="00000000" w:rsidRPr="00000000" w14:paraId="00000045">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2,6%</w:t>
            </w:r>
            <w:r w:rsidDel="00000000" w:rsidR="00000000" w:rsidRPr="00000000">
              <w:rPr>
                <w:rtl w:val="0"/>
              </w:rPr>
            </w:r>
          </w:p>
        </w:tc>
      </w:tr>
      <w:tr>
        <w:trPr>
          <w:cantSplit w:val="0"/>
          <w:tblHeader w:val="0"/>
        </w:trPr>
        <w:tc>
          <w:tcPr/>
          <w:p w:rsidR="00000000" w:rsidDel="00000000" w:rsidP="00000000" w:rsidRDefault="00000000" w:rsidRPr="00000000" w14:paraId="00000046">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Sevilla</w:t>
            </w:r>
          </w:p>
        </w:tc>
        <w:tc>
          <w:tcPr/>
          <w:p w:rsidR="00000000" w:rsidDel="00000000" w:rsidP="00000000" w:rsidRDefault="00000000" w:rsidRPr="00000000" w14:paraId="00000047">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2,5%</w:t>
            </w:r>
            <w:r w:rsidDel="00000000" w:rsidR="00000000" w:rsidRPr="00000000">
              <w:rPr>
                <w:rtl w:val="0"/>
              </w:rPr>
            </w:r>
          </w:p>
        </w:tc>
      </w:tr>
      <w:tr>
        <w:trPr>
          <w:cantSplit w:val="0"/>
          <w:tblHeader w:val="0"/>
        </w:trPr>
        <w:tc>
          <w:tcPr/>
          <w:p w:rsidR="00000000" w:rsidDel="00000000" w:rsidP="00000000" w:rsidRDefault="00000000" w:rsidRPr="00000000" w14:paraId="00000048">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León</w:t>
            </w:r>
          </w:p>
        </w:tc>
        <w:tc>
          <w:tcPr/>
          <w:p w:rsidR="00000000" w:rsidDel="00000000" w:rsidP="00000000" w:rsidRDefault="00000000" w:rsidRPr="00000000" w14:paraId="00000049">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2,2%</w:t>
            </w:r>
            <w:r w:rsidDel="00000000" w:rsidR="00000000" w:rsidRPr="00000000">
              <w:rPr>
                <w:rtl w:val="0"/>
              </w:rPr>
            </w:r>
          </w:p>
        </w:tc>
      </w:tr>
      <w:tr>
        <w:trPr>
          <w:cantSplit w:val="0"/>
          <w:tblHeader w:val="0"/>
        </w:trPr>
        <w:tc>
          <w:tcPr/>
          <w:p w:rsidR="00000000" w:rsidDel="00000000" w:rsidP="00000000" w:rsidRDefault="00000000" w:rsidRPr="00000000" w14:paraId="0000004A">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Gerona</w:t>
            </w:r>
          </w:p>
        </w:tc>
        <w:tc>
          <w:tcPr/>
          <w:p w:rsidR="00000000" w:rsidDel="00000000" w:rsidP="00000000" w:rsidRDefault="00000000" w:rsidRPr="00000000" w14:paraId="0000004B">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04C">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Huelva</w:t>
            </w:r>
          </w:p>
        </w:tc>
        <w:tc>
          <w:tcPr/>
          <w:p w:rsidR="00000000" w:rsidDel="00000000" w:rsidP="00000000" w:rsidRDefault="00000000" w:rsidRPr="00000000" w14:paraId="0000004D">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1,9%</w:t>
            </w:r>
            <w:r w:rsidDel="00000000" w:rsidR="00000000" w:rsidRPr="00000000">
              <w:rPr>
                <w:rtl w:val="0"/>
              </w:rPr>
            </w:r>
          </w:p>
        </w:tc>
      </w:tr>
      <w:tr>
        <w:trPr>
          <w:cantSplit w:val="0"/>
          <w:tblHeader w:val="0"/>
        </w:trPr>
        <w:tc>
          <w:tcPr/>
          <w:p w:rsidR="00000000" w:rsidDel="00000000" w:rsidP="00000000" w:rsidRDefault="00000000" w:rsidRPr="00000000" w14:paraId="0000004E">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Santa Cruz de Tenerife</w:t>
            </w:r>
          </w:p>
        </w:tc>
        <w:tc>
          <w:tcPr/>
          <w:p w:rsidR="00000000" w:rsidDel="00000000" w:rsidP="00000000" w:rsidRDefault="00000000" w:rsidRPr="00000000" w14:paraId="0000004F">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1,6%</w:t>
            </w:r>
            <w:r w:rsidDel="00000000" w:rsidR="00000000" w:rsidRPr="00000000">
              <w:rPr>
                <w:rtl w:val="0"/>
              </w:rPr>
            </w:r>
          </w:p>
        </w:tc>
      </w:tr>
      <w:tr>
        <w:trPr>
          <w:cantSplit w:val="0"/>
          <w:tblHeader w:val="0"/>
        </w:trPr>
        <w:tc>
          <w:tcPr/>
          <w:p w:rsidR="00000000" w:rsidDel="00000000" w:rsidP="00000000" w:rsidRDefault="00000000" w:rsidRPr="00000000" w14:paraId="00000050">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Salamanca</w:t>
            </w:r>
          </w:p>
        </w:tc>
        <w:tc>
          <w:tcPr/>
          <w:p w:rsidR="00000000" w:rsidDel="00000000" w:rsidP="00000000" w:rsidRDefault="00000000" w:rsidRPr="00000000" w14:paraId="00000051">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1,6%</w:t>
            </w:r>
            <w:r w:rsidDel="00000000" w:rsidR="00000000" w:rsidRPr="00000000">
              <w:rPr>
                <w:rtl w:val="0"/>
              </w:rPr>
            </w:r>
          </w:p>
        </w:tc>
      </w:tr>
      <w:tr>
        <w:trPr>
          <w:cantSplit w:val="0"/>
          <w:tblHeader w:val="0"/>
        </w:trPr>
        <w:tc>
          <w:tcPr/>
          <w:p w:rsidR="00000000" w:rsidDel="00000000" w:rsidP="00000000" w:rsidRDefault="00000000" w:rsidRPr="00000000" w14:paraId="00000052">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Guadalajara</w:t>
            </w:r>
          </w:p>
        </w:tc>
        <w:tc>
          <w:tcPr/>
          <w:p w:rsidR="00000000" w:rsidDel="00000000" w:rsidP="00000000" w:rsidRDefault="00000000" w:rsidRPr="00000000" w14:paraId="00000053">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1,5%</w:t>
            </w:r>
            <w:r w:rsidDel="00000000" w:rsidR="00000000" w:rsidRPr="00000000">
              <w:rPr>
                <w:rtl w:val="0"/>
              </w:rPr>
            </w:r>
          </w:p>
        </w:tc>
      </w:tr>
      <w:tr>
        <w:trPr>
          <w:cantSplit w:val="0"/>
          <w:tblHeader w:val="0"/>
        </w:trPr>
        <w:tc>
          <w:tcPr/>
          <w:p w:rsidR="00000000" w:rsidDel="00000000" w:rsidP="00000000" w:rsidRDefault="00000000" w:rsidRPr="00000000" w14:paraId="00000054">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Bilbao</w:t>
            </w:r>
          </w:p>
        </w:tc>
        <w:tc>
          <w:tcPr/>
          <w:p w:rsidR="00000000" w:rsidDel="00000000" w:rsidP="00000000" w:rsidRDefault="00000000" w:rsidRPr="00000000" w14:paraId="00000055">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1,4%</w:t>
            </w:r>
            <w:r w:rsidDel="00000000" w:rsidR="00000000" w:rsidRPr="00000000">
              <w:rPr>
                <w:rtl w:val="0"/>
              </w:rPr>
            </w:r>
          </w:p>
        </w:tc>
      </w:tr>
      <w:tr>
        <w:trPr>
          <w:cantSplit w:val="0"/>
          <w:tblHeader w:val="0"/>
        </w:trPr>
        <w:tc>
          <w:tcPr/>
          <w:p w:rsidR="00000000" w:rsidDel="00000000" w:rsidP="00000000" w:rsidRDefault="00000000" w:rsidRPr="00000000" w14:paraId="00000056">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Lleida</w:t>
            </w:r>
          </w:p>
        </w:tc>
        <w:tc>
          <w:tcPr/>
          <w:p w:rsidR="00000000" w:rsidDel="00000000" w:rsidP="00000000" w:rsidRDefault="00000000" w:rsidRPr="00000000" w14:paraId="00000057">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1,1%</w:t>
            </w:r>
            <w:r w:rsidDel="00000000" w:rsidR="00000000" w:rsidRPr="00000000">
              <w:rPr>
                <w:rtl w:val="0"/>
              </w:rPr>
            </w:r>
          </w:p>
        </w:tc>
      </w:tr>
      <w:tr>
        <w:trPr>
          <w:cantSplit w:val="0"/>
          <w:tblHeader w:val="0"/>
        </w:trPr>
        <w:tc>
          <w:tcPr/>
          <w:p w:rsidR="00000000" w:rsidDel="00000000" w:rsidP="00000000" w:rsidRDefault="00000000" w:rsidRPr="00000000" w14:paraId="00000058">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Albacete</w:t>
            </w:r>
          </w:p>
        </w:tc>
        <w:tc>
          <w:tcPr/>
          <w:p w:rsidR="00000000" w:rsidDel="00000000" w:rsidP="00000000" w:rsidRDefault="00000000" w:rsidRPr="00000000" w14:paraId="00000059">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1,0%</w:t>
            </w:r>
            <w:r w:rsidDel="00000000" w:rsidR="00000000" w:rsidRPr="00000000">
              <w:rPr>
                <w:rtl w:val="0"/>
              </w:rPr>
            </w:r>
          </w:p>
        </w:tc>
      </w:tr>
      <w:tr>
        <w:trPr>
          <w:cantSplit w:val="0"/>
          <w:tblHeader w:val="0"/>
        </w:trPr>
        <w:tc>
          <w:tcPr/>
          <w:p w:rsidR="00000000" w:rsidDel="00000000" w:rsidP="00000000" w:rsidRDefault="00000000" w:rsidRPr="00000000" w14:paraId="0000005A">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Cuenca Ciudad</w:t>
            </w:r>
          </w:p>
        </w:tc>
        <w:tc>
          <w:tcPr/>
          <w:p w:rsidR="00000000" w:rsidDel="00000000" w:rsidP="00000000" w:rsidRDefault="00000000" w:rsidRPr="00000000" w14:paraId="0000005B">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0,9%</w:t>
            </w:r>
            <w:r w:rsidDel="00000000" w:rsidR="00000000" w:rsidRPr="00000000">
              <w:rPr>
                <w:rtl w:val="0"/>
              </w:rPr>
            </w:r>
          </w:p>
        </w:tc>
      </w:tr>
      <w:tr>
        <w:trPr>
          <w:cantSplit w:val="0"/>
          <w:tblHeader w:val="0"/>
        </w:trPr>
        <w:tc>
          <w:tcPr/>
          <w:p w:rsidR="00000000" w:rsidDel="00000000" w:rsidP="00000000" w:rsidRDefault="00000000" w:rsidRPr="00000000" w14:paraId="0000005C">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Jaén</w:t>
            </w:r>
          </w:p>
        </w:tc>
        <w:tc>
          <w:tcPr/>
          <w:p w:rsidR="00000000" w:rsidDel="00000000" w:rsidP="00000000" w:rsidRDefault="00000000" w:rsidRPr="00000000" w14:paraId="0000005D">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0,9%</w:t>
            </w:r>
            <w:r w:rsidDel="00000000" w:rsidR="00000000" w:rsidRPr="00000000">
              <w:rPr>
                <w:rtl w:val="0"/>
              </w:rPr>
            </w:r>
          </w:p>
        </w:tc>
      </w:tr>
      <w:tr>
        <w:trPr>
          <w:cantSplit w:val="0"/>
          <w:tblHeader w:val="0"/>
        </w:trPr>
        <w:tc>
          <w:tcPr/>
          <w:p w:rsidR="00000000" w:rsidDel="00000000" w:rsidP="00000000" w:rsidRDefault="00000000" w:rsidRPr="00000000" w14:paraId="0000005E">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Granada</w:t>
            </w:r>
          </w:p>
        </w:tc>
        <w:tc>
          <w:tcPr/>
          <w:p w:rsidR="00000000" w:rsidDel="00000000" w:rsidP="00000000" w:rsidRDefault="00000000" w:rsidRPr="00000000" w14:paraId="0000005F">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0,8%</w:t>
            </w:r>
            <w:r w:rsidDel="00000000" w:rsidR="00000000" w:rsidRPr="00000000">
              <w:rPr>
                <w:rtl w:val="0"/>
              </w:rPr>
            </w:r>
          </w:p>
        </w:tc>
      </w:tr>
      <w:tr>
        <w:trPr>
          <w:cantSplit w:val="0"/>
          <w:tblHeader w:val="0"/>
        </w:trPr>
        <w:tc>
          <w:tcPr/>
          <w:p w:rsidR="00000000" w:rsidDel="00000000" w:rsidP="00000000" w:rsidRDefault="00000000" w:rsidRPr="00000000" w14:paraId="00000060">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A Coruña</w:t>
            </w:r>
          </w:p>
        </w:tc>
        <w:tc>
          <w:tcPr/>
          <w:p w:rsidR="00000000" w:rsidDel="00000000" w:rsidP="00000000" w:rsidRDefault="00000000" w:rsidRPr="00000000" w14:paraId="00000061">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0,7%</w:t>
            </w:r>
            <w:r w:rsidDel="00000000" w:rsidR="00000000" w:rsidRPr="00000000">
              <w:rPr>
                <w:rtl w:val="0"/>
              </w:rPr>
            </w:r>
          </w:p>
        </w:tc>
      </w:tr>
      <w:tr>
        <w:trPr>
          <w:cantSplit w:val="0"/>
          <w:tblHeader w:val="0"/>
        </w:trPr>
        <w:tc>
          <w:tcPr/>
          <w:p w:rsidR="00000000" w:rsidDel="00000000" w:rsidP="00000000" w:rsidRDefault="00000000" w:rsidRPr="00000000" w14:paraId="00000062">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Logroño</w:t>
            </w:r>
          </w:p>
        </w:tc>
        <w:tc>
          <w:tcPr/>
          <w:p w:rsidR="00000000" w:rsidDel="00000000" w:rsidP="00000000" w:rsidRDefault="00000000" w:rsidRPr="00000000" w14:paraId="00000063">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0,5%</w:t>
            </w:r>
            <w:r w:rsidDel="00000000" w:rsidR="00000000" w:rsidRPr="00000000">
              <w:rPr>
                <w:rtl w:val="0"/>
              </w:rPr>
            </w:r>
          </w:p>
        </w:tc>
      </w:tr>
      <w:tr>
        <w:trPr>
          <w:cantSplit w:val="0"/>
          <w:tblHeader w:val="0"/>
        </w:trPr>
        <w:tc>
          <w:tcPr/>
          <w:p w:rsidR="00000000" w:rsidDel="00000000" w:rsidP="00000000" w:rsidRDefault="00000000" w:rsidRPr="00000000" w14:paraId="00000064">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Córdoba</w:t>
            </w:r>
          </w:p>
        </w:tc>
        <w:tc>
          <w:tcPr/>
          <w:p w:rsidR="00000000" w:rsidDel="00000000" w:rsidP="00000000" w:rsidRDefault="00000000" w:rsidRPr="00000000" w14:paraId="00000065">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0,3%</w:t>
            </w:r>
            <w:r w:rsidDel="00000000" w:rsidR="00000000" w:rsidRPr="00000000">
              <w:rPr>
                <w:rtl w:val="0"/>
              </w:rPr>
            </w:r>
          </w:p>
        </w:tc>
      </w:tr>
      <w:tr>
        <w:trPr>
          <w:cantSplit w:val="0"/>
          <w:tblHeader w:val="0"/>
        </w:trPr>
        <w:tc>
          <w:tcPr/>
          <w:p w:rsidR="00000000" w:rsidDel="00000000" w:rsidP="00000000" w:rsidRDefault="00000000" w:rsidRPr="00000000" w14:paraId="00000066">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San Sebastián</w:t>
            </w:r>
          </w:p>
        </w:tc>
        <w:tc>
          <w:tcPr/>
          <w:p w:rsidR="00000000" w:rsidDel="00000000" w:rsidP="00000000" w:rsidRDefault="00000000" w:rsidRPr="00000000" w14:paraId="00000067">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068">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Pamplona</w:t>
            </w:r>
          </w:p>
        </w:tc>
        <w:tc>
          <w:tcPr/>
          <w:p w:rsidR="00000000" w:rsidDel="00000000" w:rsidP="00000000" w:rsidRDefault="00000000" w:rsidRPr="00000000" w14:paraId="00000069">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06A">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Teruel</w:t>
            </w:r>
          </w:p>
        </w:tc>
        <w:tc>
          <w:tcPr/>
          <w:p w:rsidR="00000000" w:rsidDel="00000000" w:rsidP="00000000" w:rsidRDefault="00000000" w:rsidRPr="00000000" w14:paraId="0000006B">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06C">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Ciudad Real</w:t>
            </w:r>
          </w:p>
        </w:tc>
        <w:tc>
          <w:tcPr/>
          <w:p w:rsidR="00000000" w:rsidDel="00000000" w:rsidP="00000000" w:rsidRDefault="00000000" w:rsidRPr="00000000" w14:paraId="0000006D">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06E">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Zaragoza</w:t>
            </w:r>
          </w:p>
        </w:tc>
        <w:tc>
          <w:tcPr/>
          <w:p w:rsidR="00000000" w:rsidDel="00000000" w:rsidP="00000000" w:rsidRDefault="00000000" w:rsidRPr="00000000" w14:paraId="0000006F">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070">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Soria</w:t>
            </w:r>
          </w:p>
        </w:tc>
        <w:tc>
          <w:tcPr/>
          <w:p w:rsidR="00000000" w:rsidDel="00000000" w:rsidP="00000000" w:rsidRDefault="00000000" w:rsidRPr="00000000" w14:paraId="00000071">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072">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Tarragona</w:t>
            </w:r>
          </w:p>
        </w:tc>
        <w:tc>
          <w:tcPr/>
          <w:p w:rsidR="00000000" w:rsidDel="00000000" w:rsidP="00000000" w:rsidRDefault="00000000" w:rsidRPr="00000000" w14:paraId="00000073">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074">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Cádiz</w:t>
            </w:r>
          </w:p>
        </w:tc>
        <w:tc>
          <w:tcPr/>
          <w:p w:rsidR="00000000" w:rsidDel="00000000" w:rsidP="00000000" w:rsidRDefault="00000000" w:rsidRPr="00000000" w14:paraId="00000075">
            <w:pPr>
              <w:spacing w:line="276" w:lineRule="auto"/>
              <w:ind w:right="-560"/>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076">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Orense</w:t>
            </w:r>
          </w:p>
        </w:tc>
        <w:tc>
          <w:tcPr/>
          <w:p w:rsidR="00000000" w:rsidDel="00000000" w:rsidP="00000000" w:rsidRDefault="00000000" w:rsidRPr="00000000" w14:paraId="00000077">
            <w:pPr>
              <w:spacing w:line="276" w:lineRule="auto"/>
              <w:ind w:right="-560"/>
              <w:jc w:val="center"/>
              <w:rPr>
                <w:rFonts w:ascii="Open Sans" w:cs="Open Sans" w:eastAsia="Open Sans" w:hAnsi="Open Sans"/>
                <w:b w:val="1"/>
                <w:color w:val="ff0000"/>
                <w:sz w:val="22"/>
                <w:szCs w:val="22"/>
              </w:rPr>
            </w:pPr>
            <w:r w:rsidDel="00000000" w:rsidR="00000000" w:rsidRPr="00000000">
              <w:rPr>
                <w:rFonts w:ascii="Open Sans" w:cs="Open Sans" w:eastAsia="Open Sans" w:hAnsi="Open Sans"/>
                <w:color w:val="ff0000"/>
                <w:sz w:val="22"/>
                <w:szCs w:val="22"/>
                <w:rtl w:val="0"/>
              </w:rPr>
              <w:t xml:space="preserve">-0,1%</w:t>
            </w:r>
            <w:r w:rsidDel="00000000" w:rsidR="00000000" w:rsidRPr="00000000">
              <w:rPr>
                <w:rtl w:val="0"/>
              </w:rPr>
            </w:r>
          </w:p>
        </w:tc>
      </w:tr>
      <w:tr>
        <w:trPr>
          <w:cantSplit w:val="0"/>
          <w:tblHeader w:val="0"/>
        </w:trPr>
        <w:tc>
          <w:tcPr/>
          <w:p w:rsidR="00000000" w:rsidDel="00000000" w:rsidP="00000000" w:rsidRDefault="00000000" w:rsidRPr="00000000" w14:paraId="00000078">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Almería</w:t>
            </w:r>
          </w:p>
        </w:tc>
        <w:tc>
          <w:tcPr/>
          <w:p w:rsidR="00000000" w:rsidDel="00000000" w:rsidP="00000000" w:rsidRDefault="00000000" w:rsidRPr="00000000" w14:paraId="00000079">
            <w:pPr>
              <w:spacing w:line="276" w:lineRule="auto"/>
              <w:ind w:right="-560"/>
              <w:jc w:val="center"/>
              <w:rPr>
                <w:rFonts w:ascii="Open Sans" w:cs="Open Sans" w:eastAsia="Open Sans" w:hAnsi="Open Sans"/>
                <w:b w:val="1"/>
                <w:color w:val="ff0000"/>
                <w:sz w:val="22"/>
                <w:szCs w:val="22"/>
              </w:rPr>
            </w:pPr>
            <w:r w:rsidDel="00000000" w:rsidR="00000000" w:rsidRPr="00000000">
              <w:rPr>
                <w:rFonts w:ascii="Open Sans" w:cs="Open Sans" w:eastAsia="Open Sans" w:hAnsi="Open Sans"/>
                <w:color w:val="ff0000"/>
                <w:sz w:val="22"/>
                <w:szCs w:val="22"/>
                <w:rtl w:val="0"/>
              </w:rPr>
              <w:t xml:space="preserve">-0,2%</w:t>
            </w:r>
            <w:r w:rsidDel="00000000" w:rsidR="00000000" w:rsidRPr="00000000">
              <w:rPr>
                <w:rtl w:val="0"/>
              </w:rPr>
            </w:r>
          </w:p>
        </w:tc>
      </w:tr>
      <w:tr>
        <w:trPr>
          <w:cantSplit w:val="0"/>
          <w:tblHeader w:val="0"/>
        </w:trPr>
        <w:tc>
          <w:tcPr/>
          <w:p w:rsidR="00000000" w:rsidDel="00000000" w:rsidP="00000000" w:rsidRDefault="00000000" w:rsidRPr="00000000" w14:paraId="0000007A">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Valencia</w:t>
            </w:r>
          </w:p>
        </w:tc>
        <w:tc>
          <w:tcPr/>
          <w:p w:rsidR="00000000" w:rsidDel="00000000" w:rsidP="00000000" w:rsidRDefault="00000000" w:rsidRPr="00000000" w14:paraId="0000007B">
            <w:pPr>
              <w:spacing w:line="276" w:lineRule="auto"/>
              <w:ind w:right="-560"/>
              <w:jc w:val="center"/>
              <w:rPr>
                <w:rFonts w:ascii="Open Sans" w:cs="Open Sans" w:eastAsia="Open Sans" w:hAnsi="Open Sans"/>
                <w:b w:val="1"/>
                <w:color w:val="ff0000"/>
                <w:sz w:val="22"/>
                <w:szCs w:val="22"/>
              </w:rPr>
            </w:pPr>
            <w:r w:rsidDel="00000000" w:rsidR="00000000" w:rsidRPr="00000000">
              <w:rPr>
                <w:rFonts w:ascii="Open Sans" w:cs="Open Sans" w:eastAsia="Open Sans" w:hAnsi="Open Sans"/>
                <w:color w:val="ff0000"/>
                <w:sz w:val="22"/>
                <w:szCs w:val="22"/>
                <w:rtl w:val="0"/>
              </w:rPr>
              <w:t xml:space="preserve">-0,6%</w:t>
            </w:r>
            <w:r w:rsidDel="00000000" w:rsidR="00000000" w:rsidRPr="00000000">
              <w:rPr>
                <w:rtl w:val="0"/>
              </w:rPr>
            </w:r>
          </w:p>
        </w:tc>
      </w:tr>
      <w:tr>
        <w:trPr>
          <w:cantSplit w:val="0"/>
          <w:tblHeader w:val="0"/>
        </w:trPr>
        <w:tc>
          <w:tcPr/>
          <w:p w:rsidR="00000000" w:rsidDel="00000000" w:rsidP="00000000" w:rsidRDefault="00000000" w:rsidRPr="00000000" w14:paraId="0000007C">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Zamora</w:t>
            </w:r>
          </w:p>
        </w:tc>
        <w:tc>
          <w:tcPr/>
          <w:p w:rsidR="00000000" w:rsidDel="00000000" w:rsidP="00000000" w:rsidRDefault="00000000" w:rsidRPr="00000000" w14:paraId="0000007D">
            <w:pPr>
              <w:spacing w:line="276" w:lineRule="auto"/>
              <w:ind w:right="-560"/>
              <w:jc w:val="center"/>
              <w:rPr>
                <w:rFonts w:ascii="Open Sans" w:cs="Open Sans" w:eastAsia="Open Sans" w:hAnsi="Open Sans"/>
                <w:b w:val="1"/>
                <w:color w:val="ff0000"/>
                <w:sz w:val="22"/>
                <w:szCs w:val="22"/>
              </w:rPr>
            </w:pPr>
            <w:r w:rsidDel="00000000" w:rsidR="00000000" w:rsidRPr="00000000">
              <w:rPr>
                <w:rFonts w:ascii="Open Sans" w:cs="Open Sans" w:eastAsia="Open Sans" w:hAnsi="Open Sans"/>
                <w:color w:val="ff0000"/>
                <w:sz w:val="22"/>
                <w:szCs w:val="22"/>
                <w:rtl w:val="0"/>
              </w:rPr>
              <w:t xml:space="preserve">-0,7%</w:t>
            </w:r>
            <w:r w:rsidDel="00000000" w:rsidR="00000000" w:rsidRPr="00000000">
              <w:rPr>
                <w:rtl w:val="0"/>
              </w:rPr>
            </w:r>
          </w:p>
        </w:tc>
      </w:tr>
      <w:tr>
        <w:trPr>
          <w:cantSplit w:val="0"/>
          <w:tblHeader w:val="0"/>
        </w:trPr>
        <w:tc>
          <w:tcPr/>
          <w:p w:rsidR="00000000" w:rsidDel="00000000" w:rsidP="00000000" w:rsidRDefault="00000000" w:rsidRPr="00000000" w14:paraId="0000007E">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Huesca</w:t>
            </w:r>
          </w:p>
        </w:tc>
        <w:tc>
          <w:tcPr/>
          <w:p w:rsidR="00000000" w:rsidDel="00000000" w:rsidP="00000000" w:rsidRDefault="00000000" w:rsidRPr="00000000" w14:paraId="0000007F">
            <w:pPr>
              <w:spacing w:line="276" w:lineRule="auto"/>
              <w:ind w:right="-560"/>
              <w:jc w:val="center"/>
              <w:rPr>
                <w:rFonts w:ascii="Open Sans" w:cs="Open Sans" w:eastAsia="Open Sans" w:hAnsi="Open Sans"/>
                <w:b w:val="1"/>
                <w:color w:val="ff0000"/>
                <w:sz w:val="22"/>
                <w:szCs w:val="22"/>
              </w:rPr>
            </w:pPr>
            <w:r w:rsidDel="00000000" w:rsidR="00000000" w:rsidRPr="00000000">
              <w:rPr>
                <w:rFonts w:ascii="Open Sans" w:cs="Open Sans" w:eastAsia="Open Sans" w:hAnsi="Open Sans"/>
                <w:color w:val="ff0000"/>
                <w:sz w:val="22"/>
                <w:szCs w:val="22"/>
                <w:rtl w:val="0"/>
              </w:rPr>
              <w:t xml:space="preserve">-0,7%</w:t>
            </w:r>
            <w:r w:rsidDel="00000000" w:rsidR="00000000" w:rsidRPr="00000000">
              <w:rPr>
                <w:rtl w:val="0"/>
              </w:rPr>
            </w:r>
          </w:p>
        </w:tc>
      </w:tr>
      <w:tr>
        <w:trPr>
          <w:cantSplit w:val="0"/>
          <w:tblHeader w:val="0"/>
        </w:trPr>
        <w:tc>
          <w:tcPr/>
          <w:p w:rsidR="00000000" w:rsidDel="00000000" w:rsidP="00000000" w:rsidRDefault="00000000" w:rsidRPr="00000000" w14:paraId="00000080">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Badajoz</w:t>
            </w:r>
          </w:p>
        </w:tc>
        <w:tc>
          <w:tcPr/>
          <w:p w:rsidR="00000000" w:rsidDel="00000000" w:rsidP="00000000" w:rsidRDefault="00000000" w:rsidRPr="00000000" w14:paraId="00000081">
            <w:pPr>
              <w:spacing w:line="276" w:lineRule="auto"/>
              <w:ind w:right="-560"/>
              <w:jc w:val="center"/>
              <w:rPr>
                <w:rFonts w:ascii="Open Sans" w:cs="Open Sans" w:eastAsia="Open Sans" w:hAnsi="Open Sans"/>
                <w:b w:val="1"/>
                <w:color w:val="ff0000"/>
                <w:sz w:val="22"/>
                <w:szCs w:val="22"/>
              </w:rPr>
            </w:pPr>
            <w:r w:rsidDel="00000000" w:rsidR="00000000" w:rsidRPr="00000000">
              <w:rPr>
                <w:rFonts w:ascii="Open Sans" w:cs="Open Sans" w:eastAsia="Open Sans" w:hAnsi="Open Sans"/>
                <w:color w:val="ff0000"/>
                <w:sz w:val="22"/>
                <w:szCs w:val="22"/>
                <w:rtl w:val="0"/>
              </w:rPr>
              <w:t xml:space="preserve">-1,8%</w:t>
            </w:r>
            <w:r w:rsidDel="00000000" w:rsidR="00000000" w:rsidRPr="00000000">
              <w:rPr>
                <w:rtl w:val="0"/>
              </w:rPr>
            </w:r>
          </w:p>
        </w:tc>
      </w:tr>
      <w:tr>
        <w:trPr>
          <w:cantSplit w:val="0"/>
          <w:tblHeader w:val="0"/>
        </w:trPr>
        <w:tc>
          <w:tcPr/>
          <w:p w:rsidR="00000000" w:rsidDel="00000000" w:rsidP="00000000" w:rsidRDefault="00000000" w:rsidRPr="00000000" w14:paraId="00000082">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Málaga</w:t>
            </w:r>
          </w:p>
        </w:tc>
        <w:tc>
          <w:tcPr/>
          <w:p w:rsidR="00000000" w:rsidDel="00000000" w:rsidP="00000000" w:rsidRDefault="00000000" w:rsidRPr="00000000" w14:paraId="00000083">
            <w:pPr>
              <w:spacing w:line="276" w:lineRule="auto"/>
              <w:ind w:right="-560"/>
              <w:jc w:val="center"/>
              <w:rPr>
                <w:rFonts w:ascii="Open Sans" w:cs="Open Sans" w:eastAsia="Open Sans" w:hAnsi="Open Sans"/>
                <w:b w:val="1"/>
                <w:color w:val="ff0000"/>
                <w:sz w:val="22"/>
                <w:szCs w:val="22"/>
              </w:rPr>
            </w:pPr>
            <w:r w:rsidDel="00000000" w:rsidR="00000000" w:rsidRPr="00000000">
              <w:rPr>
                <w:rFonts w:ascii="Open Sans" w:cs="Open Sans" w:eastAsia="Open Sans" w:hAnsi="Open Sans"/>
                <w:color w:val="ff0000"/>
                <w:sz w:val="22"/>
                <w:szCs w:val="22"/>
                <w:rtl w:val="0"/>
              </w:rPr>
              <w:t xml:space="preserve">-3,7%</w:t>
            </w:r>
            <w:r w:rsidDel="00000000" w:rsidR="00000000" w:rsidRPr="00000000">
              <w:rPr>
                <w:rtl w:val="0"/>
              </w:rPr>
            </w:r>
          </w:p>
        </w:tc>
      </w:tr>
      <w:tr>
        <w:trPr>
          <w:cantSplit w:val="0"/>
          <w:tblHeader w:val="0"/>
        </w:trPr>
        <w:tc>
          <w:tcPr/>
          <w:p w:rsidR="00000000" w:rsidDel="00000000" w:rsidP="00000000" w:rsidRDefault="00000000" w:rsidRPr="00000000" w14:paraId="00000084">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Las Palmas de Gran Canaria</w:t>
            </w:r>
          </w:p>
        </w:tc>
        <w:tc>
          <w:tcPr/>
          <w:p w:rsidR="00000000" w:rsidDel="00000000" w:rsidP="00000000" w:rsidRDefault="00000000" w:rsidRPr="00000000" w14:paraId="00000085">
            <w:pPr>
              <w:spacing w:line="276" w:lineRule="auto"/>
              <w:ind w:right="-560"/>
              <w:jc w:val="center"/>
              <w:rPr>
                <w:rFonts w:ascii="Open Sans" w:cs="Open Sans" w:eastAsia="Open Sans" w:hAnsi="Open Sans"/>
                <w:b w:val="1"/>
                <w:color w:val="ff0000"/>
                <w:sz w:val="22"/>
                <w:szCs w:val="22"/>
              </w:rPr>
            </w:pPr>
            <w:r w:rsidDel="00000000" w:rsidR="00000000" w:rsidRPr="00000000">
              <w:rPr>
                <w:rFonts w:ascii="Open Sans" w:cs="Open Sans" w:eastAsia="Open Sans" w:hAnsi="Open Sans"/>
                <w:color w:val="ff0000"/>
                <w:sz w:val="22"/>
                <w:szCs w:val="22"/>
                <w:rtl w:val="0"/>
              </w:rPr>
              <w:t xml:space="preserve">-3,8%</w:t>
            </w:r>
            <w:r w:rsidDel="00000000" w:rsidR="00000000" w:rsidRPr="00000000">
              <w:rPr>
                <w:rtl w:val="0"/>
              </w:rPr>
            </w:r>
          </w:p>
        </w:tc>
      </w:tr>
      <w:tr>
        <w:trPr>
          <w:cantSplit w:val="0"/>
          <w:tblHeader w:val="0"/>
        </w:trPr>
        <w:tc>
          <w:tcPr/>
          <w:p w:rsidR="00000000" w:rsidDel="00000000" w:rsidP="00000000" w:rsidRDefault="00000000" w:rsidRPr="00000000" w14:paraId="00000086">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Vitoria</w:t>
            </w:r>
          </w:p>
        </w:tc>
        <w:tc>
          <w:tcPr/>
          <w:p w:rsidR="00000000" w:rsidDel="00000000" w:rsidP="00000000" w:rsidRDefault="00000000" w:rsidRPr="00000000" w14:paraId="00000087">
            <w:pPr>
              <w:spacing w:line="276" w:lineRule="auto"/>
              <w:ind w:right="-560"/>
              <w:jc w:val="center"/>
              <w:rPr>
                <w:rFonts w:ascii="Open Sans" w:cs="Open Sans" w:eastAsia="Open Sans" w:hAnsi="Open Sans"/>
                <w:b w:val="1"/>
                <w:color w:val="ff0000"/>
                <w:sz w:val="22"/>
                <w:szCs w:val="22"/>
              </w:rPr>
            </w:pPr>
            <w:r w:rsidDel="00000000" w:rsidR="00000000" w:rsidRPr="00000000">
              <w:rPr>
                <w:rFonts w:ascii="Open Sans" w:cs="Open Sans" w:eastAsia="Open Sans" w:hAnsi="Open Sans"/>
                <w:color w:val="ff0000"/>
                <w:sz w:val="22"/>
                <w:szCs w:val="22"/>
                <w:rtl w:val="0"/>
              </w:rPr>
              <w:t xml:space="preserve">-4,9%</w:t>
            </w:r>
            <w:r w:rsidDel="00000000" w:rsidR="00000000" w:rsidRPr="00000000">
              <w:rPr>
                <w:rtl w:val="0"/>
              </w:rPr>
            </w:r>
          </w:p>
        </w:tc>
      </w:tr>
      <w:tr>
        <w:trPr>
          <w:cantSplit w:val="0"/>
          <w:tblHeader w:val="0"/>
        </w:trPr>
        <w:tc>
          <w:tcPr/>
          <w:p w:rsidR="00000000" w:rsidDel="00000000" w:rsidP="00000000" w:rsidRDefault="00000000" w:rsidRPr="00000000" w14:paraId="00000088">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Ávila</w:t>
            </w:r>
          </w:p>
        </w:tc>
        <w:tc>
          <w:tcPr/>
          <w:p w:rsidR="00000000" w:rsidDel="00000000" w:rsidP="00000000" w:rsidRDefault="00000000" w:rsidRPr="00000000" w14:paraId="00000089">
            <w:pPr>
              <w:spacing w:line="276" w:lineRule="auto"/>
              <w:ind w:right="-560"/>
              <w:jc w:val="center"/>
              <w:rPr>
                <w:rFonts w:ascii="Open Sans" w:cs="Open Sans" w:eastAsia="Open Sans" w:hAnsi="Open Sans"/>
                <w:b w:val="1"/>
                <w:color w:val="ff0000"/>
                <w:sz w:val="22"/>
                <w:szCs w:val="22"/>
              </w:rPr>
            </w:pPr>
            <w:r w:rsidDel="00000000" w:rsidR="00000000" w:rsidRPr="00000000">
              <w:rPr>
                <w:rFonts w:ascii="Open Sans" w:cs="Open Sans" w:eastAsia="Open Sans" w:hAnsi="Open Sans"/>
                <w:color w:val="ff0000"/>
                <w:sz w:val="22"/>
                <w:szCs w:val="22"/>
                <w:rtl w:val="0"/>
              </w:rPr>
              <w:t xml:space="preserve">-6,1%</w:t>
            </w:r>
            <w:r w:rsidDel="00000000" w:rsidR="00000000" w:rsidRPr="00000000">
              <w:rPr>
                <w:rtl w:val="0"/>
              </w:rPr>
            </w:r>
          </w:p>
        </w:tc>
      </w:tr>
      <w:tr>
        <w:trPr>
          <w:cantSplit w:val="0"/>
          <w:tblHeader w:val="0"/>
        </w:trPr>
        <w:tc>
          <w:tcPr/>
          <w:p w:rsidR="00000000" w:rsidDel="00000000" w:rsidP="00000000" w:rsidRDefault="00000000" w:rsidRPr="00000000" w14:paraId="0000008A">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Segovia</w:t>
            </w:r>
          </w:p>
        </w:tc>
        <w:tc>
          <w:tcPr/>
          <w:p w:rsidR="00000000" w:rsidDel="00000000" w:rsidP="00000000" w:rsidRDefault="00000000" w:rsidRPr="00000000" w14:paraId="0000008B">
            <w:pPr>
              <w:spacing w:line="276" w:lineRule="auto"/>
              <w:ind w:right="-560"/>
              <w:jc w:val="center"/>
              <w:rPr>
                <w:rFonts w:ascii="Open Sans" w:cs="Open Sans" w:eastAsia="Open Sans" w:hAnsi="Open Sans"/>
                <w:b w:val="1"/>
                <w:color w:val="ff0000"/>
                <w:sz w:val="22"/>
                <w:szCs w:val="22"/>
              </w:rPr>
            </w:pPr>
            <w:r w:rsidDel="00000000" w:rsidR="00000000" w:rsidRPr="00000000">
              <w:rPr>
                <w:rFonts w:ascii="Open Sans" w:cs="Open Sans" w:eastAsia="Open Sans" w:hAnsi="Open Sans"/>
                <w:color w:val="ff0000"/>
                <w:sz w:val="22"/>
                <w:szCs w:val="22"/>
                <w:rtl w:val="0"/>
              </w:rPr>
              <w:t xml:space="preserve">-6,6%</w:t>
            </w:r>
            <w:r w:rsidDel="00000000" w:rsidR="00000000" w:rsidRPr="00000000">
              <w:rPr>
                <w:rtl w:val="0"/>
              </w:rPr>
            </w:r>
          </w:p>
        </w:tc>
      </w:tr>
      <w:tr>
        <w:trPr>
          <w:cantSplit w:val="0"/>
          <w:tblHeader w:val="0"/>
        </w:trPr>
        <w:tc>
          <w:tcPr/>
          <w:p w:rsidR="00000000" w:rsidDel="00000000" w:rsidP="00000000" w:rsidRDefault="00000000" w:rsidRPr="00000000" w14:paraId="0000008C">
            <w:pPr>
              <w:spacing w:line="276" w:lineRule="auto"/>
              <w:ind w:right="-560"/>
              <w:rPr>
                <w:rFonts w:ascii="Open Sans" w:cs="Open Sans" w:eastAsia="Open Sans" w:hAnsi="Open Sans"/>
                <w:b w:val="0"/>
                <w:color w:val="000000"/>
                <w:sz w:val="22"/>
                <w:szCs w:val="22"/>
              </w:rPr>
            </w:pPr>
            <w:r w:rsidDel="00000000" w:rsidR="00000000" w:rsidRPr="00000000">
              <w:rPr>
                <w:rFonts w:ascii="Open Sans" w:cs="Open Sans" w:eastAsia="Open Sans" w:hAnsi="Open Sans"/>
                <w:b w:val="0"/>
                <w:color w:val="000000"/>
                <w:sz w:val="22"/>
                <w:szCs w:val="22"/>
                <w:rtl w:val="0"/>
              </w:rPr>
              <w:t xml:space="preserve">Vigo</w:t>
            </w:r>
          </w:p>
        </w:tc>
        <w:tc>
          <w:tcPr/>
          <w:p w:rsidR="00000000" w:rsidDel="00000000" w:rsidP="00000000" w:rsidRDefault="00000000" w:rsidRPr="00000000" w14:paraId="0000008D">
            <w:pPr>
              <w:spacing w:line="276" w:lineRule="auto"/>
              <w:ind w:right="-560"/>
              <w:jc w:val="center"/>
              <w:rPr>
                <w:rFonts w:ascii="Open Sans" w:cs="Open Sans" w:eastAsia="Open Sans" w:hAnsi="Open Sans"/>
                <w:b w:val="1"/>
                <w:color w:val="ff0000"/>
                <w:sz w:val="22"/>
                <w:szCs w:val="22"/>
              </w:rPr>
            </w:pPr>
            <w:r w:rsidDel="00000000" w:rsidR="00000000" w:rsidRPr="00000000">
              <w:rPr>
                <w:rFonts w:ascii="Open Sans" w:cs="Open Sans" w:eastAsia="Open Sans" w:hAnsi="Open Sans"/>
                <w:color w:val="ff0000"/>
                <w:sz w:val="22"/>
                <w:szCs w:val="22"/>
                <w:rtl w:val="0"/>
              </w:rPr>
              <w:t xml:space="preserve">-7,5%</w:t>
            </w:r>
            <w:r w:rsidDel="00000000" w:rsidR="00000000" w:rsidRPr="00000000">
              <w:rPr>
                <w:rtl w:val="0"/>
              </w:rPr>
            </w:r>
          </w:p>
        </w:tc>
      </w:tr>
    </w:tbl>
    <w:p w:rsidR="00000000" w:rsidDel="00000000" w:rsidP="00000000" w:rsidRDefault="00000000" w:rsidRPr="00000000" w14:paraId="0000008E">
      <w:pPr>
        <w:spacing w:line="276" w:lineRule="auto"/>
        <w:ind w:right="-560"/>
        <w:jc w:val="center"/>
        <w:rPr>
          <w:rFonts w:ascii="Open Sans" w:cs="Open Sans" w:eastAsia="Open Sans" w:hAnsi="Open Sans"/>
          <w:b w:val="1"/>
          <w:color w:val="000000"/>
          <w:sz w:val="22"/>
          <w:szCs w:val="22"/>
        </w:rPr>
      </w:pPr>
      <w:r w:rsidDel="00000000" w:rsidR="00000000" w:rsidRPr="00000000">
        <w:rPr>
          <w:rtl w:val="0"/>
        </w:rPr>
      </w:r>
    </w:p>
    <w:p w:rsidR="00000000" w:rsidDel="00000000" w:rsidP="00000000" w:rsidRDefault="00000000" w:rsidRPr="00000000" w14:paraId="0000008F">
      <w:pPr>
        <w:spacing w:line="276" w:lineRule="auto"/>
        <w:ind w:right="-560"/>
        <w:jc w:val="center"/>
        <w:rPr>
          <w:rFonts w:ascii="Open Sans" w:cs="Open Sans" w:eastAsia="Open Sans" w:hAnsi="Open Sans"/>
          <w:b w:val="1"/>
          <w:color w:val="000000"/>
          <w:sz w:val="22"/>
          <w:szCs w:val="22"/>
        </w:rPr>
      </w:pPr>
      <w:r w:rsidDel="00000000" w:rsidR="00000000" w:rsidRPr="00000000">
        <w:rPr>
          <w:rtl w:val="0"/>
        </w:rPr>
      </w:r>
    </w:p>
    <w:p w:rsidR="00000000" w:rsidDel="00000000" w:rsidP="00000000" w:rsidRDefault="00000000" w:rsidRPr="00000000" w14:paraId="00000090">
      <w:pPr>
        <w:spacing w:line="276" w:lineRule="auto"/>
        <w:ind w:right="-433"/>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91">
      <w:pPr>
        <w:spacing w:line="276" w:lineRule="auto"/>
        <w:ind w:right="-433"/>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DataVenues</w:t>
      </w:r>
    </w:p>
    <w:p w:rsidR="00000000" w:rsidDel="00000000" w:rsidP="00000000" w:rsidRDefault="00000000" w:rsidRPr="00000000" w14:paraId="00000092">
      <w:pPr>
        <w:shd w:fill="ffffff" w:val="clear"/>
        <w:spacing w:after="280" w:before="280" w:line="276" w:lineRule="auto"/>
        <w:ind w:right="-433"/>
        <w:jc w:val="both"/>
        <w:rPr>
          <w:rFonts w:ascii="Open Sans" w:cs="Open Sans" w:eastAsia="Open Sans" w:hAnsi="Open Sans"/>
          <w:sz w:val="22"/>
          <w:szCs w:val="22"/>
        </w:rPr>
      </w:pPr>
      <w:hyperlink r:id="rId16">
        <w:r w:rsidDel="00000000" w:rsidR="00000000" w:rsidRPr="00000000">
          <w:rPr>
            <w:rFonts w:ascii="Open Sans" w:cs="Open Sans" w:eastAsia="Open Sans" w:hAnsi="Open Sans"/>
            <w:b w:val="1"/>
            <w:color w:val="0000ff"/>
            <w:sz w:val="22"/>
            <w:szCs w:val="22"/>
            <w:u w:val="single"/>
            <w:rtl w:val="0"/>
          </w:rPr>
          <w:t xml:space="preserve">DataVenues</w:t>
        </w:r>
      </w:hyperlink>
      <w:r w:rsidDel="00000000" w:rsidR="00000000" w:rsidRPr="00000000">
        <w:rPr>
          <w:rFonts w:ascii="Open Sans" w:cs="Open Sans" w:eastAsia="Open Sans" w:hAnsi="Open Sans"/>
          <w:sz w:val="22"/>
          <w:szCs w:val="22"/>
          <w:rtl w:val="0"/>
        </w:rPr>
        <w:t xml:space="preserve"> es una herramienta multiplataforma desarrollada por Fotocasa que ha cambiado la manera de acceder a la información inmobiliaria para los profesionales del sector. </w:t>
      </w:r>
      <w:hyperlink r:id="rId17">
        <w:r w:rsidDel="00000000" w:rsidR="00000000" w:rsidRPr="00000000">
          <w:rPr>
            <w:rFonts w:ascii="Open Sans" w:cs="Open Sans" w:eastAsia="Open Sans" w:hAnsi="Open Sans"/>
            <w:b w:val="1"/>
            <w:color w:val="0000ff"/>
            <w:sz w:val="22"/>
            <w:szCs w:val="22"/>
            <w:u w:val="single"/>
            <w:rtl w:val="0"/>
          </w:rPr>
          <w:t xml:space="preserve">DataVenues</w:t>
        </w:r>
      </w:hyperlink>
      <w:r w:rsidDel="00000000" w:rsidR="00000000" w:rsidRPr="00000000">
        <w:rPr>
          <w:rFonts w:ascii="Open Sans" w:cs="Open Sans" w:eastAsia="Open Sans" w:hAnsi="Open Sans"/>
          <w:sz w:val="22"/>
          <w:szCs w:val="22"/>
          <w:rtl w:val="0"/>
        </w:rPr>
        <w:t xml:space="preserve"> incluye datos actualizados de cada zona tanto de oferta como de demanda, la valoración de los inmuebles y la evolución del precio. La información está disponible tanto de obra nueva como de segunda mano, para viviendas, garajes, trasteros, locales y oficinas en venta y en alquiler. La herramienta de DataVenues incluye datos propios del portal Fotocasa, Habitaclia y Milanuncios además de datos de catastro y Google Maps y permite realizar análisis de mercado de cada zona, con datos reales y actualizados de ofertas y demanda. Es una herramienta imprescindible para captar y valorar la cartera inmobiliaria y pone el Big Data al alcance de los profesionales inmobiliarios. </w:t>
      </w:r>
    </w:p>
    <w:p w:rsidR="00000000" w:rsidDel="00000000" w:rsidP="00000000" w:rsidRDefault="00000000" w:rsidRPr="00000000" w14:paraId="00000093">
      <w:pPr>
        <w:shd w:fill="ffffff" w:val="clear"/>
        <w:spacing w:after="280" w:before="280" w:line="276" w:lineRule="auto"/>
        <w:ind w:right="-433"/>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4">
      <w:pPr>
        <w:spacing w:line="276" w:lineRule="auto"/>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95">
      <w:pPr>
        <w:spacing w:line="276" w:lineRule="auto"/>
        <w:ind w:right="-433"/>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Fotocasa</w:t>
      </w:r>
    </w:p>
    <w:p w:rsidR="00000000" w:rsidDel="00000000" w:rsidP="00000000" w:rsidRDefault="00000000" w:rsidRPr="00000000" w14:paraId="00000096">
      <w:pPr>
        <w:shd w:fill="ffffff" w:val="clear"/>
        <w:spacing w:after="280" w:before="280" w:line="276" w:lineRule="auto"/>
        <w:ind w:right="-433"/>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Portal inmobiliario que cuenta con inmuebles de segunda mano, promociones de obra nueva y viviendas de alquiler. Cada mes genera un tráfico de 34 millones de visitas (75% a través de dispositivos móviles). Mensualmente elabora el </w:t>
      </w:r>
      <w:hyperlink r:id="rId18">
        <w:r w:rsidDel="00000000" w:rsidR="00000000" w:rsidRPr="00000000">
          <w:rPr>
            <w:rFonts w:ascii="Open Sans" w:cs="Open Sans" w:eastAsia="Open Sans" w:hAnsi="Open Sans"/>
            <w:color w:val="0000ff"/>
            <w:sz w:val="22"/>
            <w:szCs w:val="22"/>
            <w:u w:val="single"/>
            <w:rtl w:val="0"/>
          </w:rPr>
          <w:t xml:space="preserve">índice inmobiliario Fotocasa</w:t>
        </w:r>
      </w:hyperlink>
      <w:r w:rsidDel="00000000" w:rsidR="00000000" w:rsidRPr="00000000">
        <w:rPr>
          <w:rFonts w:ascii="Open Sans" w:cs="Open Sans" w:eastAsia="Open Sans" w:hAnsi="Open Sans"/>
          <w:sz w:val="22"/>
          <w:szCs w:val="22"/>
          <w:rtl w:val="0"/>
        </w:rPr>
        <w:t xml:space="preserve">, un informe de referencia sobre la evolución del precio medio de la vivienda en España, tanto en venta como en alquiler. Toda nuestra información la puedes encontrar en nuestra </w:t>
      </w:r>
      <w:hyperlink r:id="rId19">
        <w:r w:rsidDel="00000000" w:rsidR="00000000" w:rsidRPr="00000000">
          <w:rPr>
            <w:rFonts w:ascii="Open Sans" w:cs="Open Sans" w:eastAsia="Open Sans" w:hAnsi="Open Sans"/>
            <w:color w:val="0000ff"/>
            <w:sz w:val="22"/>
            <w:szCs w:val="22"/>
            <w:u w:val="single"/>
            <w:rtl w:val="0"/>
          </w:rPr>
          <w:t xml:space="preserve">Sala de Prensa</w:t>
        </w:r>
      </w:hyperlink>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97">
      <w:pPr>
        <w:shd w:fill="ffffff" w:val="clear"/>
        <w:spacing w:after="280" w:before="280" w:line="276" w:lineRule="auto"/>
        <w:ind w:right="-433"/>
        <w:jc w:val="both"/>
        <w:rPr>
          <w:rFonts w:ascii="Open Sans" w:cs="Open Sans" w:eastAsia="Open Sans" w:hAnsi="Open Sans"/>
          <w:sz w:val="22"/>
          <w:szCs w:val="22"/>
        </w:rPr>
      </w:pPr>
      <w:bookmarkStart w:colFirst="0" w:colLast="0" w:name="_heading=h.2s8eyo1" w:id="2"/>
      <w:bookmarkEnd w:id="2"/>
      <w:hyperlink r:id="rId20">
        <w:r w:rsidDel="00000000" w:rsidR="00000000" w:rsidRPr="00000000">
          <w:rPr>
            <w:rFonts w:ascii="Open Sans" w:cs="Open Sans" w:eastAsia="Open Sans" w:hAnsi="Open Sans"/>
            <w:b w:val="1"/>
            <w:color w:val="0000ff"/>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 pertenece a </w:t>
      </w:r>
      <w:hyperlink r:id="rId21">
        <w:r w:rsidDel="00000000" w:rsidR="00000000" w:rsidRPr="00000000">
          <w:rPr>
            <w:rFonts w:ascii="Open Sans" w:cs="Open Sans" w:eastAsia="Open Sans" w:hAnsi="Open Sans"/>
            <w:color w:val="0000ff"/>
            <w:sz w:val="22"/>
            <w:szCs w:val="22"/>
            <w:u w:val="single"/>
            <w:rtl w:val="0"/>
          </w:rPr>
          <w:t xml:space="preserve">Adevinta</w:t>
        </w:r>
      </w:hyperlink>
      <w:r w:rsidDel="00000000" w:rsidR="00000000" w:rsidRPr="00000000">
        <w:rPr>
          <w:rFonts w:ascii="Open Sans" w:cs="Open Sans" w:eastAsia="Open Sans" w:hAnsi="Open Sans"/>
          <w:sz w:val="22"/>
          <w:szCs w:val="22"/>
          <w:rtl w:val="0"/>
        </w:rPr>
        <w:t xml:space="preserve">, una empresa 100% especializada en Marketplaces digitales y el único “pure player” del sector a nivel mundial. </w:t>
      </w:r>
    </w:p>
    <w:p w:rsidR="00000000" w:rsidDel="00000000" w:rsidP="00000000" w:rsidRDefault="00000000" w:rsidRPr="00000000" w14:paraId="00000098">
      <w:pPr>
        <w:shd w:fill="ffffff" w:val="clear"/>
        <w:spacing w:after="280" w:before="280" w:line="276" w:lineRule="auto"/>
        <w:ind w:right="-433"/>
        <w:jc w:val="both"/>
        <w:rPr>
          <w:rFonts w:ascii="Open Sans" w:cs="Open Sans" w:eastAsia="Open Sans" w:hAnsi="Open Sans"/>
          <w:sz w:val="22"/>
          <w:szCs w:val="22"/>
        </w:rPr>
      </w:pPr>
      <w:hyperlink r:id="rId22">
        <w:r w:rsidDel="00000000" w:rsidR="00000000" w:rsidRPr="00000000">
          <w:rPr>
            <w:rFonts w:ascii="Open Sans" w:cs="Open Sans" w:eastAsia="Open Sans" w:hAnsi="Open Sans"/>
            <w:color w:val="0000ff"/>
            <w:sz w:val="22"/>
            <w:szCs w:val="22"/>
            <w:u w:val="single"/>
            <w:rtl w:val="0"/>
          </w:rPr>
          <w:t xml:space="preserve">Más información sobre Fotocasa</w:t>
        </w:r>
      </w:hyperlink>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99">
      <w:pPr>
        <w:spacing w:line="276" w:lineRule="auto"/>
        <w:ind w:right="-142"/>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Adevinta</w:t>
      </w:r>
    </w:p>
    <w:p w:rsidR="00000000" w:rsidDel="00000000" w:rsidP="00000000" w:rsidRDefault="00000000" w:rsidRPr="00000000" w14:paraId="0000009A">
      <w:pPr>
        <w:spacing w:after="200" w:before="143" w:lineRule="auto"/>
        <w:ind w:right="-142"/>
        <w:jc w:val="both"/>
        <w:rPr>
          <w:rFonts w:ascii="Open Sans" w:cs="Open Sans" w:eastAsia="Open Sans" w:hAnsi="Open Sans"/>
        </w:rPr>
      </w:pPr>
      <w:r w:rsidDel="00000000" w:rsidR="00000000" w:rsidRPr="00000000">
        <w:rPr>
          <w:rFonts w:ascii="Open Sans" w:cs="Open Sans" w:eastAsia="Open Sans" w:hAnsi="Open Sans"/>
          <w:sz w:val="22"/>
          <w:szCs w:val="22"/>
          <w:rtl w:val="0"/>
        </w:rPr>
        <w:t xml:space="preserve">Adevinta es un grupo de empresas líder en marketplaces digitales y una de las principales empresas del sector tecnológico del país, con más de 18 millones de usuarios únicos al mes en sus plataformas de los sectores inmobiliario (</w:t>
      </w:r>
      <w:hyperlink r:id="rId23">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4">
        <w:r w:rsidDel="00000000" w:rsidR="00000000" w:rsidRPr="00000000">
          <w:rPr>
            <w:rFonts w:ascii="Open Sans" w:cs="Open Sans" w:eastAsia="Open Sans" w:hAnsi="Open Sans"/>
            <w:color w:val="1155cc"/>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empleo (</w:t>
      </w:r>
      <w:hyperlink r:id="rId25">
        <w:r w:rsidDel="00000000" w:rsidR="00000000" w:rsidRPr="00000000">
          <w:rPr>
            <w:rFonts w:ascii="Open Sans" w:cs="Open Sans" w:eastAsia="Open Sans" w:hAnsi="Open Sans"/>
            <w:color w:val="1155cc"/>
            <w:sz w:val="22"/>
            <w:szCs w:val="22"/>
            <w:u w:val="single"/>
            <w:rtl w:val="0"/>
          </w:rPr>
          <w:t xml:space="preserve">InfoJobs</w:t>
        </w:r>
      </w:hyperlink>
      <w:r w:rsidDel="00000000" w:rsidR="00000000" w:rsidRPr="00000000">
        <w:rPr>
          <w:rFonts w:ascii="Open Sans" w:cs="Open Sans" w:eastAsia="Open Sans" w:hAnsi="Open Sans"/>
          <w:sz w:val="22"/>
          <w:szCs w:val="22"/>
          <w:rtl w:val="0"/>
        </w:rPr>
        <w:t xml:space="preserve">), motor (</w:t>
      </w:r>
      <w:hyperlink r:id="rId26">
        <w:r w:rsidDel="00000000" w:rsidR="00000000" w:rsidRPr="00000000">
          <w:rPr>
            <w:rFonts w:ascii="Open Sans" w:cs="Open Sans" w:eastAsia="Open Sans" w:hAnsi="Open Sans"/>
            <w:color w:val="1155cc"/>
            <w:sz w:val="22"/>
            <w:szCs w:val="22"/>
            <w:u w:val="single"/>
            <w:rtl w:val="0"/>
          </w:rPr>
          <w:t xml:space="preserve">coches.net</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7">
        <w:r w:rsidDel="00000000" w:rsidR="00000000" w:rsidRPr="00000000">
          <w:rPr>
            <w:rFonts w:ascii="Open Sans" w:cs="Open Sans" w:eastAsia="Open Sans" w:hAnsi="Open Sans"/>
            <w:color w:val="1155cc"/>
            <w:sz w:val="22"/>
            <w:szCs w:val="22"/>
            <w:u w:val="single"/>
            <w:rtl w:val="0"/>
          </w:rPr>
          <w:t xml:space="preserve">motos.net</w:t>
        </w:r>
      </w:hyperlink>
      <w:r w:rsidDel="00000000" w:rsidR="00000000" w:rsidRPr="00000000">
        <w:rPr>
          <w:rFonts w:ascii="Open Sans" w:cs="Open Sans" w:eastAsia="Open Sans" w:hAnsi="Open Sans"/>
          <w:sz w:val="22"/>
          <w:szCs w:val="22"/>
          <w:rtl w:val="0"/>
        </w:rPr>
        <w:t xml:space="preserve">) y compraventa de artículos de segunda mano (</w:t>
      </w:r>
      <w:hyperlink r:id="rId28">
        <w:r w:rsidDel="00000000" w:rsidR="00000000" w:rsidRPr="00000000">
          <w:rPr>
            <w:rFonts w:ascii="Open Sans" w:cs="Open Sans" w:eastAsia="Open Sans" w:hAnsi="Open Sans"/>
            <w:color w:val="1155cc"/>
            <w:sz w:val="22"/>
            <w:szCs w:val="22"/>
            <w:u w:val="single"/>
            <w:rtl w:val="0"/>
          </w:rPr>
          <w:t xml:space="preserve">Milanuncios</w:t>
        </w:r>
      </w:hyperlink>
      <w:r w:rsidDel="00000000" w:rsidR="00000000" w:rsidRPr="00000000">
        <w:rPr>
          <w:rFonts w:ascii="Open Sans" w:cs="Open Sans" w:eastAsia="Open Sans" w:hAnsi="Open Sans"/>
          <w:sz w:val="22"/>
          <w:szCs w:val="22"/>
          <w:rtl w:val="0"/>
        </w:rPr>
        <w:t xml:space="preserve">).</w:t>
      </w:r>
      <w:r w:rsidDel="00000000" w:rsidR="00000000" w:rsidRPr="00000000">
        <w:rPr>
          <w:rtl w:val="0"/>
        </w:rPr>
      </w:r>
    </w:p>
    <w:p w:rsidR="00000000" w:rsidDel="00000000" w:rsidP="00000000" w:rsidRDefault="00000000" w:rsidRPr="00000000" w14:paraId="0000009B">
      <w:pPr>
        <w:spacing w:after="200" w:before="143" w:lineRule="auto"/>
        <w:ind w:right="-142"/>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rsidR="00000000" w:rsidDel="00000000" w:rsidP="00000000" w:rsidRDefault="00000000" w:rsidRPr="00000000" w14:paraId="0000009C">
      <w:pPr>
        <w:spacing w:after="200" w:before="143" w:lineRule="auto"/>
        <w:ind w:right="-142"/>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Adevinta tiene presencia mundial en 10 países. El conjunto de sus plataformas locales recibe un promedio de 2.500 millones de visitas cada mes. </w:t>
      </w:r>
    </w:p>
    <w:p w:rsidR="00000000" w:rsidDel="00000000" w:rsidP="00000000" w:rsidRDefault="00000000" w:rsidRPr="00000000" w14:paraId="0000009D">
      <w:pPr>
        <w:spacing w:after="200" w:before="143" w:lineRule="auto"/>
        <w:ind w:right="-142"/>
        <w:jc w:val="both"/>
        <w:rPr>
          <w:rFonts w:ascii="Open Sans" w:cs="Open Sans" w:eastAsia="Open Sans" w:hAnsi="Open Sans"/>
        </w:rPr>
      </w:pPr>
      <w:r w:rsidDel="00000000" w:rsidR="00000000" w:rsidRPr="00000000">
        <w:rPr>
          <w:rFonts w:ascii="Open Sans" w:cs="Open Sans" w:eastAsia="Open Sans" w:hAnsi="Open Sans"/>
          <w:sz w:val="22"/>
          <w:szCs w:val="22"/>
          <w:rtl w:val="0"/>
        </w:rPr>
        <w:t xml:space="preserve">Más información en </w:t>
      </w:r>
      <w:hyperlink r:id="rId29">
        <w:r w:rsidDel="00000000" w:rsidR="00000000" w:rsidRPr="00000000">
          <w:rPr>
            <w:rFonts w:ascii="Open Sans" w:cs="Open Sans" w:eastAsia="Open Sans" w:hAnsi="Open Sans"/>
            <w:color w:val="1155cc"/>
            <w:sz w:val="22"/>
            <w:szCs w:val="22"/>
            <w:u w:val="single"/>
            <w:rtl w:val="0"/>
          </w:rPr>
          <w:t xml:space="preserve">adevinta.es</w:t>
        </w:r>
      </w:hyperlink>
      <w:r w:rsidDel="00000000" w:rsidR="00000000" w:rsidRPr="00000000">
        <w:rPr>
          <w:rtl w:val="0"/>
        </w:rPr>
      </w:r>
    </w:p>
    <w:p w:rsidR="00000000" w:rsidDel="00000000" w:rsidP="00000000" w:rsidRDefault="00000000" w:rsidRPr="00000000" w14:paraId="0000009E">
      <w:pPr>
        <w:spacing w:line="276" w:lineRule="auto"/>
        <w:ind w:right="-142"/>
        <w:jc w:val="right"/>
        <w:rPr>
          <w:rFonts w:ascii="Open Sans" w:cs="Open Sans" w:eastAsia="Open Sans" w:hAnsi="Open Sans"/>
        </w:rPr>
      </w:pPr>
      <w:r w:rsidDel="00000000" w:rsidR="00000000" w:rsidRPr="00000000">
        <w:rPr>
          <w:rtl w:val="0"/>
        </w:rPr>
      </w:r>
    </w:p>
    <w:p w:rsidR="00000000" w:rsidDel="00000000" w:rsidP="00000000" w:rsidRDefault="00000000" w:rsidRPr="00000000" w14:paraId="0000009F">
      <w:pPr>
        <w:spacing w:line="276" w:lineRule="auto"/>
        <w:ind w:right="-142"/>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Departamento Comunicación Fotocasa</w:t>
      </w:r>
    </w:p>
    <w:p w:rsidR="00000000" w:rsidDel="00000000" w:rsidP="00000000" w:rsidRDefault="00000000" w:rsidRPr="00000000" w14:paraId="000000A0">
      <w:pPr>
        <w:shd w:fill="ffffff" w:val="clear"/>
        <w:spacing w:line="276" w:lineRule="auto"/>
        <w:ind w:right="-142"/>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Anaïs López</w:t>
      </w:r>
    </w:p>
    <w:p w:rsidR="00000000" w:rsidDel="00000000" w:rsidP="00000000" w:rsidRDefault="00000000" w:rsidRPr="00000000" w14:paraId="000000A1">
      <w:pPr>
        <w:shd w:fill="ffffff" w:val="clear"/>
        <w:spacing w:line="276" w:lineRule="auto"/>
        <w:ind w:right="-142"/>
        <w:rPr>
          <w:rFonts w:ascii="Open Sans" w:cs="Open Sans" w:eastAsia="Open Sans" w:hAnsi="Open Sans"/>
          <w:color w:val="0000ff"/>
          <w:sz w:val="22"/>
          <w:szCs w:val="22"/>
          <w:u w:val="single"/>
        </w:rPr>
      </w:pPr>
      <w:hyperlink r:id="rId30">
        <w:r w:rsidDel="00000000" w:rsidR="00000000" w:rsidRPr="00000000">
          <w:rPr>
            <w:rFonts w:ascii="Open Sans" w:cs="Open Sans" w:eastAsia="Open Sans" w:hAnsi="Open Sans"/>
            <w:color w:val="0000ff"/>
            <w:sz w:val="22"/>
            <w:szCs w:val="22"/>
            <w:u w:val="single"/>
            <w:rtl w:val="0"/>
          </w:rPr>
          <w:t xml:space="preserve">comunicacion@fotocasa.es</w:t>
        </w:r>
      </w:hyperlink>
      <w:r w:rsidDel="00000000" w:rsidR="00000000" w:rsidRPr="00000000">
        <w:rPr>
          <w:rtl w:val="0"/>
        </w:rPr>
      </w:r>
    </w:p>
    <w:p w:rsidR="00000000" w:rsidDel="00000000" w:rsidP="00000000" w:rsidRDefault="00000000" w:rsidRPr="00000000" w14:paraId="000000A2">
      <w:pPr>
        <w:shd w:fill="ffffff" w:val="clear"/>
        <w:spacing w:line="276" w:lineRule="auto"/>
        <w:ind w:right="-142"/>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620 66 29 26</w:t>
      </w:r>
      <w:r w:rsidDel="00000000" w:rsidR="00000000" w:rsidRPr="00000000">
        <w:rPr>
          <w:rtl w:val="0"/>
        </w:rPr>
      </w:r>
    </w:p>
    <w:sectPr>
      <w:footerReference r:id="rId31" w:type="default"/>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ational"/>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-1068059</wp:posOffset>
          </wp:positionH>
          <wp:positionV relativeFrom="paragraph">
            <wp:posOffset>174608</wp:posOffset>
          </wp:positionV>
          <wp:extent cx="7670550" cy="451315"/>
          <wp:effectExtent b="0" l="0" r="0" t="0"/>
          <wp:wrapSquare wrapText="bothSides" distB="0" distT="0" distL="0" distR="0"/>
          <wp:docPr id="156822794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A1D4A"/>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paragraph" w:styleId="NormalWeb">
    <w:name w:val="Normal (Web)"/>
    <w:basedOn w:val="Normal"/>
    <w:uiPriority w:val="99"/>
    <w:unhideWhenUsed w:val="1"/>
    <w:rsid w:val="00A84CA7"/>
    <w:pPr>
      <w:spacing w:after="100" w:afterAutospacing="1" w:before="100" w:beforeAutospacing="1"/>
    </w:pPr>
    <w:rPr>
      <w:rFonts w:ascii="Times New Roman" w:cs="Times New Roman" w:eastAsia="Times New Roman" w:hAnsi="Times New Roman"/>
      <w:lang w:eastAsia="es-ES_tradnl"/>
    </w:rPr>
  </w:style>
  <w:style w:type="paragraph" w:styleId="Encabezado">
    <w:name w:val="header"/>
    <w:basedOn w:val="Normal"/>
    <w:link w:val="EncabezadoCar"/>
    <w:uiPriority w:val="99"/>
    <w:unhideWhenUsed w:val="1"/>
    <w:rsid w:val="00DD4CA4"/>
    <w:pPr>
      <w:tabs>
        <w:tab w:val="center" w:pos="4252"/>
        <w:tab w:val="right" w:pos="8504"/>
      </w:tabs>
    </w:pPr>
  </w:style>
  <w:style w:type="character" w:styleId="EncabezadoCar" w:customStyle="1">
    <w:name w:val="Encabezado Car"/>
    <w:basedOn w:val="Fuentedeprrafopredeter"/>
    <w:link w:val="Encabezado"/>
    <w:uiPriority w:val="99"/>
    <w:rsid w:val="00DD4CA4"/>
  </w:style>
  <w:style w:type="paragraph" w:styleId="Piedepgina">
    <w:name w:val="footer"/>
    <w:basedOn w:val="Normal"/>
    <w:link w:val="PiedepginaCar"/>
    <w:uiPriority w:val="99"/>
    <w:unhideWhenUsed w:val="1"/>
    <w:rsid w:val="00DD4CA4"/>
    <w:pPr>
      <w:tabs>
        <w:tab w:val="center" w:pos="4252"/>
        <w:tab w:val="right" w:pos="8504"/>
      </w:tabs>
    </w:pPr>
  </w:style>
  <w:style w:type="character" w:styleId="PiedepginaCar" w:customStyle="1">
    <w:name w:val="Pie de página Car"/>
    <w:basedOn w:val="Fuentedeprrafopredeter"/>
    <w:link w:val="Piedepgina"/>
    <w:uiPriority w:val="99"/>
    <w:rsid w:val="00DD4CA4"/>
  </w:style>
  <w:style w:type="character" w:styleId="Hipervnculo">
    <w:name w:val="Hyperlink"/>
    <w:basedOn w:val="Fuentedeprrafopredeter"/>
    <w:uiPriority w:val="99"/>
    <w:unhideWhenUsed w:val="1"/>
    <w:rsid w:val="00DC7AC3"/>
    <w:rPr>
      <w:color w:val="0000ff"/>
      <w:u w:val="single"/>
    </w:rPr>
  </w:style>
  <w:style w:type="paragraph" w:styleId="Prrafodelista">
    <w:name w:val="List Paragraph"/>
    <w:basedOn w:val="Normal"/>
    <w:uiPriority w:val="34"/>
    <w:qFormat w:val="1"/>
    <w:rsid w:val="005029E9"/>
    <w:pPr>
      <w:ind w:left="720"/>
      <w:contextualSpacing w:val="1"/>
    </w:pPr>
  </w:style>
  <w:style w:type="table" w:styleId="Tabladecuadrcula5oscura-nfasis11" w:customStyle="1">
    <w:name w:val="Tabla de cuadrícula 5 oscura - Énfasis 11"/>
    <w:basedOn w:val="Tablanormal"/>
    <w:uiPriority w:val="50"/>
    <w:rsid w:val="00753088"/>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character" w:styleId="Refdecomentario">
    <w:name w:val="annotation reference"/>
    <w:basedOn w:val="Fuentedeprrafopredeter"/>
    <w:uiPriority w:val="99"/>
    <w:semiHidden w:val="1"/>
    <w:unhideWhenUsed w:val="1"/>
    <w:rsid w:val="00964BED"/>
    <w:rPr>
      <w:sz w:val="16"/>
      <w:szCs w:val="16"/>
    </w:rPr>
  </w:style>
  <w:style w:type="paragraph" w:styleId="Textocomentario">
    <w:name w:val="annotation text"/>
    <w:basedOn w:val="Normal"/>
    <w:link w:val="TextocomentarioCar"/>
    <w:uiPriority w:val="99"/>
    <w:semiHidden w:val="1"/>
    <w:unhideWhenUsed w:val="1"/>
    <w:rsid w:val="00964BED"/>
    <w:rPr>
      <w:sz w:val="20"/>
      <w:szCs w:val="20"/>
    </w:rPr>
  </w:style>
  <w:style w:type="character" w:styleId="TextocomentarioCar" w:customStyle="1">
    <w:name w:val="Texto comentario Car"/>
    <w:basedOn w:val="Fuentedeprrafopredeter"/>
    <w:link w:val="Textocomentario"/>
    <w:uiPriority w:val="99"/>
    <w:semiHidden w:val="1"/>
    <w:rsid w:val="00964BED"/>
    <w:rPr>
      <w:sz w:val="20"/>
      <w:szCs w:val="20"/>
    </w:rPr>
  </w:style>
  <w:style w:type="character" w:styleId="Mencinsinresolver">
    <w:name w:val="Unresolved Mention"/>
    <w:basedOn w:val="Fuentedeprrafopredeter"/>
    <w:uiPriority w:val="99"/>
    <w:semiHidden w:val="1"/>
    <w:unhideWhenUsed w:val="1"/>
    <w:rsid w:val="00E84EE3"/>
    <w:rPr>
      <w:color w:val="605e5c"/>
      <w:shd w:color="auto" w:fill="e1dfdd" w:val="clear"/>
    </w:rPr>
  </w:style>
  <w:style w:type="paragraph" w:styleId="Cuerpo" w:customStyle="1">
    <w:name w:val="Cuerpo"/>
    <w:rsid w:val="0014415E"/>
    <w:rPr>
      <w:rFonts w:ascii="Times New Roman" w:cs="Arial Unicode MS" w:eastAsia="Arial Unicode MS" w:hAnsi="Times New Roman"/>
      <w:color w:val="000000"/>
      <w:u w:color="000000"/>
      <w:lang w:val="en-US"/>
    </w:rPr>
  </w:style>
  <w:style w:type="character" w:styleId="Ninguno" w:customStyle="1">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paragraph" w:styleId="Texto" w:customStyle="1">
    <w:name w:val="Texto"/>
    <w:basedOn w:val="Normal"/>
    <w:uiPriority w:val="99"/>
    <w:rsid w:val="0014415E"/>
    <w:rPr>
      <w:rFonts w:ascii="Gill Sans MT" w:cs="Arial" w:eastAsia="Times New Roman" w:hAnsi="Gill Sans MT"/>
      <w:sz w:val="22"/>
      <w:szCs w:val="22"/>
      <w:lang w:val="pt-BR"/>
    </w:rPr>
  </w:style>
  <w:style w:type="paragraph" w:styleId="Listavistosa-nfasis11" w:customStyle="1">
    <w:name w:val="Lista vistosa - Énfasis 11"/>
    <w:basedOn w:val="Normal"/>
    <w:qFormat w:val="1"/>
    <w:rsid w:val="0014415E"/>
    <w:pPr>
      <w:ind w:left="708"/>
    </w:pPr>
    <w:rPr>
      <w:rFonts w:ascii="Times New Roman" w:cs="Times New Roman" w:eastAsia="Times New Roman" w:hAnsi="Times New Roman"/>
    </w:rPr>
  </w:style>
  <w:style w:type="character" w:styleId="nfasis">
    <w:name w:val="Emphasis"/>
    <w:qFormat w:val="1"/>
    <w:rsid w:val="0014415E"/>
    <w:rPr>
      <w:i w:val="1"/>
      <w:iCs w:val="1"/>
    </w:rPr>
  </w:style>
  <w:style w:type="character" w:styleId="Hipervnculovisitado">
    <w:name w:val="FollowedHyperlink"/>
    <w:basedOn w:val="Fuentedeprrafopredeter"/>
    <w:uiPriority w:val="99"/>
    <w:semiHidden w:val="1"/>
    <w:unhideWhenUsed w:val="1"/>
    <w:rsid w:val="009807A2"/>
    <w:rPr>
      <w:color w:val="954f72" w:themeColor="followed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7"/>
    <w:tblPr>
      <w:tblStyleRowBandSize w:val="1"/>
      <w:tblStyleColBandSize w:val="1"/>
      <w:tblCellMar>
        <w:left w:w="115.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paragraph" w:styleId="Revisin">
    <w:name w:val="Revision"/>
    <w:hidden w:val="1"/>
    <w:uiPriority w:val="99"/>
    <w:semiHidden w:val="1"/>
    <w:rsid w:val="006A66C4"/>
  </w:style>
  <w:style w:type="paragraph" w:styleId="Asuntodelcomentario">
    <w:name w:val="annotation subject"/>
    <w:basedOn w:val="Textocomentario"/>
    <w:next w:val="Textocomentario"/>
    <w:link w:val="AsuntodelcomentarioCar"/>
    <w:uiPriority w:val="99"/>
    <w:semiHidden w:val="1"/>
    <w:unhideWhenUsed w:val="1"/>
    <w:rsid w:val="005018AE"/>
    <w:rPr>
      <w:b w:val="1"/>
      <w:bCs w:val="1"/>
    </w:rPr>
  </w:style>
  <w:style w:type="character" w:styleId="AsuntodelcomentarioCar" w:customStyle="1">
    <w:name w:val="Asunto del comentario Car"/>
    <w:basedOn w:val="TextocomentarioCar"/>
    <w:link w:val="Asuntodelcomentario"/>
    <w:uiPriority w:val="99"/>
    <w:semiHidden w:val="1"/>
    <w:rsid w:val="005018AE"/>
    <w:rPr>
      <w:b w:val="1"/>
      <w:bCs w:val="1"/>
      <w:sz w:val="20"/>
      <w:szCs w:val="20"/>
    </w:rPr>
  </w:style>
  <w:style w:type="table" w:styleId="a0" w:customStyle="1">
    <w:basedOn w:val="TableNormal6"/>
    <w:tblPr>
      <w:tblStyleRowBandSize w:val="1"/>
      <w:tblStyleColBandSize w:val="1"/>
      <w:tblCellMar>
        <w:left w:w="115.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table" w:styleId="a1" w:customStyle="1">
    <w:basedOn w:val="TableNormal5"/>
    <w:tblPr>
      <w:tblStyleRowBandSize w:val="1"/>
      <w:tblStyleColBandSize w:val="1"/>
      <w:tblCellMar>
        <w:left w:w="115.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table" w:styleId="a2" w:customStyle="1">
    <w:basedOn w:val="TableNormal5"/>
    <w:tblPr>
      <w:tblStyleRowBandSize w:val="1"/>
      <w:tblStyleColBandSize w:val="1"/>
      <w:tblCellMar>
        <w:left w:w="115.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table" w:styleId="Tablaconcuadrcula">
    <w:name w:val="Table Grid"/>
    <w:basedOn w:val="Tablanormal"/>
    <w:uiPriority w:val="39"/>
    <w:rsid w:val="006E2E3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concolores">
    <w:name w:val="Grid Table 6 Colorful"/>
    <w:basedOn w:val="Tablanormal"/>
    <w:uiPriority w:val="51"/>
    <w:rsid w:val="006E2E3D"/>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a3" w:customStyle="1">
    <w:basedOn w:val="TableNormal0"/>
    <w:rPr>
      <w:color w:val="000000"/>
    </w:rPr>
    <w:tblPr>
      <w:tblStyleRowBandSize w:val="1"/>
      <w:tblStyleColBandSize w:val="1"/>
      <w:tblCellMar>
        <w:left w:w="115.0" w:type="dxa"/>
        <w:right w:w="115.0" w:type="dxa"/>
      </w:tblCellMar>
    </w:tblPr>
    <w:tcPr>
      <w:shd w:color="auto" w:fill="d9e2f3" w:val="clear"/>
    </w:tcPr>
  </w:style>
  <w:style w:type="table" w:styleId="a4" w:customStyle="1">
    <w:basedOn w:val="TableNormal0"/>
    <w:rPr>
      <w:color w:val="000000"/>
    </w:rPr>
    <w:tblPr>
      <w:tblStyleRowBandSize w:val="1"/>
      <w:tblStyleColBandSize w:val="1"/>
      <w:tblCellMar>
        <w:left w:w="115.0" w:type="dxa"/>
        <w:right w:w="115.0" w:type="dxa"/>
      </w:tblCellMar>
    </w:tblPr>
    <w:tcPr>
      <w:shd w:color="auto" w:fill="d9e2f3"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5" w:customStyle="1">
    <w:basedOn w:val="TableNormal0"/>
    <w:rPr>
      <w:color w:val="000000"/>
    </w:rPr>
    <w:tblPr>
      <w:tblStyleRowBandSize w:val="1"/>
      <w:tblStyleColBandSize w:val="1"/>
      <w:tblCellMar>
        <w:left w:w="115.0" w:type="dxa"/>
        <w:right w:w="115.0" w:type="dxa"/>
      </w:tblCellMar>
    </w:tblPr>
    <w:tcPr>
      <w:shd w:color="auto" w:fill="d9e2f3"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Tabladecuadrcula3">
    <w:name w:val="Grid Table 3"/>
    <w:basedOn w:val="Tablanormal"/>
    <w:uiPriority w:val="48"/>
    <w:rsid w:val="00D218ED"/>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Tablaconcuadrcula4-nfasis3">
    <w:name w:val="Grid Table 4 Accent 3"/>
    <w:basedOn w:val="Tablanormal"/>
    <w:uiPriority w:val="49"/>
    <w:rsid w:val="00D218ED"/>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Pr>
    <w:tblStylePr w:type="firstRow">
      <w:rPr>
        <w:b w:val="1"/>
        <w:bCs w:val="1"/>
        <w:color w:val="ffffff" w:themeColor="background1"/>
      </w:rPr>
      <w:tblPr/>
      <w:tcPr>
        <w:tcBorders>
          <w:top w:color="a5a5a5" w:space="0" w:sz="4" w:themeColor="accent3" w:val="single"/>
          <w:left w:color="a5a5a5" w:space="0" w:sz="4" w:themeColor="accent3" w:val="single"/>
          <w:bottom w:color="a5a5a5" w:space="0" w:sz="4" w:themeColor="accent3" w:val="single"/>
          <w:right w:color="a5a5a5" w:space="0" w:sz="4" w:themeColor="accent3" w:val="single"/>
          <w:insideH w:space="0" w:sz="0" w:val="nil"/>
          <w:insideV w:space="0" w:sz="0" w:val="nil"/>
        </w:tcBorders>
        <w:shd w:color="auto" w:fill="a5a5a5" w:themeFill="accent3" w:val="clear"/>
      </w:tcPr>
    </w:tblStylePr>
    <w:tblStylePr w:type="lastRow">
      <w:rPr>
        <w:b w:val="1"/>
        <w:bCs w:val="1"/>
      </w:rPr>
      <w:tblPr/>
      <w:tcPr>
        <w:tcBorders>
          <w:top w:color="a5a5a5" w:space="0" w:sz="4" w:themeColor="accent3"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0.0" w:type="dxa"/>
        <w:left w:w="115.0" w:type="dxa"/>
        <w:bottom w:w="0.0" w:type="dxa"/>
        <w:right w:w="115.0" w:type="dxa"/>
      </w:tblCellMar>
    </w:tblPr>
    <w:tcPr>
      <w:shd w:fill="d9e2f3"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www.fotocasa.es/" TargetMode="External"/><Relationship Id="rId22" Type="http://schemas.openxmlformats.org/officeDocument/2006/relationships/hyperlink" Target="https://www.fotocasa.es/es/quienes-somos/" TargetMode="External"/><Relationship Id="rId21" Type="http://schemas.openxmlformats.org/officeDocument/2006/relationships/hyperlink" Target="https://www.adevinta.com/" TargetMode="External"/><Relationship Id="rId24" Type="http://schemas.openxmlformats.org/officeDocument/2006/relationships/hyperlink" Target="https://www.habitaclia.com/" TargetMode="External"/><Relationship Id="rId23" Type="http://schemas.openxmlformats.org/officeDocument/2006/relationships/hyperlink" Target="https://www.fotocasa.es/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otocasa.es" TargetMode="External"/><Relationship Id="rId26" Type="http://schemas.openxmlformats.org/officeDocument/2006/relationships/hyperlink" Target="https://www.coches.net/" TargetMode="External"/><Relationship Id="rId25" Type="http://schemas.openxmlformats.org/officeDocument/2006/relationships/hyperlink" Target="https://www.infojobs.net/" TargetMode="External"/><Relationship Id="rId28" Type="http://schemas.openxmlformats.org/officeDocument/2006/relationships/hyperlink" Target="https://www.milanuncios.com/" TargetMode="External"/><Relationship Id="rId27" Type="http://schemas.openxmlformats.org/officeDocument/2006/relationships/hyperlink" Target="https://motos.coches.ne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adevinta.es" TargetMode="External"/><Relationship Id="rId7" Type="http://schemas.openxmlformats.org/officeDocument/2006/relationships/image" Target="media/image3.png"/><Relationship Id="rId8" Type="http://schemas.openxmlformats.org/officeDocument/2006/relationships/image" Target="media/image2.png"/><Relationship Id="rId31" Type="http://schemas.openxmlformats.org/officeDocument/2006/relationships/footer" Target="footer1.xml"/><Relationship Id="rId30" Type="http://schemas.openxmlformats.org/officeDocument/2006/relationships/hyperlink" Target="mailto:comunicacion@fotocasa.es" TargetMode="External"/><Relationship Id="rId11" Type="http://schemas.openxmlformats.org/officeDocument/2006/relationships/hyperlink" Target="https://www.fotocasa.es" TargetMode="External"/><Relationship Id="rId10" Type="http://schemas.openxmlformats.org/officeDocument/2006/relationships/hyperlink" Target="https://datavenues.com/" TargetMode="External"/><Relationship Id="rId13" Type="http://schemas.openxmlformats.org/officeDocument/2006/relationships/image" Target="media/image5.png"/><Relationship Id="rId12" Type="http://schemas.openxmlformats.org/officeDocument/2006/relationships/hyperlink" Target="https://www.fotocasa.es" TargetMode="External"/><Relationship Id="rId15" Type="http://schemas.openxmlformats.org/officeDocument/2006/relationships/image" Target="media/image1.png"/><Relationship Id="rId14" Type="http://schemas.openxmlformats.org/officeDocument/2006/relationships/hyperlink" Target="https://datavenues.com/" TargetMode="External"/><Relationship Id="rId17" Type="http://schemas.openxmlformats.org/officeDocument/2006/relationships/hyperlink" Target="https://datavenues.com/" TargetMode="External"/><Relationship Id="rId16" Type="http://schemas.openxmlformats.org/officeDocument/2006/relationships/hyperlink" Target="https://datavenues.com/" TargetMode="External"/><Relationship Id="rId19" Type="http://schemas.openxmlformats.org/officeDocument/2006/relationships/hyperlink" Target="http://prensa.fotocasa.es" TargetMode="External"/><Relationship Id="rId18" Type="http://schemas.openxmlformats.org/officeDocument/2006/relationships/hyperlink" Target="https://www.fotocasa.es/indi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kExcXsqj6wAyDcxGjpCgCLFohQ==">CgMxLjAyCGguZ2pkZ3hzMgloLjMwajB6bGwyCWguMnM4ZXlvMTgAciExcTM4amRwa0o5N0c3UnYzaGEwRGRPSHBzaklEM29BMUE=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2021-03-17T10:21:00Z</dcterms:created>
  <dc:creator>Ramon Torne</dc:creator>
</cp:coreProperties>
</file>