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7336E" w14:textId="77777777" w:rsidR="001B4782"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DIFICULTADES EN EL PAGO DE ALQUILERES E HIPOTECAS</w:t>
      </w:r>
    </w:p>
    <w:p w14:paraId="322CC353" w14:textId="77777777" w:rsidR="001B4782" w:rsidRPr="002E7141" w:rsidRDefault="00000000">
      <w:pPr>
        <w:shd w:val="clear" w:color="auto" w:fill="FFFFFF"/>
        <w:ind w:right="-574"/>
        <w:jc w:val="center"/>
        <w:rPr>
          <w:rFonts w:ascii="National" w:eastAsia="National" w:hAnsi="National" w:cs="National"/>
          <w:b/>
          <w:color w:val="303AB2"/>
          <w:sz w:val="50"/>
          <w:szCs w:val="50"/>
        </w:rPr>
      </w:pPr>
      <w:r w:rsidRPr="002E7141">
        <w:rPr>
          <w:rFonts w:ascii="National" w:eastAsia="National" w:hAnsi="National" w:cs="National"/>
          <w:b/>
          <w:color w:val="303AB2"/>
          <w:sz w:val="50"/>
          <w:szCs w:val="50"/>
        </w:rPr>
        <w:t>Vacaciones, escapadas y ocio son los principales recortes para poder pagar la hipoteca o el alquiler</w:t>
      </w:r>
    </w:p>
    <w:p w14:paraId="7A4E221D" w14:textId="77777777" w:rsidR="001B4782" w:rsidRDefault="001B4782">
      <w:pPr>
        <w:spacing w:line="276" w:lineRule="auto"/>
        <w:ind w:right="-574"/>
        <w:jc w:val="both"/>
        <w:rPr>
          <w:rFonts w:ascii="Open Sans" w:eastAsia="Open Sans" w:hAnsi="Open Sans" w:cs="Open Sans"/>
          <w:sz w:val="22"/>
          <w:szCs w:val="22"/>
        </w:rPr>
      </w:pPr>
    </w:p>
    <w:p w14:paraId="227FA002" w14:textId="77777777" w:rsidR="001B4782"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78% de los inquilinos reconoce que ha tenido que recortar gastos para pagar el alquiler y en el caso de los hipotecados el porcentaje es del 64%</w:t>
      </w:r>
    </w:p>
    <w:p w14:paraId="152A2EBE" w14:textId="77777777" w:rsidR="001B4782"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54% de los inquilinos recorta en vacaciones y tiempo libre y en el caso de los hipotecados, lo hace el 42% de ellos</w:t>
      </w:r>
    </w:p>
    <w:p w14:paraId="0E4FE37A" w14:textId="77777777" w:rsidR="001B4782"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ocio cotidiano fuera del hogar (cañas, cines, restaurantes…) es el siguiente gasto en el que recortan los españoles para pagar la vivienda</w:t>
      </w:r>
    </w:p>
    <w:p w14:paraId="29D6787E" w14:textId="77777777" w:rsidR="001B4782"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24% de los inquilinos y el 15% de los hipotecados tienen que hacer recortes en la compra de alimentos</w:t>
      </w:r>
    </w:p>
    <w:p w14:paraId="23D943F4" w14:textId="77777777" w:rsidR="001B4782"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Las mujeres afrontan con más dificultad el pago de la cuota que los hombres</w:t>
      </w:r>
    </w:p>
    <w:p w14:paraId="6110BABC" w14:textId="77777777" w:rsidR="001B4782" w:rsidRDefault="001B4782">
      <w:pPr>
        <w:pBdr>
          <w:top w:val="nil"/>
          <w:left w:val="nil"/>
          <w:bottom w:val="nil"/>
          <w:right w:val="nil"/>
          <w:between w:val="nil"/>
        </w:pBdr>
        <w:spacing w:line="276" w:lineRule="auto"/>
        <w:ind w:right="-574"/>
        <w:jc w:val="both"/>
        <w:rPr>
          <w:rFonts w:ascii="Open Sans" w:eastAsia="Open Sans" w:hAnsi="Open Sans" w:cs="Open Sans"/>
          <w:sz w:val="22"/>
          <w:szCs w:val="22"/>
        </w:rPr>
      </w:pPr>
    </w:p>
    <w:p w14:paraId="59D8A8FE" w14:textId="77777777" w:rsidR="001B4782"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14 de enero de 2025</w:t>
      </w:r>
    </w:p>
    <w:p w14:paraId="67D80B49" w14:textId="77777777" w:rsidR="001B4782" w:rsidRDefault="001B4782">
      <w:pPr>
        <w:spacing w:line="276" w:lineRule="auto"/>
        <w:ind w:right="-574"/>
        <w:jc w:val="both"/>
        <w:rPr>
          <w:rFonts w:ascii="Open Sans" w:eastAsia="Open Sans" w:hAnsi="Open Sans" w:cs="Open Sans"/>
          <w:color w:val="000000"/>
          <w:sz w:val="22"/>
          <w:szCs w:val="22"/>
        </w:rPr>
      </w:pPr>
    </w:p>
    <w:p w14:paraId="6635E8C0" w14:textId="77777777" w:rsidR="001B478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57% de los inquilinos afronta con problemas el pago mensual de su alquiler frente al 40% de la población hipotecada que cuenta con problemas para pagar las cuotas hipotecarias. Estas dificultades a la hora de pagar la vivienda provocan que haya que recurrir a importantes renuncias en el día a día. De hecho, el 78% de los inquilinos reconoce que ha tenido que recortar gastos para poder pagar el alquiler, mientras que en el caso de los hipotecados el porcentaje asciende al 64%. Así se desprende del análisis </w:t>
      </w:r>
      <w:r>
        <w:rPr>
          <w:rFonts w:ascii="Open Sans" w:eastAsia="Open Sans" w:hAnsi="Open Sans" w:cs="Open Sans"/>
          <w:b/>
          <w:i/>
          <w:color w:val="000000"/>
          <w:sz w:val="22"/>
          <w:szCs w:val="22"/>
        </w:rPr>
        <w:t>“¿Cómo afronta el pago de la vivienda los españoles?</w:t>
      </w:r>
      <w:r>
        <w:rPr>
          <w:rFonts w:ascii="Open Sans" w:eastAsia="Open Sans" w:hAnsi="Open Sans" w:cs="Open Sans"/>
          <w:color w:val="000000"/>
          <w:sz w:val="22"/>
          <w:szCs w:val="22"/>
        </w:rPr>
        <w:t xml:space="preserve">” realizado por </w:t>
      </w:r>
      <w:r>
        <w:rPr>
          <w:rFonts w:ascii="Open Sans" w:eastAsia="Open Sans" w:hAnsi="Open Sans" w:cs="Open Sans"/>
          <w:b/>
          <w:color w:val="000000"/>
          <w:sz w:val="22"/>
          <w:szCs w:val="22"/>
        </w:rPr>
        <w:t xml:space="preserve">Fotocasa </w:t>
      </w:r>
      <w:proofErr w:type="spellStart"/>
      <w:r>
        <w:rPr>
          <w:rFonts w:ascii="Open Sans" w:eastAsia="Open Sans" w:hAnsi="Open Sans" w:cs="Open Sans"/>
          <w:b/>
          <w:color w:val="000000"/>
          <w:sz w:val="22"/>
          <w:szCs w:val="22"/>
        </w:rPr>
        <w:t>Research</w:t>
      </w:r>
      <w:proofErr w:type="spellEnd"/>
      <w:r>
        <w:rPr>
          <w:rFonts w:ascii="Open Sans" w:eastAsia="Open Sans" w:hAnsi="Open Sans" w:cs="Open Sans"/>
          <w:color w:val="000000"/>
          <w:sz w:val="22"/>
          <w:szCs w:val="22"/>
        </w:rPr>
        <w:t xml:space="preserve">. </w:t>
      </w:r>
    </w:p>
    <w:p w14:paraId="3D2F09E8" w14:textId="77777777" w:rsidR="001B4782" w:rsidRDefault="001B4782">
      <w:pPr>
        <w:spacing w:line="276" w:lineRule="auto"/>
        <w:ind w:right="-574"/>
        <w:jc w:val="both"/>
        <w:rPr>
          <w:rFonts w:ascii="Open Sans" w:eastAsia="Open Sans" w:hAnsi="Open Sans" w:cs="Open Sans"/>
          <w:color w:val="000000"/>
          <w:sz w:val="22"/>
          <w:szCs w:val="22"/>
        </w:rPr>
      </w:pPr>
    </w:p>
    <w:p w14:paraId="509BE24C" w14:textId="77777777" w:rsidR="001B478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este sentido, </w:t>
      </w:r>
      <w:r>
        <w:rPr>
          <w:rFonts w:ascii="Open Sans" w:eastAsia="Open Sans" w:hAnsi="Open Sans" w:cs="Open Sans"/>
          <w:b/>
          <w:color w:val="000000"/>
          <w:sz w:val="22"/>
          <w:szCs w:val="22"/>
        </w:rPr>
        <w:t>la principal partida de la que se deduce el presupuesto es la destinada a vacaciones y tiempo libre</w:t>
      </w:r>
      <w:r>
        <w:rPr>
          <w:rFonts w:ascii="Open Sans" w:eastAsia="Open Sans" w:hAnsi="Open Sans" w:cs="Open Sans"/>
          <w:color w:val="000000"/>
          <w:sz w:val="22"/>
          <w:szCs w:val="22"/>
        </w:rPr>
        <w:t xml:space="preserve"> (viajes, escapadas, etcétera). Esto es así en el 54% en el caso de los inquilinos y en el 42% en el de los hipotecados.</w:t>
      </w:r>
    </w:p>
    <w:p w14:paraId="07454F5C" w14:textId="77777777" w:rsidR="001B4782" w:rsidRDefault="001B4782">
      <w:pPr>
        <w:spacing w:line="276" w:lineRule="auto"/>
        <w:ind w:right="-574"/>
        <w:jc w:val="both"/>
        <w:rPr>
          <w:rFonts w:ascii="Open Sans" w:eastAsia="Open Sans" w:hAnsi="Open Sans" w:cs="Open Sans"/>
          <w:color w:val="000000"/>
          <w:sz w:val="22"/>
          <w:szCs w:val="22"/>
        </w:rPr>
      </w:pPr>
    </w:p>
    <w:p w14:paraId="0902366C" w14:textId="77777777" w:rsidR="001B478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b/>
          <w:color w:val="000000"/>
          <w:sz w:val="22"/>
          <w:szCs w:val="22"/>
        </w:rPr>
        <w:t>El siguiente gasto del que más se prescinde es el del ocio cotidiano fuera del hogar</w:t>
      </w:r>
      <w:r>
        <w:rPr>
          <w:rFonts w:ascii="Open Sans" w:eastAsia="Open Sans" w:hAnsi="Open Sans" w:cs="Open Sans"/>
          <w:color w:val="000000"/>
          <w:sz w:val="22"/>
          <w:szCs w:val="22"/>
        </w:rPr>
        <w:t xml:space="preserve"> (cañas, cines, restaurantes…). Esta renuncia alcanza al 47% de quienes pagan alquiler, y al 36% de los que se encuentran sujetos a un contrato hipotecario.</w:t>
      </w:r>
    </w:p>
    <w:p w14:paraId="34EE70FA" w14:textId="77777777" w:rsidR="001B4782" w:rsidRDefault="001B4782">
      <w:pPr>
        <w:spacing w:line="276" w:lineRule="auto"/>
        <w:ind w:right="-574"/>
        <w:jc w:val="both"/>
        <w:rPr>
          <w:rFonts w:ascii="Open Sans" w:eastAsia="Open Sans" w:hAnsi="Open Sans" w:cs="Open Sans"/>
          <w:sz w:val="22"/>
          <w:szCs w:val="22"/>
        </w:rPr>
      </w:pPr>
    </w:p>
    <w:p w14:paraId="6970C97A" w14:textId="77777777" w:rsidR="00CB1D58" w:rsidRDefault="00CB1D58">
      <w:pPr>
        <w:spacing w:line="276" w:lineRule="auto"/>
        <w:ind w:right="-574"/>
        <w:jc w:val="both"/>
        <w:rPr>
          <w:rFonts w:ascii="Open Sans" w:eastAsia="Open Sans" w:hAnsi="Open Sans" w:cs="Open Sans"/>
          <w:sz w:val="22"/>
          <w:szCs w:val="22"/>
        </w:rPr>
      </w:pPr>
    </w:p>
    <w:p w14:paraId="3A70F2F3" w14:textId="26EE4D86" w:rsidR="001B4782" w:rsidRDefault="00000000">
      <w:pPr>
        <w:spacing w:line="276" w:lineRule="auto"/>
        <w:ind w:right="-574"/>
        <w:jc w:val="both"/>
        <w:rPr>
          <w:rFonts w:ascii="Open Sans" w:eastAsia="Open Sans" w:hAnsi="Open Sans" w:cs="Open Sans"/>
          <w:b/>
          <w:sz w:val="22"/>
          <w:szCs w:val="22"/>
        </w:rPr>
      </w:pPr>
      <w:r>
        <w:rPr>
          <w:rFonts w:ascii="Open Sans" w:eastAsia="Open Sans" w:hAnsi="Open Sans" w:cs="Open Sans"/>
          <w:sz w:val="22"/>
          <w:szCs w:val="22"/>
        </w:rPr>
        <w:lastRenderedPageBreak/>
        <w:t xml:space="preserve">“La gran mayoría de los ciudadanos tiene dificultades para hacer frente al pago de su vivienda. Es una situación preocupante y frustrante para miles de familias que luchan por mantener un equilibrio económico. Estos datos ponen de manifiesto que los salarios y el precio de la vivienda están muy alejados entre sí, lo que obliga a que se renuncie a otras necesidades y servicios de la vida cotidiana. Por ello, es urgente la toma de medidas que aumenten los salarios y que rebajen el precio de la vivienda para no solo garantizar el acceso al inmueble, sino el mantenimiento de la vida digna en él”, </w:t>
      </w:r>
      <w:r>
        <w:rPr>
          <w:rFonts w:ascii="Open Sans" w:eastAsia="Open Sans" w:hAnsi="Open Sans" w:cs="Open Sans"/>
          <w:b/>
          <w:sz w:val="22"/>
          <w:szCs w:val="22"/>
        </w:rPr>
        <w:t xml:space="preserve">comenta María Matos, directora de Estudios y portavoz de </w:t>
      </w:r>
      <w:hyperlink r:id="rId8">
        <w:r>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w:t>
      </w:r>
    </w:p>
    <w:p w14:paraId="1A251CBC" w14:textId="77777777" w:rsidR="001B4782" w:rsidRDefault="001B4782">
      <w:pPr>
        <w:spacing w:line="276" w:lineRule="auto"/>
        <w:ind w:right="-574"/>
        <w:jc w:val="both"/>
        <w:rPr>
          <w:rFonts w:ascii="Open Sans" w:eastAsia="Open Sans" w:hAnsi="Open Sans" w:cs="Open Sans"/>
          <w:color w:val="000000"/>
          <w:sz w:val="22"/>
          <w:szCs w:val="22"/>
        </w:rPr>
      </w:pPr>
    </w:p>
    <w:p w14:paraId="1CCC2494" w14:textId="77777777" w:rsidR="001B478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Les siguen en esta lista de descartes </w:t>
      </w:r>
      <w:r>
        <w:rPr>
          <w:rFonts w:ascii="Open Sans" w:eastAsia="Open Sans" w:hAnsi="Open Sans" w:cs="Open Sans"/>
          <w:b/>
          <w:color w:val="000000"/>
          <w:sz w:val="22"/>
          <w:szCs w:val="22"/>
        </w:rPr>
        <w:t>las compras personales</w:t>
      </w:r>
      <w:r>
        <w:rPr>
          <w:rFonts w:ascii="Open Sans" w:eastAsia="Open Sans" w:hAnsi="Open Sans" w:cs="Open Sans"/>
          <w:color w:val="000000"/>
          <w:sz w:val="22"/>
          <w:szCs w:val="22"/>
        </w:rPr>
        <w:t xml:space="preserve"> (ropa, complementos, perfumería, cosmética…), que se reducen en un 46% por parte de los inquilinos y un 33% de los hipotecados. Más graves son </w:t>
      </w:r>
      <w:r>
        <w:rPr>
          <w:rFonts w:ascii="Open Sans" w:eastAsia="Open Sans" w:hAnsi="Open Sans" w:cs="Open Sans"/>
          <w:b/>
          <w:color w:val="000000"/>
          <w:sz w:val="22"/>
          <w:szCs w:val="22"/>
        </w:rPr>
        <w:t>los recortes que deben realizarse en la compra de alimentos, una situación que afecta al 24% de los arrendatarios y a un 15% de los hipotecados</w:t>
      </w:r>
      <w:r>
        <w:rPr>
          <w:rFonts w:ascii="Open Sans" w:eastAsia="Open Sans" w:hAnsi="Open Sans" w:cs="Open Sans"/>
          <w:color w:val="000000"/>
          <w:sz w:val="22"/>
          <w:szCs w:val="22"/>
        </w:rPr>
        <w:t xml:space="preserve">. </w:t>
      </w:r>
    </w:p>
    <w:p w14:paraId="5EA3F1CB" w14:textId="77777777" w:rsidR="001B4782" w:rsidRDefault="001B4782">
      <w:pPr>
        <w:spacing w:line="276" w:lineRule="auto"/>
        <w:ind w:right="-574"/>
        <w:jc w:val="both"/>
        <w:rPr>
          <w:rFonts w:ascii="Open Sans" w:eastAsia="Open Sans" w:hAnsi="Open Sans" w:cs="Open Sans"/>
          <w:color w:val="000000"/>
          <w:sz w:val="22"/>
          <w:szCs w:val="22"/>
        </w:rPr>
      </w:pPr>
    </w:p>
    <w:p w14:paraId="527FE325" w14:textId="77777777" w:rsidR="001B478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También resultan relevantes </w:t>
      </w:r>
      <w:r>
        <w:rPr>
          <w:rFonts w:ascii="Open Sans" w:eastAsia="Open Sans" w:hAnsi="Open Sans" w:cs="Open Sans"/>
          <w:b/>
          <w:color w:val="000000"/>
          <w:sz w:val="22"/>
          <w:szCs w:val="22"/>
        </w:rPr>
        <w:t>los esfuerzos de contención que realizan los inquilinos en materias como el pago de seguros</w:t>
      </w:r>
      <w:r>
        <w:rPr>
          <w:rFonts w:ascii="Open Sans" w:eastAsia="Open Sans" w:hAnsi="Open Sans" w:cs="Open Sans"/>
          <w:color w:val="000000"/>
          <w:sz w:val="22"/>
          <w:szCs w:val="22"/>
        </w:rPr>
        <w:t xml:space="preserve"> (hogar, coche, salud) y de servicios del hogar (suministros, reformas o seguridad). En ambos casos, las reducciones afectan al 18% de los consultados.</w:t>
      </w:r>
    </w:p>
    <w:p w14:paraId="0F39D996" w14:textId="77777777" w:rsidR="001B4782" w:rsidRDefault="001B4782">
      <w:pPr>
        <w:spacing w:line="276" w:lineRule="auto"/>
        <w:ind w:right="-574"/>
        <w:jc w:val="both"/>
        <w:rPr>
          <w:rFonts w:ascii="Open Sans" w:eastAsia="Open Sans" w:hAnsi="Open Sans" w:cs="Open Sans"/>
          <w:color w:val="000000"/>
          <w:sz w:val="22"/>
          <w:szCs w:val="22"/>
        </w:rPr>
      </w:pPr>
    </w:p>
    <w:p w14:paraId="395D0C7C" w14:textId="77777777" w:rsidR="001B4782" w:rsidRDefault="00000000">
      <w:pPr>
        <w:spacing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rPr>
        <w:t>Recorte de gastos de inquilinos e hipotecados para hacer frente a las cuotas</w:t>
      </w:r>
    </w:p>
    <w:p w14:paraId="41B4C557" w14:textId="77777777" w:rsidR="001B478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noProof/>
          <w:color w:val="000000"/>
          <w:sz w:val="22"/>
          <w:szCs w:val="22"/>
        </w:rPr>
        <w:drawing>
          <wp:inline distT="0" distB="0" distL="0" distR="0" wp14:anchorId="55964494" wp14:editId="00D1C7E6">
            <wp:extent cx="5715953" cy="3458305"/>
            <wp:effectExtent l="0" t="0" r="0" b="0"/>
            <wp:docPr id="2025153004" name="image3.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Gráfico, Gráfico de barras&#10;&#10;Descripción generada automáticamente"/>
                    <pic:cNvPicPr preferRelativeResize="0"/>
                  </pic:nvPicPr>
                  <pic:blipFill>
                    <a:blip r:embed="rId9"/>
                    <a:srcRect l="4884" t="5610" r="3203"/>
                    <a:stretch>
                      <a:fillRect/>
                    </a:stretch>
                  </pic:blipFill>
                  <pic:spPr>
                    <a:xfrm>
                      <a:off x="0" y="0"/>
                      <a:ext cx="5715953" cy="3458305"/>
                    </a:xfrm>
                    <a:prstGeom prst="rect">
                      <a:avLst/>
                    </a:prstGeom>
                    <a:ln/>
                  </pic:spPr>
                </pic:pic>
              </a:graphicData>
            </a:graphic>
          </wp:inline>
        </w:drawing>
      </w:r>
    </w:p>
    <w:p w14:paraId="4F0381B5" w14:textId="77777777" w:rsidR="001B4782"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Perfil de los que afrontan dificultades: más mujeres que hombres</w:t>
      </w:r>
    </w:p>
    <w:p w14:paraId="5493D432" w14:textId="77777777" w:rsidR="001B4782" w:rsidRDefault="001B4782">
      <w:pPr>
        <w:spacing w:line="276" w:lineRule="auto"/>
        <w:ind w:right="-574"/>
        <w:jc w:val="both"/>
        <w:rPr>
          <w:rFonts w:ascii="Open Sans" w:eastAsia="Open Sans" w:hAnsi="Open Sans" w:cs="Open Sans"/>
          <w:color w:val="000000"/>
          <w:sz w:val="22"/>
          <w:szCs w:val="22"/>
        </w:rPr>
      </w:pPr>
    </w:p>
    <w:p w14:paraId="46405B07" w14:textId="77777777" w:rsidR="001B4782" w:rsidRDefault="00000000">
      <w:pPr>
        <w:spacing w:line="276" w:lineRule="auto"/>
        <w:ind w:right="-574"/>
        <w:jc w:val="both"/>
        <w:rPr>
          <w:rFonts w:ascii="Open Sans" w:eastAsia="Open Sans" w:hAnsi="Open Sans" w:cs="Open Sans"/>
          <w:b/>
          <w:color w:val="000000"/>
          <w:sz w:val="22"/>
          <w:szCs w:val="22"/>
        </w:rPr>
      </w:pPr>
      <w:r>
        <w:rPr>
          <w:rFonts w:ascii="Open Sans" w:eastAsia="Open Sans" w:hAnsi="Open Sans" w:cs="Open Sans"/>
          <w:color w:val="000000"/>
          <w:sz w:val="22"/>
          <w:szCs w:val="22"/>
        </w:rPr>
        <w:t xml:space="preserve">Si se esboza el retrato tipo de los particulares que hacen frente a situaciones complicadas para pagar su vivienda, ya sea como inquilinos o como hipotecados, lo primero que se observa </w:t>
      </w:r>
      <w:r>
        <w:rPr>
          <w:rFonts w:ascii="Open Sans" w:eastAsia="Open Sans" w:hAnsi="Open Sans" w:cs="Open Sans"/>
          <w:b/>
          <w:color w:val="000000"/>
          <w:sz w:val="22"/>
          <w:szCs w:val="22"/>
        </w:rPr>
        <w:t>es un perfil feminizado, ya que las mujeres son el 56% de quienes viven de alquiler y el 53% de las que cuentan con hipoteca.</w:t>
      </w:r>
    </w:p>
    <w:p w14:paraId="2DF105B8" w14:textId="77777777" w:rsidR="001B4782" w:rsidRDefault="001B4782">
      <w:pPr>
        <w:spacing w:line="276" w:lineRule="auto"/>
        <w:ind w:right="-574"/>
        <w:jc w:val="both"/>
        <w:rPr>
          <w:rFonts w:ascii="Open Sans" w:eastAsia="Open Sans" w:hAnsi="Open Sans" w:cs="Open Sans"/>
          <w:color w:val="000000"/>
          <w:sz w:val="22"/>
          <w:szCs w:val="22"/>
        </w:rPr>
      </w:pPr>
    </w:p>
    <w:p w14:paraId="12752615" w14:textId="77777777" w:rsidR="001B478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cuanto a la edad, vemos que entre los inquilinos con dificultades ofrecen un promedio más joven (42 años) que el de los hipotecados (47). Esta diferencia de edad se corresponde con la situación en ambos colectivos. Así, mientras que en los arrendatarios las dificultades se presentan de modo más transversal, destacando el tramo entre los 25 y los 34 años, con un 25%, en los hipotecados se concentran los problemas en el segmento situado de los 45 a los 54, con un 36%.</w:t>
      </w:r>
    </w:p>
    <w:p w14:paraId="3342BCFC" w14:textId="77777777" w:rsidR="001B4782" w:rsidRDefault="001B4782">
      <w:pPr>
        <w:spacing w:line="276" w:lineRule="auto"/>
        <w:ind w:right="-574"/>
        <w:jc w:val="both"/>
        <w:rPr>
          <w:rFonts w:ascii="Open Sans" w:eastAsia="Open Sans" w:hAnsi="Open Sans" w:cs="Open Sans"/>
          <w:sz w:val="22"/>
          <w:szCs w:val="22"/>
        </w:rPr>
      </w:pPr>
    </w:p>
    <w:p w14:paraId="2258E2B8" w14:textId="77777777" w:rsidR="001B4782"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Respecto al nivel socioeconómico, en ambos colectivos predomina el tramo medio (40% en los inquilinos y 41% en los hipotecados. Es en los extremos donde se aprecia diferencia. Así, en el </w:t>
      </w:r>
      <w:proofErr w:type="gramStart"/>
      <w:r>
        <w:rPr>
          <w:rFonts w:ascii="Open Sans" w:eastAsia="Open Sans" w:hAnsi="Open Sans" w:cs="Open Sans"/>
          <w:color w:val="000000"/>
          <w:sz w:val="22"/>
          <w:szCs w:val="22"/>
        </w:rPr>
        <w:t>índice alto o medio alto</w:t>
      </w:r>
      <w:proofErr w:type="gramEnd"/>
      <w:r>
        <w:rPr>
          <w:rFonts w:ascii="Open Sans" w:eastAsia="Open Sans" w:hAnsi="Open Sans" w:cs="Open Sans"/>
          <w:color w:val="000000"/>
          <w:sz w:val="22"/>
          <w:szCs w:val="22"/>
        </w:rPr>
        <w:t xml:space="preserve"> se sitúan solo el 27% de quienes viven de alquiler, mientras que los hipotecados son el 35%. Ocurre lo contrario en el tramo bajo o medio bajo: 32% los inquilinos y 24% los hipotecados.  </w:t>
      </w:r>
    </w:p>
    <w:p w14:paraId="46FE7826" w14:textId="77777777" w:rsidR="001B4782" w:rsidRDefault="001B4782">
      <w:pPr>
        <w:spacing w:line="276" w:lineRule="auto"/>
        <w:ind w:right="-574"/>
        <w:jc w:val="both"/>
        <w:rPr>
          <w:rFonts w:ascii="Open Sans" w:eastAsia="Open Sans" w:hAnsi="Open Sans" w:cs="Open Sans"/>
          <w:color w:val="000000"/>
          <w:sz w:val="22"/>
          <w:szCs w:val="22"/>
        </w:rPr>
      </w:pPr>
    </w:p>
    <w:p w14:paraId="2B541256" w14:textId="77777777" w:rsidR="001B4782" w:rsidRDefault="001B4782">
      <w:pPr>
        <w:spacing w:line="276" w:lineRule="auto"/>
        <w:ind w:right="-574"/>
        <w:jc w:val="both"/>
        <w:rPr>
          <w:rFonts w:ascii="Open Sans" w:eastAsia="Open Sans" w:hAnsi="Open Sans" w:cs="Open Sans"/>
          <w:color w:val="000000"/>
          <w:sz w:val="22"/>
          <w:szCs w:val="22"/>
        </w:rPr>
      </w:pPr>
    </w:p>
    <w:p w14:paraId="5350407D" w14:textId="77777777" w:rsidR="001B4782"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8C6CDAE" w14:textId="77777777" w:rsidR="001B478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0">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DCD76FD" w14:textId="77777777" w:rsidR="001B4782"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1">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1E5A752B" w14:textId="77777777" w:rsidR="001B4782" w:rsidRDefault="0000000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0F4DC160" w14:textId="77777777" w:rsidR="001B4782" w:rsidRDefault="001B4782">
      <w:pPr>
        <w:spacing w:line="276" w:lineRule="auto"/>
        <w:ind w:right="-574"/>
        <w:jc w:val="right"/>
        <w:rPr>
          <w:rFonts w:ascii="Open Sans Light" w:eastAsia="Open Sans Light" w:hAnsi="Open Sans Light" w:cs="Open Sans Light"/>
          <w:b/>
          <w:color w:val="303AB2"/>
        </w:rPr>
      </w:pPr>
    </w:p>
    <w:p w14:paraId="1B25A5EB" w14:textId="77777777" w:rsidR="00CB1D58" w:rsidRDefault="00CB1D58">
      <w:pPr>
        <w:spacing w:line="276" w:lineRule="auto"/>
        <w:ind w:right="-574"/>
        <w:jc w:val="right"/>
        <w:rPr>
          <w:rFonts w:ascii="Open Sans Light" w:eastAsia="Open Sans Light" w:hAnsi="Open Sans Light" w:cs="Open Sans Light"/>
          <w:b/>
          <w:color w:val="303AB2"/>
        </w:rPr>
      </w:pPr>
    </w:p>
    <w:p w14:paraId="4EDEE36F" w14:textId="77777777" w:rsidR="00CB1D58" w:rsidRDefault="00CB1D58">
      <w:pPr>
        <w:spacing w:line="276" w:lineRule="auto"/>
        <w:ind w:right="-574"/>
        <w:jc w:val="right"/>
        <w:rPr>
          <w:rFonts w:ascii="Open Sans Light" w:eastAsia="Open Sans Light" w:hAnsi="Open Sans Light" w:cs="Open Sans Light"/>
          <w:b/>
          <w:color w:val="303AB2"/>
        </w:rPr>
      </w:pPr>
    </w:p>
    <w:p w14:paraId="2E551216" w14:textId="77777777" w:rsidR="00CB1D58" w:rsidRDefault="00CB1D58">
      <w:pPr>
        <w:spacing w:line="276" w:lineRule="auto"/>
        <w:ind w:right="-574"/>
        <w:jc w:val="right"/>
        <w:rPr>
          <w:rFonts w:ascii="Open Sans Light" w:eastAsia="Open Sans Light" w:hAnsi="Open Sans Light" w:cs="Open Sans Light"/>
          <w:b/>
          <w:color w:val="303AB2"/>
        </w:rPr>
      </w:pPr>
    </w:p>
    <w:p w14:paraId="35002FAE" w14:textId="57C7FD81" w:rsidR="001B4782"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6331FBB4" w14:textId="77777777" w:rsidR="001B4782" w:rsidRDefault="00000000">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2">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3">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4">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5">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F920BE6" w14:textId="77777777" w:rsidR="001B4782"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0DF326B" w14:textId="77777777" w:rsidR="001B4782" w:rsidRDefault="00000000">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D9E3818" w14:textId="77777777" w:rsidR="001B4782" w:rsidRDefault="00000000">
      <w:pPr>
        <w:spacing w:before="143" w:after="200"/>
        <w:ind w:right="-574"/>
        <w:jc w:val="both"/>
        <w:rPr>
          <w:rFonts w:ascii="Open Sans" w:eastAsia="Open Sans" w:hAnsi="Open Sans" w:cs="Open Sans"/>
        </w:rPr>
      </w:pPr>
      <w:r>
        <w:rPr>
          <w:rFonts w:ascii="Open Sans" w:eastAsia="Open Sans" w:hAnsi="Open Sans" w:cs="Open Sans"/>
          <w:sz w:val="22"/>
          <w:szCs w:val="22"/>
        </w:rPr>
        <w:t xml:space="preserve">Más información en </w:t>
      </w:r>
      <w:hyperlink r:id="rId17">
        <w:r>
          <w:rPr>
            <w:rFonts w:ascii="Open Sans" w:eastAsia="Open Sans" w:hAnsi="Open Sans" w:cs="Open Sans"/>
            <w:color w:val="1155CC"/>
            <w:sz w:val="22"/>
            <w:szCs w:val="22"/>
            <w:u w:val="single"/>
          </w:rPr>
          <w:t>adevinta.es</w:t>
        </w:r>
      </w:hyperlink>
    </w:p>
    <w:p w14:paraId="79DAC90E" w14:textId="77777777" w:rsidR="001B4782" w:rsidRDefault="001B4782">
      <w:pPr>
        <w:spacing w:line="276" w:lineRule="auto"/>
        <w:ind w:right="-574"/>
        <w:jc w:val="right"/>
        <w:rPr>
          <w:rFonts w:ascii="Open Sans" w:eastAsia="Open Sans" w:hAnsi="Open Sans" w:cs="Open Sans"/>
        </w:rPr>
      </w:pPr>
    </w:p>
    <w:p w14:paraId="59602435" w14:textId="77777777" w:rsidR="001B4782" w:rsidRDefault="001B4782">
      <w:pPr>
        <w:spacing w:line="276" w:lineRule="auto"/>
        <w:ind w:right="-574"/>
        <w:jc w:val="right"/>
        <w:rPr>
          <w:rFonts w:ascii="Open Sans" w:eastAsia="Open Sans" w:hAnsi="Open Sans" w:cs="Open Sans"/>
        </w:rPr>
      </w:pPr>
    </w:p>
    <w:p w14:paraId="5859E47D" w14:textId="77777777" w:rsidR="001B4782"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B9F6415" w14:textId="77777777" w:rsidR="001B4782"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CCF36D8" w14:textId="77777777" w:rsidR="001B4782" w:rsidRDefault="00000000">
      <w:pPr>
        <w:shd w:val="clear" w:color="auto" w:fill="FFFFFF"/>
        <w:spacing w:line="276" w:lineRule="auto"/>
        <w:ind w:right="-574"/>
        <w:rPr>
          <w:rFonts w:ascii="Open Sans" w:eastAsia="Open Sans" w:hAnsi="Open Sans" w:cs="Open Sans"/>
          <w:color w:val="0000FF"/>
          <w:sz w:val="22"/>
          <w:szCs w:val="22"/>
          <w:u w:val="single"/>
        </w:rPr>
      </w:pPr>
      <w:hyperlink r:id="rId18">
        <w:r>
          <w:rPr>
            <w:rFonts w:ascii="Open Sans" w:eastAsia="Open Sans" w:hAnsi="Open Sans" w:cs="Open Sans"/>
            <w:color w:val="0000FF"/>
            <w:sz w:val="22"/>
            <w:szCs w:val="22"/>
            <w:u w:val="single"/>
          </w:rPr>
          <w:t>comunicacion@fotocasa.es</w:t>
        </w:r>
      </w:hyperlink>
    </w:p>
    <w:p w14:paraId="3477E5AB" w14:textId="77777777" w:rsidR="001B4782"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6B2ABDB" w14:textId="77777777" w:rsidR="001B4782" w:rsidRDefault="001B4782">
      <w:pPr>
        <w:spacing w:line="276" w:lineRule="auto"/>
        <w:ind w:right="-291"/>
        <w:rPr>
          <w:rFonts w:ascii="Open Sans Light" w:eastAsia="Open Sans Light" w:hAnsi="Open Sans Light" w:cs="Open Sans Light"/>
          <w:b/>
          <w:color w:val="303AB2"/>
          <w:sz w:val="22"/>
          <w:szCs w:val="22"/>
        </w:rPr>
      </w:pPr>
    </w:p>
    <w:p w14:paraId="3F77EF7D" w14:textId="77777777" w:rsidR="001B4782" w:rsidRDefault="001B4782">
      <w:pPr>
        <w:spacing w:line="276" w:lineRule="auto"/>
        <w:ind w:right="-291"/>
        <w:rPr>
          <w:rFonts w:ascii="Open Sans Light" w:eastAsia="Open Sans Light" w:hAnsi="Open Sans Light" w:cs="Open Sans Light"/>
          <w:b/>
          <w:color w:val="303AB2"/>
          <w:sz w:val="22"/>
          <w:szCs w:val="22"/>
        </w:rPr>
      </w:pPr>
    </w:p>
    <w:p w14:paraId="772B5CDB" w14:textId="77777777" w:rsidR="001B4782" w:rsidRDefault="001B4782">
      <w:pPr>
        <w:spacing w:line="276" w:lineRule="auto"/>
        <w:ind w:right="-291"/>
        <w:jc w:val="both"/>
        <w:rPr>
          <w:rFonts w:ascii="Open Sans" w:eastAsia="Open Sans" w:hAnsi="Open Sans" w:cs="Open Sans"/>
          <w:color w:val="000000"/>
          <w:sz w:val="21"/>
          <w:szCs w:val="21"/>
        </w:rPr>
      </w:pPr>
    </w:p>
    <w:sectPr w:rsidR="001B4782">
      <w:headerReference w:type="default" r:id="rId19"/>
      <w:footerReference w:type="default" r:id="rId20"/>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A79FB" w14:textId="77777777" w:rsidR="00F04A8B" w:rsidRDefault="00F04A8B">
      <w:r>
        <w:separator/>
      </w:r>
    </w:p>
  </w:endnote>
  <w:endnote w:type="continuationSeparator" w:id="0">
    <w:p w14:paraId="25E1B8A8" w14:textId="77777777" w:rsidR="00F04A8B" w:rsidRDefault="00F04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63204D9-C84B-4AE8-BF86-04FBCB74ED5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D4683AC-5D41-46A3-839E-AD3A7FFEB23F}"/>
    <w:embedBold r:id="rId3" w:fontKey="{DDF3FF0A-4D1D-4598-A192-F26B1319BDF5}"/>
    <w:embedItalic r:id="rId4" w:fontKey="{B09BE78D-8BFE-4217-A153-F27AB60F41D9}"/>
  </w:font>
  <w:font w:name="Calibri Light">
    <w:panose1 w:val="020F0302020204030204"/>
    <w:charset w:val="00"/>
    <w:family w:val="swiss"/>
    <w:pitch w:val="variable"/>
    <w:sig w:usb0="E4002EFF" w:usb1="C000247B" w:usb2="00000009" w:usb3="00000000" w:csb0="000001FF" w:csb1="00000000"/>
    <w:embedRegular r:id="rId5" w:fontKey="{D6F41D5D-0AEB-49B1-90E6-F9AA9BC4F6A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DD2A6A11-01F6-4D4C-B262-0087EAF6F013}"/>
  </w:font>
  <w:font w:name="Georgia">
    <w:panose1 w:val="02040502050405020303"/>
    <w:charset w:val="00"/>
    <w:family w:val="roman"/>
    <w:pitch w:val="variable"/>
    <w:sig w:usb0="00000287" w:usb1="00000000" w:usb2="00000000" w:usb3="00000000" w:csb0="0000009F" w:csb1="00000000"/>
    <w:embedRegular r:id="rId7" w:fontKey="{9C8D5952-616A-468E-8679-AD149137230C}"/>
    <w:embedItalic r:id="rId8" w:fontKey="{36956361-1FCB-46DE-B90E-688D849D44E6}"/>
  </w:font>
  <w:font w:name="National-Regular">
    <w:panose1 w:val="00000000000000000000"/>
    <w:charset w:val="00"/>
    <w:family w:val="roman"/>
    <w:notTrueType/>
    <w:pitch w:val="default"/>
  </w:font>
  <w:font w:name="National-MediumItalic">
    <w:panose1 w:val="00000000000000000000"/>
    <w:charset w:val="00"/>
    <w:family w:val="roman"/>
    <w:notTrueType/>
    <w:pitch w:val="default"/>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9" w:fontKey="{34B866C6-1A85-4A44-8EFA-76F7047C96D3}"/>
    <w:embedBold r:id="rId10" w:fontKey="{ADE21041-2DE8-4F6E-AFFE-0F1A5BF09F1F}"/>
    <w:embedBoldItalic r:id="rId11" w:fontKey="{7674DC0A-7864-48AF-9768-FED6F803F735}"/>
  </w:font>
  <w:font w:name="Open Sans Light">
    <w:charset w:val="00"/>
    <w:family w:val="swiss"/>
    <w:pitch w:val="variable"/>
    <w:sig w:usb0="E00002EF" w:usb1="4000205B" w:usb2="00000028" w:usb3="00000000" w:csb0="0000019F" w:csb1="00000000"/>
    <w:embedRegular r:id="rId12" w:fontKey="{C3F4E17D-D073-4D2C-A824-956B6296D03D}"/>
    <w:embedBold r:id="rId13" w:fontKey="{2216FA90-B311-4EE6-A2FE-A777F21777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7658" w14:textId="77777777" w:rsidR="001B4782"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477CB3CB" wp14:editId="160A44A5">
          <wp:simplePos x="0" y="0"/>
          <wp:positionH relativeFrom="column">
            <wp:posOffset>-1068050</wp:posOffset>
          </wp:positionH>
          <wp:positionV relativeFrom="paragraph">
            <wp:posOffset>174608</wp:posOffset>
          </wp:positionV>
          <wp:extent cx="7670550" cy="451315"/>
          <wp:effectExtent l="0" t="0" r="0" b="0"/>
          <wp:wrapNone/>
          <wp:docPr id="20251530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0E28E" w14:textId="77777777" w:rsidR="00F04A8B" w:rsidRDefault="00F04A8B">
      <w:r>
        <w:separator/>
      </w:r>
    </w:p>
  </w:footnote>
  <w:footnote w:type="continuationSeparator" w:id="0">
    <w:p w14:paraId="00F516FB" w14:textId="77777777" w:rsidR="00F04A8B" w:rsidRDefault="00F04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AF358" w14:textId="77777777" w:rsidR="001B4782"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8471CB5" wp14:editId="2B250D51">
          <wp:simplePos x="0" y="0"/>
          <wp:positionH relativeFrom="column">
            <wp:posOffset>-1121114</wp:posOffset>
          </wp:positionH>
          <wp:positionV relativeFrom="paragraph">
            <wp:posOffset>225176</wp:posOffset>
          </wp:positionV>
          <wp:extent cx="7581265" cy="1019175"/>
          <wp:effectExtent l="0" t="0" r="0" b="0"/>
          <wp:wrapNone/>
          <wp:docPr id="20251530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45F639F4" w14:textId="77777777" w:rsidR="001B4782" w:rsidRDefault="001B4782">
    <w:pPr>
      <w:pBdr>
        <w:top w:val="nil"/>
        <w:left w:val="nil"/>
        <w:bottom w:val="nil"/>
        <w:right w:val="nil"/>
        <w:between w:val="nil"/>
      </w:pBdr>
      <w:tabs>
        <w:tab w:val="center" w:pos="4252"/>
        <w:tab w:val="right" w:pos="8504"/>
      </w:tabs>
      <w:rPr>
        <w:color w:val="000000"/>
      </w:rPr>
    </w:pPr>
  </w:p>
  <w:p w14:paraId="121A2E52" w14:textId="77777777" w:rsidR="001B4782" w:rsidRDefault="001B4782">
    <w:pPr>
      <w:pBdr>
        <w:top w:val="nil"/>
        <w:left w:val="nil"/>
        <w:bottom w:val="nil"/>
        <w:right w:val="nil"/>
        <w:between w:val="nil"/>
      </w:pBdr>
      <w:tabs>
        <w:tab w:val="center" w:pos="4252"/>
        <w:tab w:val="right" w:pos="8504"/>
      </w:tabs>
      <w:rPr>
        <w:color w:val="000000"/>
      </w:rPr>
    </w:pPr>
  </w:p>
  <w:p w14:paraId="116FA9C1" w14:textId="77777777" w:rsidR="001B4782" w:rsidRDefault="001B4782">
    <w:pPr>
      <w:pBdr>
        <w:top w:val="nil"/>
        <w:left w:val="nil"/>
        <w:bottom w:val="nil"/>
        <w:right w:val="nil"/>
        <w:between w:val="nil"/>
      </w:pBdr>
      <w:tabs>
        <w:tab w:val="center" w:pos="4252"/>
        <w:tab w:val="right" w:pos="8504"/>
      </w:tabs>
      <w:rPr>
        <w:color w:val="000000"/>
      </w:rPr>
    </w:pPr>
  </w:p>
  <w:p w14:paraId="03CFF9CE" w14:textId="77777777" w:rsidR="001B4782" w:rsidRDefault="001B4782">
    <w:pPr>
      <w:pBdr>
        <w:top w:val="nil"/>
        <w:left w:val="nil"/>
        <w:bottom w:val="nil"/>
        <w:right w:val="nil"/>
        <w:between w:val="nil"/>
      </w:pBdr>
      <w:tabs>
        <w:tab w:val="center" w:pos="4252"/>
        <w:tab w:val="right" w:pos="8504"/>
      </w:tabs>
      <w:rPr>
        <w:color w:val="000000"/>
      </w:rPr>
    </w:pPr>
  </w:p>
  <w:p w14:paraId="5CAEF926" w14:textId="77777777" w:rsidR="001B4782" w:rsidRDefault="001B4782">
    <w:pPr>
      <w:pBdr>
        <w:top w:val="nil"/>
        <w:left w:val="nil"/>
        <w:bottom w:val="nil"/>
        <w:right w:val="nil"/>
        <w:between w:val="nil"/>
      </w:pBdr>
      <w:tabs>
        <w:tab w:val="center" w:pos="4252"/>
        <w:tab w:val="right" w:pos="8504"/>
      </w:tabs>
      <w:rPr>
        <w:color w:val="000000"/>
      </w:rPr>
    </w:pPr>
  </w:p>
  <w:p w14:paraId="3F99122D" w14:textId="77777777" w:rsidR="001B4782" w:rsidRDefault="001B4782">
    <w:pPr>
      <w:pBdr>
        <w:top w:val="nil"/>
        <w:left w:val="nil"/>
        <w:bottom w:val="nil"/>
        <w:right w:val="nil"/>
        <w:between w:val="nil"/>
      </w:pBdr>
      <w:tabs>
        <w:tab w:val="center" w:pos="4252"/>
        <w:tab w:val="right" w:pos="8504"/>
      </w:tabs>
      <w:rPr>
        <w:color w:val="000000"/>
      </w:rPr>
    </w:pPr>
  </w:p>
  <w:p w14:paraId="21ED8BB5" w14:textId="77777777" w:rsidR="00CB1D58" w:rsidRDefault="00CB1D58">
    <w:pPr>
      <w:pBdr>
        <w:top w:val="nil"/>
        <w:left w:val="nil"/>
        <w:bottom w:val="nil"/>
        <w:right w:val="nil"/>
        <w:between w:val="nil"/>
      </w:pBdr>
      <w:tabs>
        <w:tab w:val="center" w:pos="4252"/>
        <w:tab w:val="right" w:pos="8504"/>
      </w:tabs>
      <w:rPr>
        <w:color w:val="000000"/>
      </w:rPr>
    </w:pPr>
  </w:p>
  <w:p w14:paraId="6E5B2D59" w14:textId="77777777" w:rsidR="001B4782" w:rsidRDefault="001B4782">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56680"/>
    <w:multiLevelType w:val="multilevel"/>
    <w:tmpl w:val="2612D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1293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782"/>
    <w:rsid w:val="001B4782"/>
    <w:rsid w:val="002E7141"/>
    <w:rsid w:val="008861DD"/>
    <w:rsid w:val="00CB1D58"/>
    <w:rsid w:val="00F04A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7943D"/>
  <w15:docId w15:val="{1F4D88F8-F822-4E03-A766-CB584237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DD156A"/>
    <w:rPr>
      <w:b/>
      <w:bCs/>
      <w:smallCaps/>
      <w:color w:val="4472C4" w:themeColor="accent1"/>
      <w:spacing w:val="5"/>
    </w:rPr>
  </w:style>
  <w:style w:type="character" w:customStyle="1" w:styleId="fontstyle01">
    <w:name w:val="fontstyle01"/>
    <w:basedOn w:val="Fuentedeprrafopredeter"/>
    <w:rsid w:val="00CE56B8"/>
    <w:rPr>
      <w:rFonts w:ascii="National-Regular" w:hAnsi="National-Regular" w:hint="default"/>
      <w:b w:val="0"/>
      <w:bCs w:val="0"/>
      <w:i w:val="0"/>
      <w:iCs w:val="0"/>
      <w:color w:val="000000"/>
      <w:sz w:val="22"/>
      <w:szCs w:val="22"/>
    </w:rPr>
  </w:style>
  <w:style w:type="character" w:customStyle="1" w:styleId="fontstyle21">
    <w:name w:val="fontstyle21"/>
    <w:basedOn w:val="Fuentedeprrafopredeter"/>
    <w:rsid w:val="00CE56B8"/>
    <w:rPr>
      <w:rFonts w:ascii="National-MediumItalic" w:hAnsi="National-MediumItalic" w:hint="default"/>
      <w:b w:val="0"/>
      <w:bCs w:val="0"/>
      <w:i/>
      <w:iCs/>
      <w:color w:val="575756"/>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es/" TargetMode="External"/><Relationship Id="rId13" Type="http://schemas.openxmlformats.org/officeDocument/2006/relationships/hyperlink" Target="https://www.habitaclia.com/" TargetMode="External"/><Relationship Id="rId18"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s://motos.coches.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ensa.fotocasa.es" TargetMode="External"/><Relationship Id="rId5" Type="http://schemas.openxmlformats.org/officeDocument/2006/relationships/webSettings" Target="webSettings.xml"/><Relationship Id="rId15" Type="http://schemas.openxmlformats.org/officeDocument/2006/relationships/hyperlink" Target="https://www.coches.net/" TargetMode="External"/><Relationship Id="rId10" Type="http://schemas.openxmlformats.org/officeDocument/2006/relationships/hyperlink" Target="https://www.fotocasa.es/indic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infojobs.ne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zbND0wTZf8FYMiOvcu3oczihzw==">CgMxLjAyCWguMnM4ZXlvMTgAciExMWxNTDFKbXZnQk9xYjhWdlhCTG02am80RndlM1h0UjI=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1018</Words>
  <Characters>5603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2022-04-21T07:41:00Z</dcterms:created>
  <dcterms:modified xsi:type="dcterms:W3CDTF">2025-01-09T15:11:00Z</dcterms:modified>
</cp:coreProperties>
</file>