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29FB82" w14:textId="77777777" w:rsidR="0036071F" w:rsidRDefault="00000000">
      <w:pPr>
        <w:spacing w:line="240" w:lineRule="auto"/>
        <w:rPr>
          <w:rFonts w:ascii="Calibri" w:eastAsia="Calibri" w:hAnsi="Calibri" w:cs="Calibri"/>
          <w:sz w:val="24"/>
          <w:szCs w:val="24"/>
        </w:rPr>
      </w:pPr>
      <w:r>
        <w:rPr>
          <w:rFonts w:ascii="Calibri" w:eastAsia="Calibri" w:hAnsi="Calibri" w:cs="Calibri"/>
          <w:sz w:val="24"/>
          <w:szCs w:val="24"/>
        </w:rPr>
        <w:t xml:space="preserve"> </w:t>
      </w:r>
      <w:r>
        <w:rPr>
          <w:noProof/>
        </w:rPr>
        <w:drawing>
          <wp:anchor distT="0" distB="0" distL="0" distR="0" simplePos="0" relativeHeight="251658240" behindDoc="0" locked="0" layoutInCell="1" hidden="0" allowOverlap="1" wp14:anchorId="66BAC092" wp14:editId="257A9F12">
            <wp:simplePos x="0" y="0"/>
            <wp:positionH relativeFrom="column">
              <wp:posOffset>-1056025</wp:posOffset>
            </wp:positionH>
            <wp:positionV relativeFrom="paragraph">
              <wp:posOffset>-346294</wp:posOffset>
            </wp:positionV>
            <wp:extent cx="7711147" cy="1037167"/>
            <wp:effectExtent l="0" t="0" r="0" b="0"/>
            <wp:wrapSquare wrapText="bothSides" distT="0" distB="0" distL="0" distR="0"/>
            <wp:docPr id="27"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7711147" cy="1037167"/>
                    </a:xfrm>
                    <a:prstGeom prst="rect">
                      <a:avLst/>
                    </a:prstGeom>
                    <a:ln/>
                  </pic:spPr>
                </pic:pic>
              </a:graphicData>
            </a:graphic>
          </wp:anchor>
        </w:drawing>
      </w:r>
    </w:p>
    <w:p w14:paraId="5EA28710" w14:textId="77777777" w:rsidR="0036071F" w:rsidRDefault="0036071F">
      <w:pPr>
        <w:spacing w:line="240" w:lineRule="auto"/>
        <w:jc w:val="right"/>
        <w:rPr>
          <w:rFonts w:ascii="National" w:eastAsia="National" w:hAnsi="National" w:cs="National"/>
          <w:color w:val="303AB2"/>
          <w:sz w:val="36"/>
          <w:szCs w:val="36"/>
        </w:rPr>
      </w:pPr>
    </w:p>
    <w:p w14:paraId="1C244CAD" w14:textId="77777777" w:rsidR="0036071F" w:rsidRDefault="00000000">
      <w:pPr>
        <w:pBdr>
          <w:top w:val="nil"/>
          <w:left w:val="nil"/>
          <w:bottom w:val="nil"/>
          <w:right w:val="nil"/>
          <w:between w:val="nil"/>
        </w:pBdr>
        <w:shd w:val="clear" w:color="auto" w:fill="FFFFFF"/>
        <w:spacing w:after="225"/>
        <w:ind w:right="-135"/>
        <w:jc w:val="center"/>
        <w:rPr>
          <w:rFonts w:ascii="National" w:eastAsia="National" w:hAnsi="National" w:cs="National"/>
          <w:b/>
          <w:color w:val="303AB2"/>
          <w:sz w:val="52"/>
          <w:szCs w:val="52"/>
        </w:rPr>
      </w:pPr>
      <w:r>
        <w:rPr>
          <w:rFonts w:ascii="National" w:eastAsia="National" w:hAnsi="National" w:cs="National"/>
          <w:b/>
          <w:color w:val="303AB2"/>
          <w:sz w:val="52"/>
          <w:szCs w:val="52"/>
        </w:rPr>
        <w:t>“Continúa el boom inmobiliario: las compraventas en máximos por cuarto año consecutivo”</w:t>
      </w:r>
    </w:p>
    <w:p w14:paraId="379E56D9" w14:textId="77777777" w:rsidR="0036071F" w:rsidRDefault="0036071F">
      <w:pPr>
        <w:pBdr>
          <w:top w:val="nil"/>
          <w:left w:val="nil"/>
          <w:bottom w:val="nil"/>
          <w:right w:val="nil"/>
          <w:between w:val="nil"/>
        </w:pBdr>
        <w:shd w:val="clear" w:color="auto" w:fill="FFFFFF"/>
        <w:spacing w:after="225"/>
        <w:jc w:val="both"/>
        <w:rPr>
          <w:rFonts w:ascii="Open Sans" w:eastAsia="Open Sans" w:hAnsi="Open Sans" w:cs="Open Sans"/>
          <w:b/>
          <w:color w:val="303AB2"/>
        </w:rPr>
      </w:pPr>
    </w:p>
    <w:p w14:paraId="5076A00B" w14:textId="77777777" w:rsidR="0036071F" w:rsidRDefault="00000000">
      <w:pPr>
        <w:pBdr>
          <w:top w:val="nil"/>
          <w:left w:val="nil"/>
          <w:bottom w:val="nil"/>
          <w:right w:val="nil"/>
          <w:between w:val="nil"/>
        </w:pBdr>
        <w:shd w:val="clear" w:color="auto" w:fill="FFFFFF"/>
        <w:spacing w:after="225"/>
        <w:jc w:val="both"/>
        <w:rPr>
          <w:rFonts w:ascii="Open Sans" w:eastAsia="Open Sans" w:hAnsi="Open Sans" w:cs="Open Sans"/>
          <w:b/>
          <w:color w:val="303AB2"/>
        </w:rPr>
      </w:pPr>
      <w:r>
        <w:rPr>
          <w:rFonts w:ascii="Open Sans" w:eastAsia="Open Sans" w:hAnsi="Open Sans" w:cs="Open Sans"/>
          <w:b/>
          <w:color w:val="303AB2"/>
        </w:rPr>
        <w:t>Madrid, 20 de febrero de 2024</w:t>
      </w:r>
    </w:p>
    <w:p w14:paraId="71E69E55" w14:textId="77777777" w:rsidR="0036071F" w:rsidRDefault="00000000">
      <w:pPr>
        <w:pBdr>
          <w:top w:val="nil"/>
          <w:left w:val="nil"/>
          <w:bottom w:val="nil"/>
          <w:right w:val="nil"/>
          <w:between w:val="nil"/>
        </w:pBdr>
        <w:shd w:val="clear" w:color="auto" w:fill="FFFFFF"/>
        <w:spacing w:after="225"/>
        <w:jc w:val="both"/>
        <w:rPr>
          <w:rFonts w:ascii="Open Sans" w:eastAsia="Open Sans" w:hAnsi="Open Sans" w:cs="Open Sans"/>
          <w:b/>
          <w:sz w:val="21"/>
          <w:szCs w:val="21"/>
        </w:rPr>
      </w:pPr>
      <w:r>
        <w:rPr>
          <w:rFonts w:ascii="Open Sans" w:eastAsia="Open Sans" w:hAnsi="Open Sans" w:cs="Open Sans"/>
          <w:sz w:val="21"/>
          <w:szCs w:val="21"/>
        </w:rPr>
        <w:t>El</w:t>
      </w:r>
      <w:r>
        <w:rPr>
          <w:rFonts w:ascii="Open Sans" w:eastAsia="Open Sans" w:hAnsi="Open Sans" w:cs="Open Sans"/>
          <w:color w:val="000000"/>
          <w:sz w:val="21"/>
          <w:szCs w:val="21"/>
        </w:rPr>
        <w:t xml:space="preserve"> dat</w:t>
      </w:r>
      <w:r>
        <w:rPr>
          <w:rFonts w:ascii="Open Sans" w:eastAsia="Open Sans" w:hAnsi="Open Sans" w:cs="Open Sans"/>
          <w:sz w:val="21"/>
          <w:szCs w:val="21"/>
        </w:rPr>
        <w:t>o</w:t>
      </w:r>
      <w:r>
        <w:rPr>
          <w:rFonts w:ascii="Open Sans" w:eastAsia="Open Sans" w:hAnsi="Open Sans" w:cs="Open Sans"/>
          <w:color w:val="000000"/>
          <w:sz w:val="21"/>
          <w:szCs w:val="21"/>
        </w:rPr>
        <w:t xml:space="preserve"> de transacciones inmobiliarias correspon</w:t>
      </w:r>
      <w:r>
        <w:rPr>
          <w:rFonts w:ascii="Open Sans" w:eastAsia="Open Sans" w:hAnsi="Open Sans" w:cs="Open Sans"/>
          <w:sz w:val="21"/>
          <w:szCs w:val="21"/>
        </w:rPr>
        <w:t>d</w:t>
      </w:r>
      <w:r>
        <w:rPr>
          <w:rFonts w:ascii="Open Sans" w:eastAsia="Open Sans" w:hAnsi="Open Sans" w:cs="Open Sans"/>
          <w:color w:val="000000"/>
          <w:sz w:val="21"/>
          <w:szCs w:val="21"/>
        </w:rPr>
        <w:t xml:space="preserve">iente al </w:t>
      </w:r>
      <w:r>
        <w:rPr>
          <w:rFonts w:ascii="Open Sans" w:eastAsia="Open Sans" w:hAnsi="Open Sans" w:cs="Open Sans"/>
          <w:sz w:val="21"/>
          <w:szCs w:val="21"/>
        </w:rPr>
        <w:t xml:space="preserve">último mes de </w:t>
      </w:r>
      <w:r>
        <w:rPr>
          <w:rFonts w:ascii="Open Sans" w:eastAsia="Open Sans" w:hAnsi="Open Sans" w:cs="Open Sans"/>
          <w:color w:val="000000"/>
          <w:sz w:val="21"/>
          <w:szCs w:val="21"/>
        </w:rPr>
        <w:t>202</w:t>
      </w:r>
      <w:r>
        <w:rPr>
          <w:rFonts w:ascii="Open Sans" w:eastAsia="Open Sans" w:hAnsi="Open Sans" w:cs="Open Sans"/>
          <w:sz w:val="21"/>
          <w:szCs w:val="21"/>
        </w:rPr>
        <w:t>4</w:t>
      </w:r>
      <w:r>
        <w:rPr>
          <w:rFonts w:ascii="Open Sans" w:eastAsia="Open Sans" w:hAnsi="Open Sans" w:cs="Open Sans"/>
          <w:color w:val="000000"/>
          <w:sz w:val="21"/>
          <w:szCs w:val="21"/>
        </w:rPr>
        <w:t xml:space="preserve"> dado a conocer hoy por el INE </w:t>
      </w:r>
      <w:r>
        <w:rPr>
          <w:rFonts w:ascii="Open Sans" w:eastAsia="Open Sans" w:hAnsi="Open Sans" w:cs="Open Sans"/>
          <w:sz w:val="21"/>
          <w:szCs w:val="21"/>
        </w:rPr>
        <w:t>refleja un descenso mensual de</w:t>
      </w:r>
      <w:r>
        <w:rPr>
          <w:rFonts w:ascii="Open Sans" w:eastAsia="Open Sans" w:hAnsi="Open Sans" w:cs="Open Sans"/>
          <w:sz w:val="21"/>
          <w:szCs w:val="21"/>
          <w:highlight w:val="white"/>
        </w:rPr>
        <w:t>l -7,3%</w:t>
      </w:r>
      <w:r>
        <w:rPr>
          <w:rFonts w:ascii="Open Sans" w:eastAsia="Open Sans" w:hAnsi="Open Sans" w:cs="Open Sans"/>
          <w:sz w:val="21"/>
          <w:szCs w:val="21"/>
        </w:rPr>
        <w:t xml:space="preserve"> y una subida anual </w:t>
      </w:r>
      <w:r>
        <w:rPr>
          <w:rFonts w:ascii="Open Sans" w:eastAsia="Open Sans" w:hAnsi="Open Sans" w:cs="Open Sans"/>
          <w:sz w:val="21"/>
          <w:szCs w:val="21"/>
          <w:highlight w:val="white"/>
        </w:rPr>
        <w:t>del 10%.</w:t>
      </w:r>
      <w:r>
        <w:rPr>
          <w:rFonts w:ascii="Open Sans" w:eastAsia="Open Sans" w:hAnsi="Open Sans" w:cs="Open Sans"/>
          <w:sz w:val="21"/>
          <w:szCs w:val="21"/>
        </w:rPr>
        <w:t xml:space="preserve"> “Esta variación tan abultada confirma la </w:t>
      </w:r>
      <w:r>
        <w:rPr>
          <w:rFonts w:ascii="Open Sans" w:eastAsia="Open Sans" w:hAnsi="Open Sans" w:cs="Open Sans"/>
          <w:b/>
          <w:sz w:val="21"/>
          <w:szCs w:val="21"/>
        </w:rPr>
        <w:t xml:space="preserve">continuidad del </w:t>
      </w:r>
      <w:r>
        <w:rPr>
          <w:rFonts w:ascii="Open Sans" w:eastAsia="Open Sans" w:hAnsi="Open Sans" w:cs="Open Sans"/>
          <w:b/>
          <w:i/>
          <w:sz w:val="21"/>
          <w:szCs w:val="21"/>
        </w:rPr>
        <w:t>boom</w:t>
      </w:r>
      <w:r>
        <w:rPr>
          <w:rFonts w:ascii="Open Sans" w:eastAsia="Open Sans" w:hAnsi="Open Sans" w:cs="Open Sans"/>
          <w:b/>
          <w:sz w:val="21"/>
          <w:szCs w:val="21"/>
        </w:rPr>
        <w:t xml:space="preserve"> en la compraventa de vivienda, iniciado tras la pandemia</w:t>
      </w:r>
      <w:r>
        <w:rPr>
          <w:rFonts w:ascii="Open Sans" w:eastAsia="Open Sans" w:hAnsi="Open Sans" w:cs="Open Sans"/>
          <w:sz w:val="21"/>
          <w:szCs w:val="21"/>
        </w:rPr>
        <w:t xml:space="preserve">. Tras el cambio de ciclo hipotecario impulsado por la desescalada de los tipos de interés, que ha dado paso a una temporada de mayor dinamismo en la adquisición de vivienda, en la que factores como el optimismo y la confianza del comprador en el mercado, sumados a un aumento en la tasa de ahorro de los hogares y a las condiciones hipotecarias más atractivas con un Euríbor a la baja, han hecho que 2024 muestre una actividad muy dinámica durante todo el año”, </w:t>
      </w:r>
      <w:r>
        <w:rPr>
          <w:rFonts w:ascii="Open Sans" w:eastAsia="Open Sans" w:hAnsi="Open Sans" w:cs="Open Sans"/>
          <w:b/>
          <w:sz w:val="21"/>
          <w:szCs w:val="21"/>
        </w:rPr>
        <w:t xml:space="preserve">explica María Matos, directora de Estudios de </w:t>
      </w:r>
      <w:hyperlink r:id="rId8">
        <w:r>
          <w:rPr>
            <w:rFonts w:ascii="Open Sans" w:eastAsia="Open Sans" w:hAnsi="Open Sans" w:cs="Open Sans"/>
            <w:b/>
            <w:color w:val="1155CC"/>
            <w:sz w:val="21"/>
            <w:szCs w:val="21"/>
            <w:u w:val="single"/>
          </w:rPr>
          <w:t>Fotocasa</w:t>
        </w:r>
      </w:hyperlink>
      <w:r>
        <w:rPr>
          <w:rFonts w:ascii="Open Sans" w:eastAsia="Open Sans" w:hAnsi="Open Sans" w:cs="Open Sans"/>
          <w:b/>
          <w:sz w:val="21"/>
          <w:szCs w:val="21"/>
        </w:rPr>
        <w:t>.</w:t>
      </w:r>
    </w:p>
    <w:p w14:paraId="37552900" w14:textId="3E1E55B3" w:rsidR="0036071F" w:rsidRDefault="00000000">
      <w:pPr>
        <w:pBdr>
          <w:top w:val="nil"/>
          <w:left w:val="nil"/>
          <w:bottom w:val="nil"/>
          <w:right w:val="nil"/>
          <w:between w:val="nil"/>
        </w:pBdr>
        <w:shd w:val="clear" w:color="auto" w:fill="FFFFFF"/>
        <w:spacing w:after="225"/>
        <w:jc w:val="both"/>
        <w:rPr>
          <w:rFonts w:ascii="Open Sans" w:eastAsia="Open Sans" w:hAnsi="Open Sans" w:cs="Open Sans"/>
          <w:sz w:val="21"/>
          <w:szCs w:val="21"/>
        </w:rPr>
      </w:pPr>
      <w:r>
        <w:rPr>
          <w:rFonts w:ascii="Open Sans" w:eastAsia="Open Sans" w:hAnsi="Open Sans" w:cs="Open Sans"/>
          <w:sz w:val="21"/>
          <w:szCs w:val="21"/>
        </w:rPr>
        <w:t xml:space="preserve">Diciembre cierra con 50.337 operaciones superando las 50.000 firmas. “Durante el ejercicio de 2024, la actividad de compraventas ha resistido muy bien a unos tipos de interés altos y a un Euríbor por encima del 2,5%, con una media de 50.000 operaciones mensuales. </w:t>
      </w:r>
      <w:r>
        <w:rPr>
          <w:rFonts w:ascii="Open Sans" w:eastAsia="Open Sans" w:hAnsi="Open Sans" w:cs="Open Sans"/>
          <w:b/>
          <w:sz w:val="21"/>
          <w:szCs w:val="21"/>
        </w:rPr>
        <w:t>2024, con 641.900 transacciones, en el segundo mejor año desde 2007, tras las 650.000 operaciones de compraventa registradas en 2022. Estas cifras indican que continúa una época dorada para la compraventa de vivienda</w:t>
      </w:r>
      <w:r>
        <w:rPr>
          <w:rFonts w:ascii="Open Sans" w:eastAsia="Open Sans" w:hAnsi="Open Sans" w:cs="Open Sans"/>
          <w:sz w:val="21"/>
          <w:szCs w:val="21"/>
        </w:rPr>
        <w:t xml:space="preserve">”, asegura la portavoz.  </w:t>
      </w:r>
    </w:p>
    <w:p w14:paraId="5912C43C" w14:textId="77777777" w:rsidR="0036071F" w:rsidRDefault="00000000">
      <w:pPr>
        <w:shd w:val="clear" w:color="auto" w:fill="FFFFFF"/>
        <w:spacing w:after="225"/>
        <w:jc w:val="both"/>
        <w:rPr>
          <w:rFonts w:ascii="Open Sans" w:eastAsia="Open Sans" w:hAnsi="Open Sans" w:cs="Open Sans"/>
          <w:b/>
          <w:color w:val="303AB2"/>
          <w:sz w:val="24"/>
          <w:szCs w:val="24"/>
        </w:rPr>
      </w:pPr>
      <w:r>
        <w:rPr>
          <w:rFonts w:ascii="Open Sans" w:eastAsia="Open Sans" w:hAnsi="Open Sans" w:cs="Open Sans"/>
          <w:b/>
          <w:color w:val="303AB2"/>
          <w:sz w:val="24"/>
          <w:szCs w:val="24"/>
        </w:rPr>
        <w:t>La vivienda de obra nueva con mayor presencia en el mercado</w:t>
      </w:r>
    </w:p>
    <w:p w14:paraId="3FFF0677" w14:textId="77777777" w:rsidR="0036071F" w:rsidRDefault="00000000">
      <w:pPr>
        <w:shd w:val="clear" w:color="auto" w:fill="FFFFFF"/>
        <w:spacing w:before="280" w:after="280"/>
        <w:jc w:val="both"/>
        <w:rPr>
          <w:rFonts w:ascii="Open Sans" w:eastAsia="Open Sans" w:hAnsi="Open Sans" w:cs="Open Sans"/>
          <w:sz w:val="21"/>
          <w:szCs w:val="21"/>
        </w:rPr>
      </w:pPr>
      <w:r>
        <w:rPr>
          <w:rFonts w:ascii="Open Sans" w:eastAsia="Open Sans" w:hAnsi="Open Sans" w:cs="Open Sans"/>
          <w:sz w:val="21"/>
          <w:szCs w:val="21"/>
        </w:rPr>
        <w:t xml:space="preserve">Uno de los datos más relevantes es el de las operaciones sobre </w:t>
      </w:r>
      <w:r>
        <w:rPr>
          <w:rFonts w:ascii="Open Sans" w:eastAsia="Open Sans" w:hAnsi="Open Sans" w:cs="Open Sans"/>
          <w:b/>
          <w:sz w:val="21"/>
          <w:szCs w:val="21"/>
        </w:rPr>
        <w:t xml:space="preserve">viviendas nuevas que reflejan un gran incremento interanual del 23,4% y cierran el año con 135.052 viviendas de obra nueva vendidas en 2024, la mayor cifra de compraventas desde 2013. </w:t>
      </w:r>
      <w:r>
        <w:rPr>
          <w:rFonts w:ascii="Open Sans" w:eastAsia="Open Sans" w:hAnsi="Open Sans" w:cs="Open Sans"/>
          <w:sz w:val="21"/>
          <w:szCs w:val="21"/>
        </w:rPr>
        <w:t xml:space="preserve">“Es un volumen muy significativo en comparación con el porcentaje mostrado en los últimos años. Pero, esta tipología está experimentando un momento muy intenso, debido a que el interés </w:t>
      </w:r>
      <w:r>
        <w:rPr>
          <w:rFonts w:ascii="Open Sans" w:eastAsia="Open Sans" w:hAnsi="Open Sans" w:cs="Open Sans"/>
          <w:sz w:val="21"/>
          <w:szCs w:val="21"/>
        </w:rPr>
        <w:lastRenderedPageBreak/>
        <w:t xml:space="preserve">por comprar vivienda a estrenar es fuerte, ya que la vivienda a estrenar cumple con los requisitos más demandados por los compradores. Sin embargo, podemos encontrarnos con una grave problemática de subida de precios, si la demanda continúa tan latente. Las dificultades de los promotores para encontrar suelo y financiarlo, además del aumento del coste de los materiales o a la excesiva burocracia, ha ocasionado la ralentización de algunas promociones dejando unos niveles productivos muy escasos para poder absorber la demanda de compra tan solvente”, explica María Matos. </w:t>
      </w:r>
    </w:p>
    <w:p w14:paraId="35A7E6D0" w14:textId="77777777" w:rsidR="0036071F" w:rsidRDefault="00000000">
      <w:pPr>
        <w:shd w:val="clear" w:color="auto" w:fill="FFFFFF"/>
        <w:spacing w:before="280" w:after="280"/>
        <w:jc w:val="both"/>
        <w:rPr>
          <w:rFonts w:ascii="Open Sans" w:eastAsia="Open Sans" w:hAnsi="Open Sans" w:cs="Open Sans"/>
        </w:rPr>
      </w:pPr>
      <w:r>
        <w:rPr>
          <w:rFonts w:ascii="Open Sans" w:eastAsia="Open Sans" w:hAnsi="Open Sans" w:cs="Open Sans"/>
          <w:b/>
          <w:color w:val="303AB2"/>
          <w:sz w:val="24"/>
          <w:szCs w:val="24"/>
        </w:rPr>
        <w:t>Previsiones de actividad para 2025</w:t>
      </w:r>
    </w:p>
    <w:p w14:paraId="054E7C67" w14:textId="77777777" w:rsidR="0036071F" w:rsidRDefault="00000000">
      <w:pPr>
        <w:shd w:val="clear" w:color="auto" w:fill="FFFFFF"/>
        <w:spacing w:before="280" w:after="280"/>
        <w:jc w:val="both"/>
        <w:rPr>
          <w:rFonts w:ascii="Open Sans" w:eastAsia="Open Sans" w:hAnsi="Open Sans" w:cs="Open Sans"/>
          <w:sz w:val="21"/>
          <w:szCs w:val="21"/>
        </w:rPr>
      </w:pPr>
      <w:r>
        <w:rPr>
          <w:rFonts w:ascii="Open Sans" w:eastAsia="Open Sans" w:hAnsi="Open Sans" w:cs="Open Sans"/>
          <w:sz w:val="21"/>
          <w:szCs w:val="21"/>
        </w:rPr>
        <w:t xml:space="preserve">“La compraventa de vivienda inicia un nuevo ciclo de dinamismo impulsada por los recortes de tipos junto a un mercado laboral resiliente. Desde </w:t>
      </w:r>
      <w:hyperlink r:id="rId9">
        <w:r>
          <w:rPr>
            <w:rFonts w:ascii="Open Sans" w:eastAsia="Open Sans" w:hAnsi="Open Sans" w:cs="Open Sans"/>
            <w:color w:val="1155CC"/>
            <w:sz w:val="21"/>
            <w:szCs w:val="21"/>
            <w:u w:val="single"/>
          </w:rPr>
          <w:t>Fotocasa</w:t>
        </w:r>
      </w:hyperlink>
      <w:r>
        <w:rPr>
          <w:rFonts w:ascii="Open Sans" w:eastAsia="Open Sans" w:hAnsi="Open Sans" w:cs="Open Sans"/>
          <w:sz w:val="21"/>
          <w:szCs w:val="21"/>
        </w:rPr>
        <w:t xml:space="preserve">, sabemos que hay un 19% de compradores que han paralizado el proceso porque se han visto afectados y probablemente vuelvan al mercado en busca de una oportunidad más atractiva. También hemos medido que un 21% estaban dispuestos a volver al mercado una vez bajasen los tipos, por lo que </w:t>
      </w:r>
      <w:r>
        <w:rPr>
          <w:rFonts w:ascii="Open Sans" w:eastAsia="Open Sans" w:hAnsi="Open Sans" w:cs="Open Sans"/>
          <w:b/>
          <w:sz w:val="21"/>
          <w:szCs w:val="21"/>
        </w:rPr>
        <w:t>en los próximos meses podremos encontrarnos en torno a un 30% más de compradores intentando operar.</w:t>
      </w:r>
      <w:r>
        <w:rPr>
          <w:rFonts w:ascii="Open Sans" w:eastAsia="Open Sans" w:hAnsi="Open Sans" w:cs="Open Sans"/>
          <w:sz w:val="21"/>
          <w:szCs w:val="21"/>
        </w:rPr>
        <w:t xml:space="preserve"> Las políticas incentivadoras que fomentan la compra de vivienda como los avales ICO también tendrán su efecto e impulsarán la demanda. Mientras, las entidades financieras ya están adaptando sus cálculos a la desescalada”, prevé María Matos, portavoz de </w:t>
      </w:r>
      <w:hyperlink r:id="rId10">
        <w:r>
          <w:rPr>
            <w:rFonts w:ascii="Open Sans" w:eastAsia="Open Sans" w:hAnsi="Open Sans" w:cs="Open Sans"/>
            <w:color w:val="1155CC"/>
            <w:sz w:val="21"/>
            <w:szCs w:val="21"/>
            <w:u w:val="single"/>
          </w:rPr>
          <w:t>Fotocasa</w:t>
        </w:r>
      </w:hyperlink>
      <w:r>
        <w:rPr>
          <w:rFonts w:ascii="Open Sans" w:eastAsia="Open Sans" w:hAnsi="Open Sans" w:cs="Open Sans"/>
          <w:sz w:val="21"/>
          <w:szCs w:val="21"/>
        </w:rPr>
        <w:t xml:space="preserve">. </w:t>
      </w:r>
    </w:p>
    <w:p w14:paraId="2F072FCB" w14:textId="77777777" w:rsidR="0036071F" w:rsidRDefault="00000000">
      <w:pPr>
        <w:shd w:val="clear" w:color="auto" w:fill="FFFFFF"/>
        <w:spacing w:before="280" w:after="280"/>
        <w:jc w:val="both"/>
        <w:rPr>
          <w:rFonts w:ascii="Open Sans" w:eastAsia="Open Sans" w:hAnsi="Open Sans" w:cs="Open Sans"/>
          <w:sz w:val="21"/>
          <w:szCs w:val="21"/>
        </w:rPr>
      </w:pPr>
      <w:r>
        <w:rPr>
          <w:rFonts w:ascii="Open Sans" w:eastAsia="Open Sans" w:hAnsi="Open Sans" w:cs="Open Sans"/>
          <w:sz w:val="21"/>
          <w:szCs w:val="21"/>
        </w:rPr>
        <w:t xml:space="preserve">“Todo ello, fomentará una sobredimensión de la demanda de compra, que pondrá más presión sobre la oferta, por lo que la tendencia del precio de la vivienda seguirá al alza durante 2025. El giro de la política monetaria del Banco Central Europeo hacia una postura más </w:t>
      </w:r>
      <w:proofErr w:type="gramStart"/>
      <w:r>
        <w:rPr>
          <w:rFonts w:ascii="Open Sans" w:eastAsia="Open Sans" w:hAnsi="Open Sans" w:cs="Open Sans"/>
          <w:sz w:val="21"/>
          <w:szCs w:val="21"/>
        </w:rPr>
        <w:t>flexible,</w:t>
      </w:r>
      <w:proofErr w:type="gramEnd"/>
      <w:r>
        <w:rPr>
          <w:rFonts w:ascii="Open Sans" w:eastAsia="Open Sans" w:hAnsi="Open Sans" w:cs="Open Sans"/>
          <w:sz w:val="21"/>
          <w:szCs w:val="21"/>
        </w:rPr>
        <w:t xml:space="preserve"> tendrá un impacto considerable en la evolución del mercado inmobiliario en España. Probablemente </w:t>
      </w:r>
      <w:r>
        <w:rPr>
          <w:rFonts w:ascii="Open Sans" w:eastAsia="Open Sans" w:hAnsi="Open Sans" w:cs="Open Sans"/>
          <w:b/>
          <w:sz w:val="21"/>
          <w:szCs w:val="21"/>
        </w:rPr>
        <w:t>la reducción de los tipos provocará indirectamente un nuevo aumento en los precios de la vivienda al atraer más demanda de compra al mercado</w:t>
      </w:r>
      <w:r>
        <w:rPr>
          <w:rFonts w:ascii="Open Sans" w:eastAsia="Open Sans" w:hAnsi="Open Sans" w:cs="Open Sans"/>
          <w:sz w:val="21"/>
          <w:szCs w:val="21"/>
        </w:rPr>
        <w:t>”, asegura la directora de Estudios.</w:t>
      </w:r>
    </w:p>
    <w:p w14:paraId="41C15750" w14:textId="77777777" w:rsidR="0036071F" w:rsidRDefault="00000000">
      <w:pPr>
        <w:shd w:val="clear" w:color="auto" w:fill="FFFFFF"/>
        <w:spacing w:before="280" w:after="280"/>
        <w:jc w:val="both"/>
        <w:rPr>
          <w:rFonts w:ascii="Open Sans" w:eastAsia="Open Sans" w:hAnsi="Open Sans" w:cs="Open Sans"/>
          <w:sz w:val="21"/>
          <w:szCs w:val="21"/>
        </w:rPr>
      </w:pPr>
      <w:r>
        <w:rPr>
          <w:rFonts w:ascii="Open Sans" w:eastAsia="Open Sans" w:hAnsi="Open Sans" w:cs="Open Sans"/>
          <w:sz w:val="21"/>
          <w:szCs w:val="21"/>
        </w:rPr>
        <w:t>“</w:t>
      </w:r>
      <w:r>
        <w:rPr>
          <w:rFonts w:ascii="Open Sans" w:eastAsia="Open Sans" w:hAnsi="Open Sans" w:cs="Open Sans"/>
          <w:b/>
          <w:sz w:val="21"/>
          <w:szCs w:val="21"/>
        </w:rPr>
        <w:t xml:space="preserve">2024 finaliza como uno de los años dorados que cumplió las altas expectativas en cuanto a volumen de compraventas. </w:t>
      </w:r>
      <w:r>
        <w:rPr>
          <w:rFonts w:ascii="Open Sans" w:eastAsia="Open Sans" w:hAnsi="Open Sans" w:cs="Open Sans"/>
          <w:sz w:val="21"/>
          <w:szCs w:val="21"/>
        </w:rPr>
        <w:t xml:space="preserve">Sin embargo, para 2025, aunque se esperan mejoras en las condiciones de las hipotecas, estas podrían no ser suficientes para contrarrestar el acelerado incremento del valor de las viviendas. En este escenario, los compradores podrían obtener hipotecas más accesibles, pero enfrentarse a precios de compra más altos. Esta situación sumada a que existe una </w:t>
      </w:r>
      <w:r>
        <w:rPr>
          <w:rFonts w:ascii="Open Sans" w:eastAsia="Open Sans" w:hAnsi="Open Sans" w:cs="Open Sans"/>
          <w:b/>
          <w:sz w:val="21"/>
          <w:szCs w:val="21"/>
        </w:rPr>
        <w:t>demanda insatisfecha muy significativa perjudicada por la gran escasez de oferta existente</w:t>
      </w:r>
      <w:r>
        <w:rPr>
          <w:rFonts w:ascii="Open Sans" w:eastAsia="Open Sans" w:hAnsi="Open Sans" w:cs="Open Sans"/>
          <w:sz w:val="21"/>
          <w:szCs w:val="21"/>
        </w:rPr>
        <w:t>. Y es que precisamente la falta de oferta de vivienda que hay de forma generalizada en España puede ser un gran problema para la demanda en los próximos meses. Este momento marcará un punto de inflexión, en el que las condiciones monetarias avivarán la demanda de compra y debido a la escasa oferta, encontrar la vivienda ideal será cada vez una tarea más complicada”, concluye la directora de Estudios.</w:t>
      </w:r>
    </w:p>
    <w:p w14:paraId="313F665D" w14:textId="77777777" w:rsidR="0036071F" w:rsidRDefault="0036071F">
      <w:pPr>
        <w:shd w:val="clear" w:color="auto" w:fill="FFFFFF"/>
        <w:spacing w:before="280" w:after="280"/>
        <w:jc w:val="both"/>
        <w:rPr>
          <w:rFonts w:ascii="Open Sans" w:eastAsia="Open Sans" w:hAnsi="Open Sans" w:cs="Open Sans"/>
          <w:sz w:val="21"/>
          <w:szCs w:val="21"/>
        </w:rPr>
      </w:pPr>
    </w:p>
    <w:p w14:paraId="7FB9D314" w14:textId="77777777" w:rsidR="0036071F" w:rsidRDefault="00000000">
      <w:pPr>
        <w:shd w:val="clear" w:color="auto" w:fill="FFFFFF"/>
        <w:spacing w:before="280" w:after="280"/>
        <w:jc w:val="right"/>
        <w:rPr>
          <w:rFonts w:ascii="Open Sans Light" w:eastAsia="Open Sans Light" w:hAnsi="Open Sans Light" w:cs="Open Sans Light"/>
          <w:b/>
          <w:color w:val="303AB2"/>
          <w:sz w:val="24"/>
          <w:szCs w:val="24"/>
        </w:rPr>
      </w:pPr>
      <w:r>
        <w:rPr>
          <w:rFonts w:ascii="Open Sans Light" w:eastAsia="Open Sans Light" w:hAnsi="Open Sans Light" w:cs="Open Sans Light"/>
          <w:b/>
          <w:color w:val="303AB2"/>
          <w:sz w:val="24"/>
          <w:szCs w:val="24"/>
        </w:rPr>
        <w:lastRenderedPageBreak/>
        <w:t>Departamento de Comunicación de Fotocasa</w:t>
      </w:r>
    </w:p>
    <w:p w14:paraId="16E3ADE4" w14:textId="77777777" w:rsidR="0036071F" w:rsidRDefault="00000000">
      <w:pPr>
        <w:shd w:val="clear" w:color="auto" w:fill="FFFFFF"/>
        <w:ind w:right="-7"/>
        <w:jc w:val="right"/>
        <w:rPr>
          <w:rFonts w:ascii="Open Sans" w:eastAsia="Open Sans" w:hAnsi="Open Sans" w:cs="Open Sans"/>
          <w:b/>
          <w:sz w:val="21"/>
          <w:szCs w:val="21"/>
        </w:rPr>
      </w:pPr>
      <w:r>
        <w:rPr>
          <w:rFonts w:ascii="Open Sans" w:eastAsia="Open Sans" w:hAnsi="Open Sans" w:cs="Open Sans"/>
          <w:b/>
          <w:sz w:val="21"/>
          <w:szCs w:val="21"/>
        </w:rPr>
        <w:t>Anaïs López</w:t>
      </w:r>
    </w:p>
    <w:p w14:paraId="3792AE9D" w14:textId="77777777" w:rsidR="0036071F" w:rsidRDefault="00000000">
      <w:pPr>
        <w:shd w:val="clear" w:color="auto" w:fill="FFFFFF"/>
        <w:ind w:right="-7"/>
        <w:jc w:val="right"/>
        <w:rPr>
          <w:rFonts w:ascii="Open Sans" w:eastAsia="Open Sans" w:hAnsi="Open Sans" w:cs="Open Sans"/>
          <w:sz w:val="21"/>
          <w:szCs w:val="21"/>
        </w:rPr>
      </w:pPr>
      <w:r>
        <w:rPr>
          <w:rFonts w:ascii="Open Sans" w:eastAsia="Open Sans" w:hAnsi="Open Sans" w:cs="Open Sans"/>
          <w:sz w:val="21"/>
          <w:szCs w:val="21"/>
        </w:rPr>
        <w:t>Móvil: 620 66 29 26</w:t>
      </w:r>
    </w:p>
    <w:p w14:paraId="11418C03" w14:textId="77777777" w:rsidR="0036071F" w:rsidRDefault="00000000">
      <w:pPr>
        <w:shd w:val="clear" w:color="auto" w:fill="FFFFFF"/>
        <w:ind w:right="-7"/>
        <w:jc w:val="right"/>
        <w:rPr>
          <w:rFonts w:ascii="Open Sans" w:eastAsia="Open Sans" w:hAnsi="Open Sans" w:cs="Open Sans"/>
          <w:sz w:val="21"/>
          <w:szCs w:val="21"/>
        </w:rPr>
      </w:pPr>
      <w:hyperlink r:id="rId11">
        <w:r>
          <w:rPr>
            <w:rFonts w:ascii="Open Sans" w:eastAsia="Open Sans" w:hAnsi="Open Sans" w:cs="Open Sans"/>
            <w:color w:val="0563C1"/>
            <w:sz w:val="21"/>
            <w:szCs w:val="21"/>
            <w:u w:val="single"/>
          </w:rPr>
          <w:t>comunicacion@fotocasa.es</w:t>
        </w:r>
      </w:hyperlink>
    </w:p>
    <w:p w14:paraId="1AA513CD" w14:textId="77777777" w:rsidR="0036071F" w:rsidRDefault="00000000">
      <w:pPr>
        <w:shd w:val="clear" w:color="auto" w:fill="FFFFFF"/>
        <w:ind w:right="-7"/>
        <w:jc w:val="right"/>
        <w:rPr>
          <w:rFonts w:ascii="Open Sans" w:eastAsia="Open Sans" w:hAnsi="Open Sans" w:cs="Open Sans"/>
          <w:sz w:val="21"/>
          <w:szCs w:val="21"/>
        </w:rPr>
      </w:pPr>
      <w:hyperlink r:id="rId12">
        <w:r>
          <w:rPr>
            <w:rFonts w:ascii="Open Sans" w:eastAsia="Open Sans" w:hAnsi="Open Sans" w:cs="Open Sans"/>
            <w:color w:val="0563C1"/>
            <w:sz w:val="21"/>
            <w:szCs w:val="21"/>
            <w:u w:val="single"/>
          </w:rPr>
          <w:t>http://prensa.fotocasa.es</w:t>
        </w:r>
      </w:hyperlink>
    </w:p>
    <w:p w14:paraId="49F5689A" w14:textId="77777777" w:rsidR="0036071F" w:rsidRDefault="00000000">
      <w:pPr>
        <w:shd w:val="clear" w:color="auto" w:fill="FFFFFF"/>
        <w:ind w:right="-7"/>
        <w:jc w:val="right"/>
      </w:pPr>
      <w:proofErr w:type="spellStart"/>
      <w:r>
        <w:rPr>
          <w:rFonts w:ascii="Open Sans" w:eastAsia="Open Sans" w:hAnsi="Open Sans" w:cs="Open Sans"/>
          <w:sz w:val="21"/>
          <w:szCs w:val="21"/>
        </w:rPr>
        <w:t>twitter</w:t>
      </w:r>
      <w:proofErr w:type="spellEnd"/>
      <w:r>
        <w:rPr>
          <w:rFonts w:ascii="Open Sans" w:eastAsia="Open Sans" w:hAnsi="Open Sans" w:cs="Open Sans"/>
          <w:sz w:val="21"/>
          <w:szCs w:val="21"/>
        </w:rPr>
        <w:t>: @fotocasa</w:t>
      </w:r>
    </w:p>
    <w:sectPr w:rsidR="0036071F">
      <w:footerReference w:type="default" r:id="rId13"/>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AB3A1B3" w14:textId="77777777" w:rsidR="00CA6597" w:rsidRDefault="00CA6597">
      <w:pPr>
        <w:spacing w:line="240" w:lineRule="auto"/>
      </w:pPr>
      <w:r>
        <w:separator/>
      </w:r>
    </w:p>
  </w:endnote>
  <w:endnote w:type="continuationSeparator" w:id="0">
    <w:p w14:paraId="727E5EF1" w14:textId="77777777" w:rsidR="00CA6597" w:rsidRDefault="00CA659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embedRegular r:id="rId1" w:fontKey="{5BDE80E2-90D6-4904-BF42-534A95EB37ED}"/>
  </w:font>
  <w:font w:name="National">
    <w:altName w:val="Calibri"/>
    <w:charset w:val="00"/>
    <w:family w:val="auto"/>
    <w:pitch w:val="default"/>
  </w:font>
  <w:font w:name="Open Sans">
    <w:charset w:val="00"/>
    <w:family w:val="swiss"/>
    <w:pitch w:val="variable"/>
    <w:sig w:usb0="E00002EF" w:usb1="4000205B" w:usb2="00000028" w:usb3="00000000" w:csb0="0000019F" w:csb1="00000000"/>
    <w:embedRegular r:id="rId2" w:fontKey="{E76CC91F-5EB2-4305-86A5-EF523F492FA5}"/>
    <w:embedBold r:id="rId3" w:fontKey="{0B7D3ECE-6691-4BAB-BEFC-FEFC8E6A2816}"/>
    <w:embedBoldItalic r:id="rId4" w:fontKey="{40815B00-472B-4F5D-A1B7-BFCB65CD2F1C}"/>
  </w:font>
  <w:font w:name="Open Sans Light">
    <w:charset w:val="00"/>
    <w:family w:val="swiss"/>
    <w:pitch w:val="variable"/>
    <w:sig w:usb0="E00002EF" w:usb1="4000205B" w:usb2="00000028" w:usb3="00000000" w:csb0="0000019F" w:csb1="00000000"/>
    <w:embedRegular r:id="rId5" w:fontKey="{020317FB-646D-4E91-96F1-E6DB5BC159CA}"/>
    <w:embedBold r:id="rId6" w:fontKey="{1B94A6AD-2B40-4B4A-8B61-CB6FD23B4611}"/>
  </w:font>
  <w:font w:name="Cambria">
    <w:panose1 w:val="02040503050406030204"/>
    <w:charset w:val="00"/>
    <w:family w:val="roman"/>
    <w:pitch w:val="variable"/>
    <w:sig w:usb0="E00006FF" w:usb1="420024FF" w:usb2="02000000" w:usb3="00000000" w:csb0="0000019F" w:csb1="00000000"/>
    <w:embedRegular r:id="rId7" w:fontKey="{F48A552B-E560-4B5B-A353-9DC7A4DC3F13}"/>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FC3217" w14:textId="77777777" w:rsidR="0036071F" w:rsidRDefault="00000000">
    <w:r>
      <w:rPr>
        <w:noProof/>
      </w:rPr>
      <w:drawing>
        <wp:anchor distT="0" distB="0" distL="0" distR="0" simplePos="0" relativeHeight="251658240" behindDoc="0" locked="0" layoutInCell="1" hidden="0" allowOverlap="1" wp14:anchorId="3C75F510" wp14:editId="14472C59">
          <wp:simplePos x="0" y="0"/>
          <wp:positionH relativeFrom="column">
            <wp:posOffset>-1916398</wp:posOffset>
          </wp:positionH>
          <wp:positionV relativeFrom="paragraph">
            <wp:posOffset>304800</wp:posOffset>
          </wp:positionV>
          <wp:extent cx="8620125" cy="447675"/>
          <wp:effectExtent l="0" t="0" r="0" b="0"/>
          <wp:wrapSquare wrapText="bothSides" distT="0" distB="0" distL="0" distR="0"/>
          <wp:docPr id="28"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l="-13043" r="620"/>
                  <a:stretch>
                    <a:fillRect/>
                  </a:stretch>
                </pic:blipFill>
                <pic:spPr>
                  <a:xfrm>
                    <a:off x="0" y="0"/>
                    <a:ext cx="8620125" cy="447675"/>
                  </a:xfrm>
                  <a:prstGeom prst="rect">
                    <a:avLst/>
                  </a:prstGeom>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C06E47C" w14:textId="77777777" w:rsidR="00CA6597" w:rsidRDefault="00CA6597">
      <w:pPr>
        <w:spacing w:line="240" w:lineRule="auto"/>
      </w:pPr>
      <w:r>
        <w:separator/>
      </w:r>
    </w:p>
  </w:footnote>
  <w:footnote w:type="continuationSeparator" w:id="0">
    <w:p w14:paraId="401E7901" w14:textId="77777777" w:rsidR="00CA6597" w:rsidRDefault="00CA6597">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6071F"/>
    <w:rsid w:val="000406DA"/>
    <w:rsid w:val="0036071F"/>
    <w:rsid w:val="00455565"/>
    <w:rsid w:val="00C55554"/>
    <w:rsid w:val="00CA6597"/>
    <w:rsid w:val="00D630A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9082A1"/>
  <w15:docId w15:val="{11C2E0CA-D754-4931-BA77-E22EB9ACA5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s" w:eastAsia="es-E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table" w:customStyle="1" w:styleId="TableNormal3">
    <w:name w:val="Table Normal"/>
    <w:tblPr>
      <w:tblCellMar>
        <w:top w:w="0" w:type="dxa"/>
        <w:left w:w="0" w:type="dxa"/>
        <w:bottom w:w="0" w:type="dxa"/>
        <w:right w:w="0" w:type="dxa"/>
      </w:tblCellMar>
    </w:tblPr>
  </w:style>
  <w:style w:type="table" w:customStyle="1" w:styleId="TableNormal4">
    <w:name w:val="Table Normal"/>
    <w:tblPr>
      <w:tblCellMar>
        <w:top w:w="0" w:type="dxa"/>
        <w:left w:w="0" w:type="dxa"/>
        <w:bottom w:w="0" w:type="dxa"/>
        <w:right w:w="0" w:type="dxa"/>
      </w:tblCellMar>
    </w:tblPr>
  </w:style>
  <w:style w:type="table" w:customStyle="1" w:styleId="TableNormal5">
    <w:name w:val="Table Normal"/>
    <w:tblPr>
      <w:tblCellMar>
        <w:top w:w="0" w:type="dxa"/>
        <w:left w:w="0" w:type="dxa"/>
        <w:bottom w:w="0" w:type="dxa"/>
        <w:right w:w="0" w:type="dxa"/>
      </w:tblCellMar>
    </w:tblPr>
  </w:style>
  <w:style w:type="table" w:customStyle="1" w:styleId="TableNormal6">
    <w:name w:val="Table Normal"/>
    <w:tblPr>
      <w:tblCellMar>
        <w:top w:w="0" w:type="dxa"/>
        <w:left w:w="0" w:type="dxa"/>
        <w:bottom w:w="0" w:type="dxa"/>
        <w:right w:w="0" w:type="dxa"/>
      </w:tblCellMar>
    </w:tblPr>
  </w:style>
  <w:style w:type="table" w:customStyle="1" w:styleId="TableNormal7">
    <w:name w:val="Table Normal"/>
    <w:tblPr>
      <w:tblCellMar>
        <w:top w:w="0" w:type="dxa"/>
        <w:left w:w="0" w:type="dxa"/>
        <w:bottom w:w="0" w:type="dxa"/>
        <w:right w:w="0" w:type="dxa"/>
      </w:tblCellMar>
    </w:tblPr>
  </w:style>
  <w:style w:type="table" w:customStyle="1" w:styleId="TableNormal8">
    <w:name w:val="Table Normal"/>
    <w:tblPr>
      <w:tblCellMar>
        <w:top w:w="0" w:type="dxa"/>
        <w:left w:w="0" w:type="dxa"/>
        <w:bottom w:w="0" w:type="dxa"/>
        <w:right w:w="0" w:type="dxa"/>
      </w:tblCellMar>
    </w:tblPr>
  </w:style>
  <w:style w:type="table" w:customStyle="1" w:styleId="TableNormal9">
    <w:name w:val="Table Normal"/>
    <w:tblPr>
      <w:tblCellMar>
        <w:top w:w="0" w:type="dxa"/>
        <w:left w:w="0" w:type="dxa"/>
        <w:bottom w:w="0" w:type="dxa"/>
        <w:right w:w="0" w:type="dxa"/>
      </w:tblCellMar>
    </w:tblPr>
  </w:style>
  <w:style w:type="table" w:customStyle="1" w:styleId="TableNormala">
    <w:name w:val="Table Normal"/>
    <w:tblPr>
      <w:tblCellMar>
        <w:top w:w="0" w:type="dxa"/>
        <w:left w:w="0" w:type="dxa"/>
        <w:bottom w:w="0" w:type="dxa"/>
        <w:right w:w="0" w:type="dxa"/>
      </w:tblCellMar>
    </w:tblPr>
  </w:style>
  <w:style w:type="table" w:customStyle="1" w:styleId="TableNormalb">
    <w:name w:val="Table Normal"/>
    <w:tblPr>
      <w:tblCellMar>
        <w:top w:w="0" w:type="dxa"/>
        <w:left w:w="0" w:type="dxa"/>
        <w:bottom w:w="0" w:type="dxa"/>
        <w:right w:w="0" w:type="dxa"/>
      </w:tblCellMar>
    </w:tblPr>
  </w:style>
  <w:style w:type="table" w:customStyle="1" w:styleId="TableNormalc">
    <w:name w:val="Table Normal"/>
    <w:tblPr>
      <w:tblCellMar>
        <w:top w:w="0" w:type="dxa"/>
        <w:left w:w="0" w:type="dxa"/>
        <w:bottom w:w="0" w:type="dxa"/>
        <w:right w:w="0" w:type="dxa"/>
      </w:tblCellMar>
    </w:tblPr>
  </w:style>
  <w:style w:type="paragraph" w:styleId="Subttulo">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www.fotocasa.es"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prensa.fotocasa.es"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comunicacion@fotocasa.es"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www.fotocasa.es" TargetMode="External"/><Relationship Id="rId4" Type="http://schemas.openxmlformats.org/officeDocument/2006/relationships/webSettings" Target="webSettings.xml"/><Relationship Id="rId9" Type="http://schemas.openxmlformats.org/officeDocument/2006/relationships/hyperlink" Target="https://www.fotocasa.es" TargetMode="External"/><Relationship Id="rId14" Type="http://schemas.openxmlformats.org/officeDocument/2006/relationships/fontTable" Target="fontTab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mFn/MS0fYlXQpQpYc2Vq7p2eq2w==">CgMxLjA4AHIhMVoxeXNFWWR0V0puUVhRc1NkTDZrQ2QzQlZGOV9TTHl4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804</Words>
  <Characters>4423</Characters>
  <Application>Microsoft Office Word</Application>
  <DocSecurity>0</DocSecurity>
  <Lines>36</Lines>
  <Paragraphs>10</Paragraphs>
  <ScaleCrop>false</ScaleCrop>
  <Company/>
  <LinksUpToDate>false</LinksUpToDate>
  <CharactersWithSpaces>5217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Anaïs López García</cp:lastModifiedBy>
  <cp:revision>4</cp:revision>
  <dcterms:created xsi:type="dcterms:W3CDTF">2024-02-22T08:44:00Z</dcterms:created>
  <dcterms:modified xsi:type="dcterms:W3CDTF">2025-02-20T08:35:00Z</dcterms:modified>
</cp:coreProperties>
</file>