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CD0AE" w14:textId="77777777" w:rsidR="00677AE1" w:rsidRDefault="00000000">
      <w:pPr>
        <w:spacing w:line="276" w:lineRule="auto"/>
        <w:ind w:right="283"/>
        <w:rPr>
          <w:b/>
        </w:rPr>
      </w:pPr>
      <w:r>
        <w:rPr>
          <w:noProof/>
        </w:rPr>
        <w:drawing>
          <wp:anchor distT="0" distB="0" distL="114300" distR="114300" simplePos="0" relativeHeight="251658240" behindDoc="0" locked="0" layoutInCell="1" hidden="0" allowOverlap="1" wp14:anchorId="4E261ABD" wp14:editId="7904A74C">
            <wp:simplePos x="0" y="0"/>
            <wp:positionH relativeFrom="page">
              <wp:align>left</wp:align>
            </wp:positionH>
            <wp:positionV relativeFrom="paragraph">
              <wp:posOffset>-805180</wp:posOffset>
            </wp:positionV>
            <wp:extent cx="7581265" cy="1019175"/>
            <wp:effectExtent l="0" t="0" r="635" b="9525"/>
            <wp:wrapNone/>
            <wp:docPr id="1991286090" name="image1.png" descr="Patrón de fond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png" descr="Patrón de fondo&#10;&#10;Descripción generada automáticamente con confianza baja"/>
                    <pic:cNvPicPr preferRelativeResize="0"/>
                  </pic:nvPicPr>
                  <pic:blipFill>
                    <a:blip r:embed="rId6"/>
                    <a:srcRect/>
                    <a:stretch>
                      <a:fillRect/>
                    </a:stretch>
                  </pic:blipFill>
                  <pic:spPr>
                    <a:xfrm>
                      <a:off x="0" y="0"/>
                      <a:ext cx="7581265" cy="1019175"/>
                    </a:xfrm>
                    <a:prstGeom prst="rect">
                      <a:avLst/>
                    </a:prstGeom>
                    <a:ln/>
                  </pic:spPr>
                </pic:pic>
              </a:graphicData>
            </a:graphic>
          </wp:anchor>
        </w:drawing>
      </w:r>
    </w:p>
    <w:p w14:paraId="5EBE697E" w14:textId="77777777" w:rsidR="00677AE1" w:rsidRDefault="00677AE1">
      <w:pPr>
        <w:spacing w:line="276" w:lineRule="auto"/>
        <w:ind w:right="283"/>
        <w:jc w:val="right"/>
        <w:rPr>
          <w:rFonts w:ascii="National" w:eastAsia="National" w:hAnsi="National" w:cs="National"/>
          <w:color w:val="303AB2"/>
          <w:sz w:val="36"/>
          <w:szCs w:val="36"/>
        </w:rPr>
      </w:pPr>
    </w:p>
    <w:p w14:paraId="7BA05F9D" w14:textId="77777777" w:rsidR="00677AE1" w:rsidRDefault="00000000">
      <w:pPr>
        <w:spacing w:line="276" w:lineRule="auto"/>
        <w:ind w:right="283"/>
        <w:jc w:val="center"/>
        <w:rPr>
          <w:rFonts w:ascii="National" w:eastAsia="National" w:hAnsi="National" w:cs="National"/>
          <w:b/>
          <w:color w:val="1DBDC5"/>
          <w:sz w:val="32"/>
          <w:szCs w:val="32"/>
        </w:rPr>
      </w:pPr>
      <w:r>
        <w:rPr>
          <w:rFonts w:ascii="National" w:eastAsia="National" w:hAnsi="National" w:cs="National"/>
          <w:b/>
          <w:color w:val="1DBDC5"/>
          <w:sz w:val="32"/>
          <w:szCs w:val="32"/>
        </w:rPr>
        <w:t>20º ANIVERSARIO ÍNDICE INMOBILIARIO FOTOCASA</w:t>
      </w:r>
    </w:p>
    <w:p w14:paraId="52810FEE" w14:textId="77777777" w:rsidR="00677AE1" w:rsidRDefault="00000000">
      <w:pPr>
        <w:spacing w:line="276" w:lineRule="auto"/>
        <w:ind w:right="283"/>
        <w:jc w:val="center"/>
        <w:rPr>
          <w:rFonts w:ascii="National" w:eastAsia="National" w:hAnsi="National" w:cs="National"/>
          <w:b/>
          <w:color w:val="303AB2"/>
          <w:sz w:val="48"/>
          <w:szCs w:val="48"/>
        </w:rPr>
      </w:pPr>
      <w:r>
        <w:rPr>
          <w:rFonts w:ascii="National" w:eastAsia="National" w:hAnsi="National" w:cs="National"/>
          <w:b/>
          <w:color w:val="303AB2"/>
          <w:sz w:val="46"/>
          <w:szCs w:val="46"/>
        </w:rPr>
        <w:t>La vivienda en venta en España inicia 2025 con el mismo precio que hace 20 años</w:t>
      </w:r>
      <w:r>
        <w:rPr>
          <w:rFonts w:ascii="National" w:eastAsia="National" w:hAnsi="National" w:cs="National"/>
          <w:b/>
          <w:color w:val="303AB2"/>
          <w:sz w:val="48"/>
          <w:szCs w:val="48"/>
        </w:rPr>
        <w:t xml:space="preserve"> </w:t>
      </w:r>
    </w:p>
    <w:p w14:paraId="3C4D0E14" w14:textId="77777777" w:rsidR="00677AE1" w:rsidRDefault="00677AE1">
      <w:pPr>
        <w:spacing w:line="276" w:lineRule="auto"/>
        <w:ind w:right="283"/>
        <w:rPr>
          <w:rFonts w:ascii="National" w:eastAsia="National" w:hAnsi="National" w:cs="National"/>
          <w:b/>
          <w:color w:val="303AB2"/>
          <w:sz w:val="16"/>
          <w:szCs w:val="16"/>
        </w:rPr>
      </w:pPr>
    </w:p>
    <w:p w14:paraId="7321EF54" w14:textId="77777777" w:rsidR="00677AE1" w:rsidRDefault="00000000">
      <w:pPr>
        <w:numPr>
          <w:ilvl w:val="0"/>
          <w:numId w:val="1"/>
        </w:numPr>
        <w:spacing w:line="276" w:lineRule="auto"/>
        <w:ind w:right="283"/>
        <w:jc w:val="both"/>
        <w:rPr>
          <w:rFonts w:ascii="Open Sans" w:eastAsia="Open Sans" w:hAnsi="Open Sans" w:cs="Open Sans"/>
          <w:color w:val="303AB2"/>
        </w:rPr>
      </w:pPr>
      <w:r>
        <w:rPr>
          <w:rFonts w:ascii="Open Sans" w:eastAsia="Open Sans" w:hAnsi="Open Sans" w:cs="Open Sans"/>
          <w:color w:val="303AB2"/>
        </w:rPr>
        <w:t>En 2005 el precio medio de la vivienda era de 2.400€/m</w:t>
      </w:r>
      <w:r>
        <w:rPr>
          <w:rFonts w:ascii="Open Sans" w:eastAsia="Open Sans" w:hAnsi="Open Sans" w:cs="Open Sans"/>
          <w:color w:val="303AB2"/>
          <w:vertAlign w:val="superscript"/>
        </w:rPr>
        <w:t>2</w:t>
      </w:r>
      <w:r>
        <w:rPr>
          <w:rFonts w:ascii="Open Sans" w:eastAsia="Open Sans" w:hAnsi="Open Sans" w:cs="Open Sans"/>
          <w:color w:val="303AB2"/>
        </w:rPr>
        <w:t>, veinte años después es de 2.405€/m</w:t>
      </w:r>
      <w:r>
        <w:rPr>
          <w:rFonts w:ascii="Open Sans" w:eastAsia="Open Sans" w:hAnsi="Open Sans" w:cs="Open Sans"/>
          <w:color w:val="303AB2"/>
          <w:vertAlign w:val="superscript"/>
        </w:rPr>
        <w:t>2</w:t>
      </w:r>
      <w:r>
        <w:rPr>
          <w:rFonts w:ascii="Open Sans" w:eastAsia="Open Sans" w:hAnsi="Open Sans" w:cs="Open Sans"/>
          <w:color w:val="303AB2"/>
        </w:rPr>
        <w:t>, solo un 0,2% más</w:t>
      </w:r>
    </w:p>
    <w:p w14:paraId="77E75017" w14:textId="77777777" w:rsidR="00677AE1"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303AB2"/>
        </w:rPr>
      </w:pPr>
      <w:r>
        <w:rPr>
          <w:rFonts w:ascii="Open Sans" w:eastAsia="Open Sans" w:hAnsi="Open Sans" w:cs="Open Sans"/>
          <w:color w:val="303AB2"/>
        </w:rPr>
        <w:t xml:space="preserve">El precio registrado en 2025 está todavía a un 18% de distancia de alcanzar el precio máximo registrado en 2007 de 2.952€ </w:t>
      </w:r>
    </w:p>
    <w:p w14:paraId="7FF875D1" w14:textId="77777777" w:rsidR="00677AE1" w:rsidRDefault="00000000">
      <w:pPr>
        <w:numPr>
          <w:ilvl w:val="0"/>
          <w:numId w:val="1"/>
        </w:numPr>
        <w:spacing w:line="276" w:lineRule="auto"/>
        <w:ind w:right="283"/>
        <w:jc w:val="both"/>
        <w:rPr>
          <w:rFonts w:ascii="Open Sans" w:eastAsia="Open Sans" w:hAnsi="Open Sans" w:cs="Open Sans"/>
          <w:color w:val="303AB2"/>
        </w:rPr>
      </w:pPr>
      <w:r>
        <w:rPr>
          <w:rFonts w:ascii="Open Sans" w:eastAsia="Open Sans" w:hAnsi="Open Sans" w:cs="Open Sans"/>
          <w:color w:val="303AB2"/>
        </w:rPr>
        <w:t>El precio medio de la vivienda aumenta un 8,6% interanual en enero</w:t>
      </w:r>
    </w:p>
    <w:p w14:paraId="018BBEAC" w14:textId="58DF8FB2" w:rsidR="00996102" w:rsidRPr="00996102" w:rsidRDefault="00996102">
      <w:pPr>
        <w:numPr>
          <w:ilvl w:val="0"/>
          <w:numId w:val="1"/>
        </w:numPr>
        <w:spacing w:line="276" w:lineRule="auto"/>
        <w:ind w:right="283"/>
        <w:jc w:val="both"/>
        <w:rPr>
          <w:rFonts w:ascii="Open Sans" w:eastAsia="Open Sans" w:hAnsi="Open Sans" w:cs="Open Sans"/>
          <w:b/>
          <w:bCs/>
          <w:color w:val="303AB2"/>
        </w:rPr>
      </w:pPr>
      <w:hyperlink r:id="rId7" w:history="1">
        <w:r w:rsidRPr="00996102">
          <w:rPr>
            <w:rStyle w:val="Hipervnculo"/>
            <w:rFonts w:ascii="Open Sans" w:eastAsia="Open Sans" w:hAnsi="Open Sans" w:cs="Open Sans"/>
            <w:b/>
            <w:bCs/>
          </w:rPr>
          <w:t>Aquí se puede ver un vídeo de la directora de Estudios de Fotocasa</w:t>
        </w:r>
      </w:hyperlink>
    </w:p>
    <w:p w14:paraId="414830AF" w14:textId="4EF07179" w:rsidR="00677AE1" w:rsidRDefault="00000000" w:rsidP="00996102">
      <w:pPr>
        <w:pBdr>
          <w:top w:val="nil"/>
          <w:left w:val="nil"/>
          <w:bottom w:val="nil"/>
          <w:right w:val="nil"/>
          <w:between w:val="nil"/>
        </w:pBdr>
        <w:spacing w:line="276" w:lineRule="auto"/>
        <w:ind w:right="283" w:hanging="11"/>
        <w:jc w:val="both"/>
        <w:rPr>
          <w:rFonts w:ascii="Open Sans" w:eastAsia="Open Sans" w:hAnsi="Open Sans" w:cs="Open Sans"/>
          <w:b/>
          <w:bCs/>
          <w:color w:val="303AB2"/>
        </w:rPr>
      </w:pPr>
      <w:r>
        <w:rPr>
          <w:rFonts w:ascii="Open Sans Light" w:eastAsia="Open Sans Light" w:hAnsi="Open Sans Light" w:cs="Open Sans Light"/>
          <w:b/>
          <w:color w:val="303AB2"/>
        </w:rPr>
        <w:br/>
      </w:r>
      <w:r w:rsidRPr="00996102">
        <w:rPr>
          <w:rFonts w:ascii="Open Sans" w:eastAsia="Open Sans" w:hAnsi="Open Sans" w:cs="Open Sans"/>
          <w:b/>
          <w:bCs/>
          <w:color w:val="303AB2"/>
        </w:rPr>
        <w:t>Madrid, 04 de febrero de 2025</w:t>
      </w:r>
    </w:p>
    <w:p w14:paraId="1ECE91C2" w14:textId="77777777" w:rsidR="0022282A" w:rsidRPr="00996102" w:rsidRDefault="0022282A" w:rsidP="00996102">
      <w:pPr>
        <w:pBdr>
          <w:top w:val="nil"/>
          <w:left w:val="nil"/>
          <w:bottom w:val="nil"/>
          <w:right w:val="nil"/>
          <w:between w:val="nil"/>
        </w:pBdr>
        <w:spacing w:line="276" w:lineRule="auto"/>
        <w:ind w:right="283" w:hanging="11"/>
        <w:jc w:val="both"/>
        <w:rPr>
          <w:rFonts w:ascii="Open Sans Light" w:eastAsia="Open Sans Light" w:hAnsi="Open Sans Light" w:cs="Open Sans Light"/>
          <w:b/>
          <w:bCs/>
          <w:color w:val="303AB2"/>
        </w:rPr>
      </w:pPr>
    </w:p>
    <w:p w14:paraId="098087C3" w14:textId="77777777" w:rsidR="00677AE1" w:rsidRDefault="00000000">
      <w:pPr>
        <w:spacing w:line="276" w:lineRule="auto"/>
        <w:jc w:val="both"/>
        <w:rPr>
          <w:rFonts w:ascii="Open Sans" w:eastAsia="Open Sans" w:hAnsi="Open Sans" w:cs="Open Sans"/>
        </w:rPr>
      </w:pPr>
      <w:r>
        <w:rPr>
          <w:rFonts w:ascii="Open Sans" w:eastAsia="Open Sans" w:hAnsi="Open Sans" w:cs="Open Sans"/>
        </w:rPr>
        <w:t xml:space="preserve">Con motivo del </w:t>
      </w:r>
      <w:r>
        <w:rPr>
          <w:rFonts w:ascii="Open Sans" w:eastAsia="Open Sans" w:hAnsi="Open Sans" w:cs="Open Sans"/>
          <w:b/>
        </w:rPr>
        <w:t>20º aniversario del Índice Inmobiliario Fotocasa</w:t>
      </w:r>
      <w:r>
        <w:rPr>
          <w:rFonts w:ascii="Open Sans" w:eastAsia="Open Sans" w:hAnsi="Open Sans" w:cs="Open Sans"/>
        </w:rPr>
        <w:t xml:space="preserve">, que cumple dos décadas midiendo la evolución del precio de la vivienda de segunda mano en España, se realiza un análisis comparativo entre los datos del precio registrado en enero de 2005 y el correspondiente al mismo periodo de 2025. </w:t>
      </w:r>
    </w:p>
    <w:p w14:paraId="22E503AE" w14:textId="77777777" w:rsidR="00677AE1" w:rsidRDefault="00677AE1">
      <w:pPr>
        <w:spacing w:line="276" w:lineRule="auto"/>
        <w:jc w:val="both"/>
        <w:rPr>
          <w:rFonts w:ascii="Open Sans" w:eastAsia="Open Sans" w:hAnsi="Open Sans" w:cs="Open Sans"/>
        </w:rPr>
      </w:pPr>
    </w:p>
    <w:p w14:paraId="46CAFAC2" w14:textId="77777777" w:rsidR="00677AE1" w:rsidRDefault="00000000">
      <w:pPr>
        <w:spacing w:line="276" w:lineRule="auto"/>
        <w:jc w:val="both"/>
        <w:rPr>
          <w:rFonts w:ascii="Open Sans" w:eastAsia="Open Sans" w:hAnsi="Open Sans" w:cs="Open Sans"/>
        </w:rPr>
      </w:pPr>
      <w:r>
        <w:rPr>
          <w:rFonts w:ascii="Open Sans" w:eastAsia="Open Sans" w:hAnsi="Open Sans" w:cs="Open Sans"/>
        </w:rPr>
        <w:t>En España, el precio de la vivienda de segunda mano en enero de 2005 era de 2.400€/m</w:t>
      </w:r>
      <w:r>
        <w:rPr>
          <w:rFonts w:ascii="Open Sans" w:eastAsia="Open Sans" w:hAnsi="Open Sans" w:cs="Open Sans"/>
          <w:vertAlign w:val="superscript"/>
        </w:rPr>
        <w:t>2</w:t>
      </w:r>
      <w:r>
        <w:rPr>
          <w:rFonts w:ascii="Open Sans" w:eastAsia="Open Sans" w:hAnsi="Open Sans" w:cs="Open Sans"/>
        </w:rPr>
        <w:t xml:space="preserve">. </w:t>
      </w:r>
      <w:r>
        <w:rPr>
          <w:rFonts w:ascii="Open Sans" w:eastAsia="Open Sans" w:hAnsi="Open Sans" w:cs="Open Sans"/>
          <w:b/>
        </w:rPr>
        <w:t>Veinte años después, en enero de este año es de 2.405 €/m</w:t>
      </w:r>
      <w:r>
        <w:rPr>
          <w:rFonts w:ascii="Open Sans" w:eastAsia="Open Sans" w:hAnsi="Open Sans" w:cs="Open Sans"/>
          <w:b/>
          <w:vertAlign w:val="superscript"/>
        </w:rPr>
        <w:t>2</w:t>
      </w:r>
      <w:r>
        <w:rPr>
          <w:rFonts w:ascii="Open Sans" w:eastAsia="Open Sans" w:hAnsi="Open Sans" w:cs="Open Sans"/>
          <w:b/>
        </w:rPr>
        <w:t>, lo que supone solo un 0,2% más o, lo que es lo mismo, 5 euros más el metro cuadrado</w:t>
      </w:r>
      <w:r>
        <w:rPr>
          <w:rFonts w:ascii="Open Sans" w:eastAsia="Open Sans" w:hAnsi="Open Sans" w:cs="Open Sans"/>
        </w:rPr>
        <w:t>.</w:t>
      </w:r>
    </w:p>
    <w:p w14:paraId="7402C86E" w14:textId="77777777" w:rsidR="00677AE1" w:rsidRDefault="00677AE1">
      <w:pPr>
        <w:spacing w:line="276" w:lineRule="auto"/>
        <w:jc w:val="both"/>
        <w:rPr>
          <w:rFonts w:ascii="Open Sans" w:eastAsia="Open Sans" w:hAnsi="Open Sans" w:cs="Open Sans"/>
        </w:rPr>
      </w:pPr>
    </w:p>
    <w:p w14:paraId="29D009A4" w14:textId="77777777" w:rsidR="00677AE1" w:rsidRDefault="00000000">
      <w:pPr>
        <w:spacing w:line="276" w:lineRule="auto"/>
        <w:jc w:val="both"/>
        <w:rPr>
          <w:rFonts w:ascii="Open Sans" w:eastAsia="Open Sans" w:hAnsi="Open Sans" w:cs="Open Sans"/>
        </w:rPr>
      </w:pPr>
      <w:r>
        <w:rPr>
          <w:rFonts w:ascii="Open Sans" w:eastAsia="Open Sans" w:hAnsi="Open Sans" w:cs="Open Sans"/>
        </w:rPr>
        <w:t xml:space="preserve">En los 20 años de trayectoria del </w:t>
      </w:r>
      <w:r>
        <w:rPr>
          <w:rFonts w:ascii="Open Sans" w:eastAsia="Open Sans" w:hAnsi="Open Sans" w:cs="Open Sans"/>
          <w:b/>
        </w:rPr>
        <w:t>Índice Inmobiliario Fotocasa</w:t>
      </w:r>
      <w:r>
        <w:rPr>
          <w:rFonts w:ascii="Open Sans" w:eastAsia="Open Sans" w:hAnsi="Open Sans" w:cs="Open Sans"/>
        </w:rPr>
        <w:t xml:space="preserve">, el precio de la vivienda en venta ha fluctuado de forma significativa. En 2005, en plena formación de la burbuja, el coste del metro cuadrado de una vivienda era de </w:t>
      </w:r>
      <w:r>
        <w:rPr>
          <w:rFonts w:ascii="Open Sans" w:eastAsia="Open Sans" w:hAnsi="Open Sans" w:cs="Open Sans"/>
          <w:b/>
        </w:rPr>
        <w:t>2.405 €/m</w:t>
      </w:r>
      <w:r>
        <w:rPr>
          <w:rFonts w:ascii="Open Sans" w:eastAsia="Open Sans" w:hAnsi="Open Sans" w:cs="Open Sans"/>
          <w:b/>
          <w:vertAlign w:val="superscript"/>
        </w:rPr>
        <w:t>2</w:t>
      </w:r>
      <w:r>
        <w:rPr>
          <w:rFonts w:ascii="Open Sans" w:eastAsia="Open Sans" w:hAnsi="Open Sans" w:cs="Open Sans"/>
        </w:rPr>
        <w:t xml:space="preserve">, tras su estallido en 2010 descendió a los </w:t>
      </w:r>
      <w:r>
        <w:rPr>
          <w:rFonts w:ascii="Open Sans" w:eastAsia="Open Sans" w:hAnsi="Open Sans" w:cs="Open Sans"/>
          <w:b/>
        </w:rPr>
        <w:t>2.366 €/m</w:t>
      </w:r>
      <w:r>
        <w:rPr>
          <w:rFonts w:ascii="Open Sans" w:eastAsia="Open Sans" w:hAnsi="Open Sans" w:cs="Open Sans"/>
          <w:b/>
          <w:vertAlign w:val="superscript"/>
        </w:rPr>
        <w:t>2</w:t>
      </w:r>
      <w:r>
        <w:rPr>
          <w:rFonts w:ascii="Open Sans" w:eastAsia="Open Sans" w:hAnsi="Open Sans" w:cs="Open Sans"/>
        </w:rPr>
        <w:t xml:space="preserve">, y con la crisis económica en 2015 se situó en </w:t>
      </w:r>
      <w:r>
        <w:rPr>
          <w:rFonts w:ascii="Open Sans" w:eastAsia="Open Sans" w:hAnsi="Open Sans" w:cs="Open Sans"/>
          <w:b/>
        </w:rPr>
        <w:t>1.629 €/m</w:t>
      </w:r>
      <w:r>
        <w:rPr>
          <w:rFonts w:ascii="Open Sans" w:eastAsia="Open Sans" w:hAnsi="Open Sans" w:cs="Open Sans"/>
          <w:b/>
          <w:vertAlign w:val="superscript"/>
        </w:rPr>
        <w:t>2</w:t>
      </w:r>
      <w:r>
        <w:rPr>
          <w:rFonts w:ascii="Open Sans" w:eastAsia="Open Sans" w:hAnsi="Open Sans" w:cs="Open Sans"/>
        </w:rPr>
        <w:t xml:space="preserve">. Tras la recuperación y antes de la pandemia en 2020 alcanzó los </w:t>
      </w:r>
      <w:r>
        <w:rPr>
          <w:rFonts w:ascii="Open Sans" w:eastAsia="Open Sans" w:hAnsi="Open Sans" w:cs="Open Sans"/>
          <w:b/>
        </w:rPr>
        <w:t>1.841 €/m</w:t>
      </w:r>
      <w:r>
        <w:rPr>
          <w:rFonts w:ascii="Open Sans" w:eastAsia="Open Sans" w:hAnsi="Open Sans" w:cs="Open Sans"/>
          <w:b/>
          <w:vertAlign w:val="superscript"/>
        </w:rPr>
        <w:t>2</w:t>
      </w:r>
      <w:r>
        <w:rPr>
          <w:rFonts w:ascii="Open Sans" w:eastAsia="Open Sans" w:hAnsi="Open Sans" w:cs="Open Sans"/>
        </w:rPr>
        <w:t xml:space="preserve"> y siguió aumentando de forma continuada hasta llegar al último precio registrado en enero de 2025 (</w:t>
      </w:r>
      <w:r>
        <w:rPr>
          <w:rFonts w:ascii="Open Sans" w:eastAsia="Open Sans" w:hAnsi="Open Sans" w:cs="Open Sans"/>
          <w:b/>
        </w:rPr>
        <w:t>2.405€/m</w:t>
      </w:r>
      <w:r>
        <w:rPr>
          <w:rFonts w:ascii="Open Sans" w:eastAsia="Open Sans" w:hAnsi="Open Sans" w:cs="Open Sans"/>
          <w:b/>
          <w:vertAlign w:val="superscript"/>
        </w:rPr>
        <w:t>2</w:t>
      </w:r>
      <w:r>
        <w:rPr>
          <w:rFonts w:ascii="Open Sans" w:eastAsia="Open Sans" w:hAnsi="Open Sans" w:cs="Open Sans"/>
        </w:rPr>
        <w:t>).</w:t>
      </w:r>
    </w:p>
    <w:p w14:paraId="24EE666E" w14:textId="30BBBD2E" w:rsidR="00677AE1" w:rsidRDefault="0022282A">
      <w:pPr>
        <w:spacing w:line="276" w:lineRule="auto"/>
        <w:ind w:right="-143"/>
        <w:jc w:val="center"/>
        <w:rPr>
          <w:sz w:val="22"/>
          <w:szCs w:val="22"/>
        </w:rPr>
      </w:pPr>
      <w:r>
        <w:rPr>
          <w:noProof/>
        </w:rPr>
        <w:lastRenderedPageBreak/>
        <w:drawing>
          <wp:anchor distT="0" distB="0" distL="114300" distR="114300" simplePos="0" relativeHeight="251659264" behindDoc="0" locked="0" layoutInCell="1" hidden="0" allowOverlap="1" wp14:anchorId="7A09B70A" wp14:editId="2D5553C5">
            <wp:simplePos x="0" y="0"/>
            <wp:positionH relativeFrom="margin">
              <wp:align>right</wp:align>
            </wp:positionH>
            <wp:positionV relativeFrom="paragraph">
              <wp:posOffset>380365</wp:posOffset>
            </wp:positionV>
            <wp:extent cx="5600700" cy="2026920"/>
            <wp:effectExtent l="0" t="0" r="0" b="0"/>
            <wp:wrapSquare wrapText="bothSides" distT="0" distB="0" distL="114300" distR="114300"/>
            <wp:docPr id="1991286089" name="Gráfico 199128608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Pr>
          <w:rFonts w:ascii="Open Sans Light" w:eastAsia="Open Sans Light" w:hAnsi="Open Sans Light" w:cs="Open Sans Light"/>
          <w:b/>
          <w:color w:val="303AB2"/>
        </w:rPr>
        <w:t>Variación interanual de enero por CC.AA. durante los últimos 20 años</w:t>
      </w:r>
    </w:p>
    <w:p w14:paraId="68DC4288" w14:textId="77777777" w:rsidR="00677AE1" w:rsidRDefault="00000000">
      <w:pPr>
        <w:shd w:val="clear" w:color="auto" w:fill="FFFFFF"/>
        <w:spacing w:before="280" w:after="280" w:line="276" w:lineRule="auto"/>
        <w:jc w:val="both"/>
        <w:rPr>
          <w:rFonts w:ascii="Open Sans" w:eastAsia="Open Sans" w:hAnsi="Open Sans" w:cs="Open Sans"/>
          <w:b/>
        </w:rPr>
      </w:pPr>
      <w:r>
        <w:rPr>
          <w:rFonts w:ascii="Open Sans" w:eastAsia="Open Sans" w:hAnsi="Open Sans" w:cs="Open Sans"/>
        </w:rPr>
        <w:t xml:space="preserve">“Tras cinco años de incrementos continuados en el precio de la vivienda y en un contexto de gran tensión entre oferta y demanda, reflejada en las altas variaciones, seguramente no esperábamos que comprar una vivienda hoy nos fuese a costar lo mismo que 20 años atrás. La razón es porque el precio de la vivienda a nivel nacional ya era elevado en aquella etapa, en la que existió una sobrevaloración de los inmuebles. La mayoría de las autonomías presentan un precio menor al registrado en 2005, lo que indica que el precio todavía no ha recuperado los niveles de la burbuja y que todavía tiene recorrido al alza. Sin embargo, hay siete comunidades que han recuperado los niveles de 2005 y que superan el precio de forma significativa”, </w:t>
      </w:r>
      <w:r>
        <w:rPr>
          <w:rFonts w:ascii="Open Sans" w:eastAsia="Open Sans" w:hAnsi="Open Sans" w:cs="Open Sans"/>
          <w:b/>
        </w:rPr>
        <w:t xml:space="preserve">comenta María Matos, directora de Estudios y portavoz de </w:t>
      </w:r>
      <w:hyperlink r:id="rId9">
        <w:r w:rsidR="00677AE1">
          <w:rPr>
            <w:rFonts w:ascii="Open Sans" w:eastAsia="Open Sans" w:hAnsi="Open Sans" w:cs="Open Sans"/>
            <w:b/>
            <w:color w:val="1155CC"/>
            <w:u w:val="single"/>
          </w:rPr>
          <w:t>Fotocasa</w:t>
        </w:r>
      </w:hyperlink>
      <w:r>
        <w:rPr>
          <w:rFonts w:ascii="Open Sans" w:eastAsia="Open Sans" w:hAnsi="Open Sans" w:cs="Open Sans"/>
          <w:b/>
        </w:rPr>
        <w:t>.</w:t>
      </w:r>
    </w:p>
    <w:p w14:paraId="754B00B1" w14:textId="511ED379" w:rsidR="00996102" w:rsidRDefault="00996102" w:rsidP="00996102">
      <w:pPr>
        <w:shd w:val="clear" w:color="auto" w:fill="FFFFFF"/>
        <w:spacing w:before="280" w:after="280" w:line="276" w:lineRule="auto"/>
        <w:jc w:val="center"/>
        <w:rPr>
          <w:rFonts w:ascii="Open Sans" w:eastAsia="Open Sans" w:hAnsi="Open Sans" w:cs="Open Sans"/>
          <w:b/>
        </w:rPr>
      </w:pPr>
      <w:hyperlink r:id="rId10" w:history="1">
        <w:r w:rsidRPr="00996102">
          <w:rPr>
            <w:rStyle w:val="Hipervnculo"/>
            <w:rFonts w:ascii="Open Sans" w:eastAsia="Open Sans" w:hAnsi="Open Sans" w:cs="Open Sans"/>
            <w:b/>
          </w:rPr>
          <w:t>Declaraciones de María Matos, directora de Estudios de Fotocasa</w:t>
        </w:r>
      </w:hyperlink>
    </w:p>
    <w:p w14:paraId="1D429DEC" w14:textId="14F4607F" w:rsidR="00996102" w:rsidRDefault="00996102" w:rsidP="0022282A">
      <w:pPr>
        <w:shd w:val="clear" w:color="auto" w:fill="FFFFFF"/>
        <w:spacing w:before="280" w:after="280" w:line="276" w:lineRule="auto"/>
        <w:jc w:val="center"/>
        <w:rPr>
          <w:rFonts w:ascii="Open Sans" w:eastAsia="Open Sans" w:hAnsi="Open Sans" w:cs="Open Sans"/>
          <w:b/>
        </w:rPr>
      </w:pPr>
      <w:r>
        <w:rPr>
          <w:noProof/>
        </w:rPr>
        <w:drawing>
          <wp:inline distT="0" distB="0" distL="0" distR="0" wp14:anchorId="10991A0A" wp14:editId="0D0032F6">
            <wp:extent cx="5410200" cy="2926496"/>
            <wp:effectExtent l="0" t="0" r="0" b="7620"/>
            <wp:docPr id="658439577" name="Imagen 1" descr="Una persona con un traje de color azul&#10;&#10;Descripción generada automáticamente con confianza medi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439577" name="Imagen 1" descr="Una persona con un traje de color azul&#10;&#10;Descripción generada automáticamente con confianza media">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7843" cy="2936039"/>
                    </a:xfrm>
                    <a:prstGeom prst="rect">
                      <a:avLst/>
                    </a:prstGeom>
                    <a:noFill/>
                    <a:ln>
                      <a:noFill/>
                    </a:ln>
                  </pic:spPr>
                </pic:pic>
              </a:graphicData>
            </a:graphic>
          </wp:inline>
        </w:drawing>
      </w:r>
    </w:p>
    <w:p w14:paraId="15609A61" w14:textId="77777777" w:rsidR="00677AE1" w:rsidRDefault="00000000">
      <w:pPr>
        <w:spacing w:line="276" w:lineRule="auto"/>
        <w:jc w:val="both"/>
        <w:rPr>
          <w:rFonts w:ascii="Open Sans" w:eastAsia="Open Sans" w:hAnsi="Open Sans" w:cs="Open Sans"/>
        </w:rPr>
      </w:pPr>
      <w:r>
        <w:rPr>
          <w:rFonts w:ascii="Open Sans" w:eastAsia="Open Sans" w:hAnsi="Open Sans" w:cs="Open Sans"/>
        </w:rPr>
        <w:lastRenderedPageBreak/>
        <w:t xml:space="preserve">Sin embargo, el precio de la media nacional no siempre representa el comportamiento de cada zona del territorio, en las que por diversos factores la dinámica de los precios muestra diferentes ritmos y direcciones. A continuación, se realiza </w:t>
      </w:r>
      <w:r>
        <w:rPr>
          <w:rFonts w:ascii="Open Sans" w:eastAsia="Open Sans" w:hAnsi="Open Sans" w:cs="Open Sans"/>
          <w:b/>
        </w:rPr>
        <w:t>la comparativa del precio de la vivienda de hace 20 años con el actual por comunidades autónomas, provincias y municipios</w:t>
      </w:r>
      <w:r>
        <w:rPr>
          <w:rFonts w:ascii="Open Sans" w:eastAsia="Open Sans" w:hAnsi="Open Sans" w:cs="Open Sans"/>
        </w:rPr>
        <w:t>. En las gráficas, también se incluye una columna con la variación interanual correspondiente que en enero ha sido del 8,6%.</w:t>
      </w:r>
    </w:p>
    <w:p w14:paraId="37F312B0" w14:textId="77777777" w:rsidR="00677AE1" w:rsidRDefault="00677AE1">
      <w:pPr>
        <w:spacing w:line="276" w:lineRule="auto"/>
        <w:jc w:val="both"/>
        <w:rPr>
          <w:rFonts w:ascii="Open Sans" w:eastAsia="Open Sans" w:hAnsi="Open Sans" w:cs="Open Sans"/>
        </w:rPr>
      </w:pPr>
    </w:p>
    <w:p w14:paraId="0320C1DF" w14:textId="77777777" w:rsidR="00677AE1" w:rsidRDefault="00000000">
      <w:pPr>
        <w:spacing w:line="276" w:lineRule="auto"/>
        <w:ind w:right="283"/>
      </w:pPr>
      <w:r>
        <w:rPr>
          <w:rFonts w:ascii="Open Sans Light" w:eastAsia="Open Sans Light" w:hAnsi="Open Sans Light" w:cs="Open Sans Light"/>
          <w:b/>
          <w:color w:val="303AB2"/>
          <w:sz w:val="28"/>
          <w:szCs w:val="28"/>
        </w:rPr>
        <w:t>Comparativa por CC.AA. durante los últimos 20 años</w:t>
      </w:r>
    </w:p>
    <w:p w14:paraId="1ABA2E3A" w14:textId="77777777" w:rsidR="00677AE1" w:rsidRDefault="00677AE1">
      <w:pPr>
        <w:tabs>
          <w:tab w:val="left" w:pos="0"/>
        </w:tabs>
        <w:spacing w:line="276" w:lineRule="auto"/>
        <w:jc w:val="both"/>
        <w:rPr>
          <w:rFonts w:ascii="Open Sans" w:eastAsia="Open Sans" w:hAnsi="Open Sans" w:cs="Open Sans"/>
        </w:rPr>
      </w:pPr>
    </w:p>
    <w:p w14:paraId="738C32F9" w14:textId="77777777" w:rsidR="00677AE1" w:rsidRDefault="00000000">
      <w:pPr>
        <w:tabs>
          <w:tab w:val="left" w:pos="0"/>
        </w:tabs>
        <w:spacing w:line="276" w:lineRule="auto"/>
        <w:jc w:val="both"/>
        <w:rPr>
          <w:rFonts w:ascii="Open Sans" w:eastAsia="Open Sans" w:hAnsi="Open Sans" w:cs="Open Sans"/>
        </w:rPr>
      </w:pPr>
      <w:r>
        <w:rPr>
          <w:rFonts w:ascii="Open Sans" w:eastAsia="Open Sans" w:hAnsi="Open Sans" w:cs="Open Sans"/>
        </w:rPr>
        <w:t xml:space="preserve">A inicio de 2025, </w:t>
      </w:r>
      <w:r>
        <w:rPr>
          <w:rFonts w:ascii="Open Sans" w:eastAsia="Open Sans" w:hAnsi="Open Sans" w:cs="Open Sans"/>
          <w:b/>
        </w:rPr>
        <w:t>Baleares es la comunidad que más aumenta su precio acumulado desde 2005</w:t>
      </w:r>
      <w:r>
        <w:rPr>
          <w:rFonts w:ascii="Open Sans" w:eastAsia="Open Sans" w:hAnsi="Open Sans" w:cs="Open Sans"/>
        </w:rPr>
        <w:t>, con un incremento del 124,1%, seguida de Canarias (59,4%), Madrid (23,1%), Comunitat Valenciana (15,5%), Galicia (11,3%), Navarra (5,7%) y Andalucía (4,9%).</w:t>
      </w:r>
    </w:p>
    <w:p w14:paraId="648C6B5F" w14:textId="77777777" w:rsidR="00677AE1" w:rsidRDefault="00677AE1">
      <w:pPr>
        <w:tabs>
          <w:tab w:val="left" w:pos="0"/>
        </w:tabs>
        <w:spacing w:line="276" w:lineRule="auto"/>
        <w:jc w:val="both"/>
        <w:rPr>
          <w:rFonts w:ascii="Open Sans" w:eastAsia="Open Sans" w:hAnsi="Open Sans" w:cs="Open Sans"/>
        </w:rPr>
      </w:pPr>
    </w:p>
    <w:p w14:paraId="6FAD1EBD" w14:textId="0939E483" w:rsidR="00677AE1" w:rsidRDefault="00000000">
      <w:pPr>
        <w:tabs>
          <w:tab w:val="left" w:pos="0"/>
        </w:tabs>
        <w:spacing w:line="276" w:lineRule="auto"/>
        <w:jc w:val="both"/>
        <w:rPr>
          <w:rFonts w:ascii="Open Sans" w:eastAsia="Open Sans" w:hAnsi="Open Sans" w:cs="Open Sans"/>
        </w:rPr>
      </w:pPr>
      <w:r>
        <w:rPr>
          <w:rFonts w:ascii="Open Sans" w:eastAsia="Open Sans" w:hAnsi="Open Sans" w:cs="Open Sans"/>
        </w:rPr>
        <w:t>En el lado opuesto, La Rioja (-29,7%), Castilla-La Mancha (-28,5%), Región de Murcia (-22,7%), País Vasco (-16,1%), Extremadura (-14%), Asturias (-14,6%), Aragón (-31,4%), Castilla y León (-11,8%), Cataluña (-0,7%) y Cantabria (-4,5%)</w:t>
      </w:r>
      <w:r w:rsidR="009E39D9">
        <w:rPr>
          <w:rFonts w:ascii="Open Sans" w:eastAsia="Open Sans" w:hAnsi="Open Sans" w:cs="Open Sans"/>
        </w:rPr>
        <w:t xml:space="preserve"> </w:t>
      </w:r>
      <w:r>
        <w:rPr>
          <w:rFonts w:ascii="Open Sans" w:eastAsia="Open Sans" w:hAnsi="Open Sans" w:cs="Open Sans"/>
        </w:rPr>
        <w:t>son las comunidades que han experimentado las mayores caídas acumuladas en el precio de la vivienda en estos últimos 20 años.</w:t>
      </w:r>
    </w:p>
    <w:p w14:paraId="5F812993" w14:textId="793E099E" w:rsidR="00677AE1" w:rsidRDefault="00000000">
      <w:pPr>
        <w:shd w:val="clear" w:color="auto" w:fill="FFFFFF"/>
        <w:spacing w:before="280" w:after="280" w:line="276" w:lineRule="auto"/>
        <w:ind w:right="283"/>
        <w:rPr>
          <w:rFonts w:ascii="Open Sans Light" w:eastAsia="Open Sans Light" w:hAnsi="Open Sans Light" w:cs="Open Sans Light"/>
          <w:b/>
          <w:color w:val="303AB2"/>
        </w:rPr>
      </w:pPr>
      <w:r>
        <w:rPr>
          <w:rFonts w:ascii="Open Sans Light" w:eastAsia="Open Sans Light" w:hAnsi="Open Sans Light" w:cs="Open Sans Light"/>
          <w:b/>
          <w:color w:val="303AB2"/>
        </w:rPr>
        <w:t>Tabla 1: CCAA con precio y variaciones (ene.05– ene.25)</w:t>
      </w:r>
    </w:p>
    <w:tbl>
      <w:tblPr>
        <w:tblStyle w:val="a"/>
        <w:tblW w:w="906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05"/>
        <w:gridCol w:w="1559"/>
        <w:gridCol w:w="1560"/>
        <w:gridCol w:w="1559"/>
        <w:gridCol w:w="1977"/>
      </w:tblGrid>
      <w:tr w:rsidR="00677AE1" w14:paraId="7FF41363" w14:textId="77777777" w:rsidTr="00677AE1">
        <w:trPr>
          <w:cnfStyle w:val="100000000000" w:firstRow="1" w:lastRow="0" w:firstColumn="0" w:lastColumn="0" w:oddVBand="0" w:evenVBand="0" w:oddHBand="0"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2405" w:type="dxa"/>
            <w:shd w:val="clear" w:color="auto" w:fill="0070C0"/>
            <w:vAlign w:val="center"/>
          </w:tcPr>
          <w:p w14:paraId="7924E269" w14:textId="77777777" w:rsidR="00677AE1" w:rsidRDefault="00000000">
            <w:pPr>
              <w:spacing w:line="276" w:lineRule="auto"/>
              <w:ind w:right="283"/>
              <w:rPr>
                <w:rFonts w:ascii="Open Sans" w:eastAsia="Open Sans" w:hAnsi="Open Sans" w:cs="Open Sans"/>
                <w:sz w:val="20"/>
                <w:szCs w:val="20"/>
              </w:rPr>
            </w:pPr>
            <w:r>
              <w:rPr>
                <w:rFonts w:ascii="Open Sans" w:eastAsia="Open Sans" w:hAnsi="Open Sans" w:cs="Open Sans"/>
                <w:b w:val="0"/>
                <w:sz w:val="20"/>
                <w:szCs w:val="20"/>
              </w:rPr>
              <w:t>Comu</w:t>
            </w:r>
            <w:r>
              <w:rPr>
                <w:rFonts w:ascii="Open Sans" w:eastAsia="Open Sans" w:hAnsi="Open Sans" w:cs="Open Sans"/>
                <w:b w:val="0"/>
                <w:sz w:val="20"/>
                <w:szCs w:val="20"/>
                <w:shd w:val="clear" w:color="auto" w:fill="0070C0"/>
              </w:rPr>
              <w:t xml:space="preserve">nidad </w:t>
            </w:r>
            <w:r>
              <w:rPr>
                <w:rFonts w:ascii="Open Sans" w:eastAsia="Open Sans" w:hAnsi="Open Sans" w:cs="Open Sans"/>
                <w:b w:val="0"/>
                <w:sz w:val="20"/>
                <w:szCs w:val="20"/>
              </w:rPr>
              <w:t>Autónoma</w:t>
            </w:r>
          </w:p>
        </w:tc>
        <w:tc>
          <w:tcPr>
            <w:tcW w:w="1559" w:type="dxa"/>
            <w:shd w:val="clear" w:color="auto" w:fill="0070C0"/>
            <w:vAlign w:val="center"/>
          </w:tcPr>
          <w:p w14:paraId="170ED992" w14:textId="77777777" w:rsidR="00677AE1"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Enero 2005</w:t>
            </w:r>
          </w:p>
          <w:p w14:paraId="2FBD8098" w14:textId="77777777" w:rsidR="00677AE1"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(€/m²)</w:t>
            </w:r>
          </w:p>
        </w:tc>
        <w:tc>
          <w:tcPr>
            <w:tcW w:w="1560" w:type="dxa"/>
            <w:shd w:val="clear" w:color="auto" w:fill="0070C0"/>
            <w:vAlign w:val="center"/>
          </w:tcPr>
          <w:p w14:paraId="13FB16CC" w14:textId="77777777" w:rsidR="00677AE1"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Enero 2025</w:t>
            </w:r>
          </w:p>
          <w:p w14:paraId="22A63FD7" w14:textId="77777777" w:rsidR="00677AE1"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(€/m²)</w:t>
            </w:r>
          </w:p>
        </w:tc>
        <w:tc>
          <w:tcPr>
            <w:tcW w:w="1559" w:type="dxa"/>
            <w:shd w:val="clear" w:color="auto" w:fill="0070C0"/>
          </w:tcPr>
          <w:p w14:paraId="5EEBE9A1" w14:textId="77777777" w:rsidR="00677AE1"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 variación 20 años</w:t>
            </w:r>
          </w:p>
        </w:tc>
        <w:tc>
          <w:tcPr>
            <w:tcW w:w="1977" w:type="dxa"/>
            <w:shd w:val="clear" w:color="auto" w:fill="0070C0"/>
          </w:tcPr>
          <w:p w14:paraId="1B6EAD1E" w14:textId="77777777" w:rsidR="00677AE1"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 variación interanual ene.2025</w:t>
            </w:r>
          </w:p>
        </w:tc>
      </w:tr>
      <w:tr w:rsidR="00677AE1" w14:paraId="55134C84" w14:textId="77777777" w:rsidTr="00677AE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405" w:type="dxa"/>
            <w:shd w:val="clear" w:color="auto" w:fill="0070C0"/>
            <w:vAlign w:val="bottom"/>
          </w:tcPr>
          <w:p w14:paraId="5198C5B5" w14:textId="77777777" w:rsidR="00677AE1" w:rsidRDefault="00000000">
            <w:pPr>
              <w:spacing w:line="276" w:lineRule="auto"/>
              <w:ind w:right="283"/>
              <w:rPr>
                <w:rFonts w:ascii="Open Sans" w:eastAsia="Open Sans" w:hAnsi="Open Sans" w:cs="Open Sans"/>
                <w:sz w:val="20"/>
                <w:szCs w:val="20"/>
              </w:rPr>
            </w:pPr>
            <w:r>
              <w:rPr>
                <w:rFonts w:ascii="Open Sans" w:eastAsia="Open Sans" w:hAnsi="Open Sans" w:cs="Open Sans"/>
                <w:b w:val="0"/>
                <w:sz w:val="20"/>
                <w:szCs w:val="20"/>
              </w:rPr>
              <w:t xml:space="preserve"> Andalucía </w:t>
            </w:r>
          </w:p>
        </w:tc>
        <w:tc>
          <w:tcPr>
            <w:tcW w:w="1559" w:type="dxa"/>
            <w:shd w:val="clear" w:color="auto" w:fill="A5C9EB"/>
            <w:vAlign w:val="bottom"/>
          </w:tcPr>
          <w:p w14:paraId="6CE59D9F"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2.125 €</w:t>
            </w:r>
          </w:p>
        </w:tc>
        <w:tc>
          <w:tcPr>
            <w:tcW w:w="1560" w:type="dxa"/>
            <w:shd w:val="clear" w:color="auto" w:fill="A5C9EB"/>
            <w:vAlign w:val="bottom"/>
          </w:tcPr>
          <w:p w14:paraId="3FDCDA0B"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2.229 €</w:t>
            </w:r>
          </w:p>
        </w:tc>
        <w:tc>
          <w:tcPr>
            <w:tcW w:w="1559" w:type="dxa"/>
            <w:shd w:val="clear" w:color="auto" w:fill="A5C9EB"/>
            <w:vAlign w:val="bottom"/>
          </w:tcPr>
          <w:p w14:paraId="16A5A673"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4,9%</w:t>
            </w:r>
          </w:p>
        </w:tc>
        <w:tc>
          <w:tcPr>
            <w:tcW w:w="1977" w:type="dxa"/>
            <w:shd w:val="clear" w:color="auto" w:fill="A5C9EB"/>
            <w:vAlign w:val="bottom"/>
          </w:tcPr>
          <w:p w14:paraId="6BEF4412"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sz w:val="20"/>
                <w:szCs w:val="20"/>
              </w:rPr>
              <w:t>10,9%</w:t>
            </w:r>
          </w:p>
        </w:tc>
      </w:tr>
      <w:tr w:rsidR="00677AE1" w14:paraId="08EFFDA7" w14:textId="77777777" w:rsidTr="00677AE1">
        <w:trPr>
          <w:trHeight w:val="273"/>
        </w:trPr>
        <w:tc>
          <w:tcPr>
            <w:cnfStyle w:val="001000000000" w:firstRow="0" w:lastRow="0" w:firstColumn="1" w:lastColumn="0" w:oddVBand="0" w:evenVBand="0" w:oddHBand="0" w:evenHBand="0" w:firstRowFirstColumn="0" w:firstRowLastColumn="0" w:lastRowFirstColumn="0" w:lastRowLastColumn="0"/>
            <w:tcW w:w="2405" w:type="dxa"/>
            <w:shd w:val="clear" w:color="auto" w:fill="0070C0"/>
            <w:vAlign w:val="bottom"/>
          </w:tcPr>
          <w:p w14:paraId="606B4608" w14:textId="77777777" w:rsidR="00677AE1" w:rsidRDefault="00000000">
            <w:pPr>
              <w:spacing w:line="276" w:lineRule="auto"/>
              <w:ind w:right="283"/>
              <w:rPr>
                <w:rFonts w:ascii="Open Sans" w:eastAsia="Open Sans" w:hAnsi="Open Sans" w:cs="Open Sans"/>
                <w:sz w:val="20"/>
                <w:szCs w:val="20"/>
              </w:rPr>
            </w:pPr>
            <w:r>
              <w:rPr>
                <w:rFonts w:ascii="Open Sans" w:eastAsia="Open Sans" w:hAnsi="Open Sans" w:cs="Open Sans"/>
                <w:b w:val="0"/>
                <w:sz w:val="20"/>
                <w:szCs w:val="20"/>
              </w:rPr>
              <w:t xml:space="preserve"> Aragón </w:t>
            </w:r>
          </w:p>
        </w:tc>
        <w:tc>
          <w:tcPr>
            <w:tcW w:w="1559" w:type="dxa"/>
            <w:shd w:val="clear" w:color="auto" w:fill="DAE9F7"/>
            <w:vAlign w:val="bottom"/>
          </w:tcPr>
          <w:p w14:paraId="0E6A9832"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2.544 €</w:t>
            </w:r>
          </w:p>
        </w:tc>
        <w:tc>
          <w:tcPr>
            <w:tcW w:w="1560" w:type="dxa"/>
            <w:shd w:val="clear" w:color="auto" w:fill="DAE9F7"/>
            <w:vAlign w:val="bottom"/>
          </w:tcPr>
          <w:p w14:paraId="2A5D703C"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1.746 €</w:t>
            </w:r>
          </w:p>
        </w:tc>
        <w:tc>
          <w:tcPr>
            <w:tcW w:w="1559" w:type="dxa"/>
            <w:shd w:val="clear" w:color="auto" w:fill="DAE9F7"/>
            <w:vAlign w:val="bottom"/>
          </w:tcPr>
          <w:p w14:paraId="5DA77EDE"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-31,4%</w:t>
            </w:r>
          </w:p>
        </w:tc>
        <w:tc>
          <w:tcPr>
            <w:tcW w:w="1977" w:type="dxa"/>
            <w:shd w:val="clear" w:color="auto" w:fill="DAE9F7"/>
            <w:vAlign w:val="bottom"/>
          </w:tcPr>
          <w:p w14:paraId="7DBAF904"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-1,2%</w:t>
            </w:r>
          </w:p>
        </w:tc>
      </w:tr>
      <w:tr w:rsidR="00677AE1" w14:paraId="77A733FE" w14:textId="77777777" w:rsidTr="00677AE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405" w:type="dxa"/>
            <w:shd w:val="clear" w:color="auto" w:fill="0070C0"/>
            <w:vAlign w:val="bottom"/>
          </w:tcPr>
          <w:p w14:paraId="79E2920F" w14:textId="77777777" w:rsidR="00677AE1" w:rsidRDefault="00000000">
            <w:pPr>
              <w:spacing w:line="276" w:lineRule="auto"/>
              <w:ind w:right="283"/>
              <w:rPr>
                <w:rFonts w:ascii="Open Sans" w:eastAsia="Open Sans" w:hAnsi="Open Sans" w:cs="Open Sans"/>
                <w:sz w:val="20"/>
                <w:szCs w:val="20"/>
              </w:rPr>
            </w:pPr>
            <w:r>
              <w:rPr>
                <w:rFonts w:ascii="Open Sans" w:eastAsia="Open Sans" w:hAnsi="Open Sans" w:cs="Open Sans"/>
                <w:b w:val="0"/>
                <w:sz w:val="20"/>
                <w:szCs w:val="20"/>
              </w:rPr>
              <w:t xml:space="preserve"> Asturias </w:t>
            </w:r>
          </w:p>
        </w:tc>
        <w:tc>
          <w:tcPr>
            <w:tcW w:w="1559" w:type="dxa"/>
            <w:shd w:val="clear" w:color="auto" w:fill="A5C9EB"/>
            <w:vAlign w:val="bottom"/>
          </w:tcPr>
          <w:p w14:paraId="040A319B"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2.121 €</w:t>
            </w:r>
          </w:p>
        </w:tc>
        <w:tc>
          <w:tcPr>
            <w:tcW w:w="1560" w:type="dxa"/>
            <w:shd w:val="clear" w:color="auto" w:fill="A5C9EB"/>
            <w:vAlign w:val="bottom"/>
          </w:tcPr>
          <w:p w14:paraId="161DA702"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1.811 €</w:t>
            </w:r>
          </w:p>
        </w:tc>
        <w:tc>
          <w:tcPr>
            <w:tcW w:w="1559" w:type="dxa"/>
            <w:shd w:val="clear" w:color="auto" w:fill="A5C9EB"/>
            <w:vAlign w:val="bottom"/>
          </w:tcPr>
          <w:p w14:paraId="0A9CA4D6"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-14,6%</w:t>
            </w:r>
          </w:p>
        </w:tc>
        <w:tc>
          <w:tcPr>
            <w:tcW w:w="1977" w:type="dxa"/>
            <w:shd w:val="clear" w:color="auto" w:fill="A5C9EB"/>
            <w:vAlign w:val="bottom"/>
          </w:tcPr>
          <w:p w14:paraId="366C668E"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9,3%</w:t>
            </w:r>
          </w:p>
        </w:tc>
      </w:tr>
      <w:tr w:rsidR="00677AE1" w14:paraId="0E0AC1DB" w14:textId="77777777" w:rsidTr="00677AE1">
        <w:trPr>
          <w:trHeight w:val="273"/>
        </w:trPr>
        <w:tc>
          <w:tcPr>
            <w:cnfStyle w:val="001000000000" w:firstRow="0" w:lastRow="0" w:firstColumn="1" w:lastColumn="0" w:oddVBand="0" w:evenVBand="0" w:oddHBand="0" w:evenHBand="0" w:firstRowFirstColumn="0" w:firstRowLastColumn="0" w:lastRowFirstColumn="0" w:lastRowLastColumn="0"/>
            <w:tcW w:w="2405" w:type="dxa"/>
            <w:shd w:val="clear" w:color="auto" w:fill="0070C0"/>
            <w:vAlign w:val="bottom"/>
          </w:tcPr>
          <w:p w14:paraId="64829261" w14:textId="77777777" w:rsidR="00677AE1" w:rsidRDefault="00000000">
            <w:pPr>
              <w:spacing w:line="276" w:lineRule="auto"/>
              <w:ind w:right="283"/>
              <w:rPr>
                <w:rFonts w:ascii="Open Sans" w:eastAsia="Open Sans" w:hAnsi="Open Sans" w:cs="Open Sans"/>
                <w:sz w:val="20"/>
                <w:szCs w:val="20"/>
              </w:rPr>
            </w:pPr>
            <w:r>
              <w:rPr>
                <w:rFonts w:ascii="Open Sans" w:eastAsia="Open Sans" w:hAnsi="Open Sans" w:cs="Open Sans"/>
                <w:b w:val="0"/>
                <w:sz w:val="20"/>
                <w:szCs w:val="20"/>
              </w:rPr>
              <w:t xml:space="preserve"> Baleares </w:t>
            </w:r>
          </w:p>
        </w:tc>
        <w:tc>
          <w:tcPr>
            <w:tcW w:w="1559" w:type="dxa"/>
            <w:shd w:val="clear" w:color="auto" w:fill="DAE9F7"/>
            <w:vAlign w:val="bottom"/>
          </w:tcPr>
          <w:p w14:paraId="00367DDE"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2.064 €</w:t>
            </w:r>
          </w:p>
        </w:tc>
        <w:tc>
          <w:tcPr>
            <w:tcW w:w="1560" w:type="dxa"/>
            <w:shd w:val="clear" w:color="auto" w:fill="DAE9F7"/>
            <w:vAlign w:val="bottom"/>
          </w:tcPr>
          <w:p w14:paraId="45874CF8"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4.626 €</w:t>
            </w:r>
          </w:p>
        </w:tc>
        <w:tc>
          <w:tcPr>
            <w:tcW w:w="1559" w:type="dxa"/>
            <w:shd w:val="clear" w:color="auto" w:fill="DAE9F7"/>
            <w:vAlign w:val="bottom"/>
          </w:tcPr>
          <w:p w14:paraId="72A09D16"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124,1%</w:t>
            </w:r>
          </w:p>
        </w:tc>
        <w:tc>
          <w:tcPr>
            <w:tcW w:w="1977" w:type="dxa"/>
            <w:shd w:val="clear" w:color="auto" w:fill="DAE9F7"/>
            <w:vAlign w:val="bottom"/>
          </w:tcPr>
          <w:p w14:paraId="16B738CD"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19,4%</w:t>
            </w:r>
          </w:p>
        </w:tc>
      </w:tr>
      <w:tr w:rsidR="00677AE1" w14:paraId="450F96CD" w14:textId="77777777" w:rsidTr="00677AE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405" w:type="dxa"/>
            <w:shd w:val="clear" w:color="auto" w:fill="0070C0"/>
            <w:vAlign w:val="bottom"/>
          </w:tcPr>
          <w:p w14:paraId="4DBB9692" w14:textId="77777777" w:rsidR="00677AE1" w:rsidRDefault="00000000">
            <w:pPr>
              <w:spacing w:line="276" w:lineRule="auto"/>
              <w:ind w:right="283"/>
              <w:rPr>
                <w:rFonts w:ascii="Open Sans" w:eastAsia="Open Sans" w:hAnsi="Open Sans" w:cs="Open Sans"/>
                <w:sz w:val="20"/>
                <w:szCs w:val="20"/>
              </w:rPr>
            </w:pPr>
            <w:r>
              <w:rPr>
                <w:rFonts w:ascii="Open Sans" w:eastAsia="Open Sans" w:hAnsi="Open Sans" w:cs="Open Sans"/>
                <w:b w:val="0"/>
                <w:sz w:val="20"/>
                <w:szCs w:val="20"/>
              </w:rPr>
              <w:t xml:space="preserve"> Canarias </w:t>
            </w:r>
          </w:p>
        </w:tc>
        <w:tc>
          <w:tcPr>
            <w:tcW w:w="1559" w:type="dxa"/>
            <w:shd w:val="clear" w:color="auto" w:fill="A5C9EB"/>
            <w:vAlign w:val="bottom"/>
          </w:tcPr>
          <w:p w14:paraId="308C38BB"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1.758 €</w:t>
            </w:r>
          </w:p>
        </w:tc>
        <w:tc>
          <w:tcPr>
            <w:tcW w:w="1560" w:type="dxa"/>
            <w:shd w:val="clear" w:color="auto" w:fill="A5C9EB"/>
            <w:vAlign w:val="bottom"/>
          </w:tcPr>
          <w:p w14:paraId="0E6921AC"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2.802 €</w:t>
            </w:r>
          </w:p>
        </w:tc>
        <w:tc>
          <w:tcPr>
            <w:tcW w:w="1559" w:type="dxa"/>
            <w:shd w:val="clear" w:color="auto" w:fill="A5C9EB"/>
            <w:vAlign w:val="bottom"/>
          </w:tcPr>
          <w:p w14:paraId="723D7EC0"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59,4%</w:t>
            </w:r>
          </w:p>
        </w:tc>
        <w:tc>
          <w:tcPr>
            <w:tcW w:w="1977" w:type="dxa"/>
            <w:shd w:val="clear" w:color="auto" w:fill="A5C9EB"/>
            <w:vAlign w:val="bottom"/>
          </w:tcPr>
          <w:p w14:paraId="3C347F97"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14,4%</w:t>
            </w:r>
          </w:p>
        </w:tc>
      </w:tr>
      <w:tr w:rsidR="00677AE1" w14:paraId="62EFFCDA" w14:textId="77777777" w:rsidTr="00677AE1">
        <w:trPr>
          <w:trHeight w:val="273"/>
        </w:trPr>
        <w:tc>
          <w:tcPr>
            <w:cnfStyle w:val="001000000000" w:firstRow="0" w:lastRow="0" w:firstColumn="1" w:lastColumn="0" w:oddVBand="0" w:evenVBand="0" w:oddHBand="0" w:evenHBand="0" w:firstRowFirstColumn="0" w:firstRowLastColumn="0" w:lastRowFirstColumn="0" w:lastRowLastColumn="0"/>
            <w:tcW w:w="2405" w:type="dxa"/>
            <w:shd w:val="clear" w:color="auto" w:fill="0070C0"/>
            <w:vAlign w:val="bottom"/>
          </w:tcPr>
          <w:p w14:paraId="0219133D" w14:textId="77777777" w:rsidR="00677AE1" w:rsidRDefault="00000000">
            <w:pPr>
              <w:spacing w:line="276" w:lineRule="auto"/>
              <w:ind w:right="283"/>
              <w:rPr>
                <w:rFonts w:ascii="Open Sans" w:eastAsia="Open Sans" w:hAnsi="Open Sans" w:cs="Open Sans"/>
                <w:sz w:val="20"/>
                <w:szCs w:val="20"/>
              </w:rPr>
            </w:pPr>
            <w:r>
              <w:rPr>
                <w:rFonts w:ascii="Open Sans" w:eastAsia="Open Sans" w:hAnsi="Open Sans" w:cs="Open Sans"/>
                <w:b w:val="0"/>
                <w:sz w:val="20"/>
                <w:szCs w:val="20"/>
              </w:rPr>
              <w:t xml:space="preserve"> Cantabria </w:t>
            </w:r>
          </w:p>
        </w:tc>
        <w:tc>
          <w:tcPr>
            <w:tcW w:w="1559" w:type="dxa"/>
            <w:shd w:val="clear" w:color="auto" w:fill="DAE9F7"/>
            <w:vAlign w:val="bottom"/>
          </w:tcPr>
          <w:p w14:paraId="1703B9B2"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2.216 €</w:t>
            </w:r>
          </w:p>
        </w:tc>
        <w:tc>
          <w:tcPr>
            <w:tcW w:w="1560" w:type="dxa"/>
            <w:shd w:val="clear" w:color="auto" w:fill="DAE9F7"/>
            <w:vAlign w:val="bottom"/>
          </w:tcPr>
          <w:p w14:paraId="04F78D6E"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2.116 €</w:t>
            </w:r>
          </w:p>
        </w:tc>
        <w:tc>
          <w:tcPr>
            <w:tcW w:w="1559" w:type="dxa"/>
            <w:shd w:val="clear" w:color="auto" w:fill="DAE9F7"/>
            <w:vAlign w:val="bottom"/>
          </w:tcPr>
          <w:p w14:paraId="27F95C13"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-4,5%</w:t>
            </w:r>
          </w:p>
        </w:tc>
        <w:tc>
          <w:tcPr>
            <w:tcW w:w="1977" w:type="dxa"/>
            <w:shd w:val="clear" w:color="auto" w:fill="DAE9F7"/>
            <w:vAlign w:val="bottom"/>
          </w:tcPr>
          <w:p w14:paraId="244E17B3"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9,5%</w:t>
            </w:r>
          </w:p>
        </w:tc>
      </w:tr>
      <w:tr w:rsidR="00677AE1" w14:paraId="2D13D639" w14:textId="77777777" w:rsidTr="00677AE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405" w:type="dxa"/>
            <w:shd w:val="clear" w:color="auto" w:fill="0070C0"/>
            <w:vAlign w:val="bottom"/>
          </w:tcPr>
          <w:p w14:paraId="2BC41455" w14:textId="77777777" w:rsidR="00677AE1" w:rsidRDefault="00000000">
            <w:pPr>
              <w:spacing w:line="276" w:lineRule="auto"/>
              <w:ind w:right="283"/>
              <w:rPr>
                <w:rFonts w:ascii="Open Sans" w:eastAsia="Open Sans" w:hAnsi="Open Sans" w:cs="Open Sans"/>
                <w:sz w:val="20"/>
                <w:szCs w:val="20"/>
              </w:rPr>
            </w:pPr>
            <w:r>
              <w:rPr>
                <w:rFonts w:ascii="Open Sans" w:eastAsia="Open Sans" w:hAnsi="Open Sans" w:cs="Open Sans"/>
                <w:b w:val="0"/>
                <w:sz w:val="20"/>
                <w:szCs w:val="20"/>
              </w:rPr>
              <w:t xml:space="preserve"> Castilla y León </w:t>
            </w:r>
          </w:p>
        </w:tc>
        <w:tc>
          <w:tcPr>
            <w:tcW w:w="1559" w:type="dxa"/>
            <w:shd w:val="clear" w:color="auto" w:fill="A5C9EB"/>
            <w:vAlign w:val="bottom"/>
          </w:tcPr>
          <w:p w14:paraId="1C4CD241"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1.751 €</w:t>
            </w:r>
          </w:p>
        </w:tc>
        <w:tc>
          <w:tcPr>
            <w:tcW w:w="1560" w:type="dxa"/>
            <w:shd w:val="clear" w:color="auto" w:fill="A5C9EB"/>
            <w:vAlign w:val="bottom"/>
          </w:tcPr>
          <w:p w14:paraId="4A2AC521"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1.544 €</w:t>
            </w:r>
          </w:p>
        </w:tc>
        <w:tc>
          <w:tcPr>
            <w:tcW w:w="1559" w:type="dxa"/>
            <w:shd w:val="clear" w:color="auto" w:fill="A5C9EB"/>
            <w:vAlign w:val="bottom"/>
          </w:tcPr>
          <w:p w14:paraId="65D961B2"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-11,8%</w:t>
            </w:r>
          </w:p>
        </w:tc>
        <w:tc>
          <w:tcPr>
            <w:tcW w:w="1977" w:type="dxa"/>
            <w:shd w:val="clear" w:color="auto" w:fill="A5C9EB"/>
            <w:vAlign w:val="bottom"/>
          </w:tcPr>
          <w:p w14:paraId="5F85DA48"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4,3%</w:t>
            </w:r>
          </w:p>
        </w:tc>
      </w:tr>
      <w:tr w:rsidR="00677AE1" w14:paraId="035B5E9E" w14:textId="77777777" w:rsidTr="00677AE1">
        <w:trPr>
          <w:trHeight w:val="273"/>
        </w:trPr>
        <w:tc>
          <w:tcPr>
            <w:cnfStyle w:val="001000000000" w:firstRow="0" w:lastRow="0" w:firstColumn="1" w:lastColumn="0" w:oddVBand="0" w:evenVBand="0" w:oddHBand="0" w:evenHBand="0" w:firstRowFirstColumn="0" w:firstRowLastColumn="0" w:lastRowFirstColumn="0" w:lastRowLastColumn="0"/>
            <w:tcW w:w="2405" w:type="dxa"/>
            <w:shd w:val="clear" w:color="auto" w:fill="0070C0"/>
            <w:vAlign w:val="bottom"/>
          </w:tcPr>
          <w:p w14:paraId="6D0E08EB" w14:textId="77777777" w:rsidR="00677AE1" w:rsidRDefault="00000000">
            <w:pPr>
              <w:spacing w:line="276" w:lineRule="auto"/>
              <w:ind w:right="283"/>
              <w:rPr>
                <w:rFonts w:ascii="Open Sans" w:eastAsia="Open Sans" w:hAnsi="Open Sans" w:cs="Open Sans"/>
                <w:sz w:val="20"/>
                <w:szCs w:val="20"/>
              </w:rPr>
            </w:pPr>
            <w:r>
              <w:rPr>
                <w:rFonts w:ascii="Open Sans" w:eastAsia="Open Sans" w:hAnsi="Open Sans" w:cs="Open Sans"/>
                <w:b w:val="0"/>
                <w:sz w:val="20"/>
                <w:szCs w:val="20"/>
              </w:rPr>
              <w:t xml:space="preserve"> Castilla-La Mancha </w:t>
            </w:r>
          </w:p>
        </w:tc>
        <w:tc>
          <w:tcPr>
            <w:tcW w:w="1559" w:type="dxa"/>
            <w:shd w:val="clear" w:color="auto" w:fill="DAE9F7"/>
            <w:vAlign w:val="bottom"/>
          </w:tcPr>
          <w:p w14:paraId="4E7912C3"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1.698 €</w:t>
            </w:r>
          </w:p>
        </w:tc>
        <w:tc>
          <w:tcPr>
            <w:tcW w:w="1560" w:type="dxa"/>
            <w:shd w:val="clear" w:color="auto" w:fill="DAE9F7"/>
            <w:vAlign w:val="bottom"/>
          </w:tcPr>
          <w:p w14:paraId="15D19231"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1.214 €</w:t>
            </w:r>
          </w:p>
        </w:tc>
        <w:tc>
          <w:tcPr>
            <w:tcW w:w="1559" w:type="dxa"/>
            <w:shd w:val="clear" w:color="auto" w:fill="DAE9F7"/>
            <w:vAlign w:val="bottom"/>
          </w:tcPr>
          <w:p w14:paraId="23E222FE"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-28,5%</w:t>
            </w:r>
          </w:p>
        </w:tc>
        <w:tc>
          <w:tcPr>
            <w:tcW w:w="1977" w:type="dxa"/>
            <w:shd w:val="clear" w:color="auto" w:fill="DAE9F7"/>
            <w:vAlign w:val="bottom"/>
          </w:tcPr>
          <w:p w14:paraId="35651ECD"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1,0%</w:t>
            </w:r>
          </w:p>
        </w:tc>
      </w:tr>
      <w:tr w:rsidR="00677AE1" w14:paraId="2A455328" w14:textId="77777777" w:rsidTr="00677AE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405" w:type="dxa"/>
            <w:shd w:val="clear" w:color="auto" w:fill="0070C0"/>
            <w:vAlign w:val="bottom"/>
          </w:tcPr>
          <w:p w14:paraId="63497317" w14:textId="77777777" w:rsidR="00677AE1" w:rsidRDefault="00000000">
            <w:pPr>
              <w:spacing w:line="276" w:lineRule="auto"/>
              <w:ind w:right="283"/>
              <w:rPr>
                <w:rFonts w:ascii="Open Sans" w:eastAsia="Open Sans" w:hAnsi="Open Sans" w:cs="Open Sans"/>
                <w:sz w:val="20"/>
                <w:szCs w:val="20"/>
              </w:rPr>
            </w:pPr>
            <w:r>
              <w:rPr>
                <w:rFonts w:ascii="Open Sans" w:eastAsia="Open Sans" w:hAnsi="Open Sans" w:cs="Open Sans"/>
                <w:b w:val="0"/>
                <w:sz w:val="20"/>
                <w:szCs w:val="20"/>
              </w:rPr>
              <w:t xml:space="preserve"> Cataluña </w:t>
            </w:r>
          </w:p>
        </w:tc>
        <w:tc>
          <w:tcPr>
            <w:tcW w:w="1559" w:type="dxa"/>
            <w:shd w:val="clear" w:color="auto" w:fill="A5C9EB"/>
            <w:vAlign w:val="bottom"/>
          </w:tcPr>
          <w:p w14:paraId="13D13331"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2.899 €</w:t>
            </w:r>
          </w:p>
        </w:tc>
        <w:tc>
          <w:tcPr>
            <w:tcW w:w="1560" w:type="dxa"/>
            <w:shd w:val="clear" w:color="auto" w:fill="A5C9EB"/>
            <w:vAlign w:val="bottom"/>
          </w:tcPr>
          <w:p w14:paraId="5BA59F9D"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2.879 €</w:t>
            </w:r>
          </w:p>
        </w:tc>
        <w:tc>
          <w:tcPr>
            <w:tcW w:w="1559" w:type="dxa"/>
            <w:shd w:val="clear" w:color="auto" w:fill="A5C9EB"/>
            <w:vAlign w:val="bottom"/>
          </w:tcPr>
          <w:p w14:paraId="7BE92871"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-0,7%</w:t>
            </w:r>
          </w:p>
        </w:tc>
        <w:tc>
          <w:tcPr>
            <w:tcW w:w="1977" w:type="dxa"/>
            <w:shd w:val="clear" w:color="auto" w:fill="A5C9EB"/>
            <w:vAlign w:val="bottom"/>
          </w:tcPr>
          <w:p w14:paraId="3AC17229"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3,9%</w:t>
            </w:r>
          </w:p>
        </w:tc>
      </w:tr>
      <w:tr w:rsidR="00677AE1" w14:paraId="7406D61E" w14:textId="77777777" w:rsidTr="00677AE1">
        <w:trPr>
          <w:trHeight w:val="273"/>
        </w:trPr>
        <w:tc>
          <w:tcPr>
            <w:cnfStyle w:val="001000000000" w:firstRow="0" w:lastRow="0" w:firstColumn="1" w:lastColumn="0" w:oddVBand="0" w:evenVBand="0" w:oddHBand="0" w:evenHBand="0" w:firstRowFirstColumn="0" w:firstRowLastColumn="0" w:lastRowFirstColumn="0" w:lastRowLastColumn="0"/>
            <w:tcW w:w="2405" w:type="dxa"/>
            <w:shd w:val="clear" w:color="auto" w:fill="0070C0"/>
            <w:vAlign w:val="bottom"/>
          </w:tcPr>
          <w:p w14:paraId="4093EB37" w14:textId="77777777" w:rsidR="00677AE1" w:rsidRDefault="00000000">
            <w:pPr>
              <w:spacing w:line="276" w:lineRule="auto"/>
              <w:ind w:right="283"/>
              <w:rPr>
                <w:rFonts w:ascii="Open Sans" w:eastAsia="Open Sans" w:hAnsi="Open Sans" w:cs="Open Sans"/>
                <w:sz w:val="20"/>
                <w:szCs w:val="20"/>
              </w:rPr>
            </w:pPr>
            <w:r>
              <w:rPr>
                <w:rFonts w:ascii="Open Sans" w:eastAsia="Open Sans" w:hAnsi="Open Sans" w:cs="Open Sans"/>
                <w:b w:val="0"/>
                <w:sz w:val="20"/>
                <w:szCs w:val="20"/>
              </w:rPr>
              <w:t xml:space="preserve"> Comunitat Valenciana </w:t>
            </w:r>
          </w:p>
        </w:tc>
        <w:tc>
          <w:tcPr>
            <w:tcW w:w="1559" w:type="dxa"/>
            <w:shd w:val="clear" w:color="auto" w:fill="DAE9F7"/>
            <w:vAlign w:val="bottom"/>
          </w:tcPr>
          <w:p w14:paraId="05B373FA"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1.841 €</w:t>
            </w:r>
          </w:p>
        </w:tc>
        <w:tc>
          <w:tcPr>
            <w:tcW w:w="1560" w:type="dxa"/>
            <w:shd w:val="clear" w:color="auto" w:fill="DAE9F7"/>
            <w:vAlign w:val="center"/>
          </w:tcPr>
          <w:p w14:paraId="5074ECE0"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2.127 €</w:t>
            </w:r>
          </w:p>
        </w:tc>
        <w:tc>
          <w:tcPr>
            <w:tcW w:w="1559" w:type="dxa"/>
            <w:shd w:val="clear" w:color="auto" w:fill="DAE9F7"/>
            <w:vAlign w:val="bottom"/>
          </w:tcPr>
          <w:p w14:paraId="30B029EA"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15,5%</w:t>
            </w:r>
          </w:p>
        </w:tc>
        <w:tc>
          <w:tcPr>
            <w:tcW w:w="1977" w:type="dxa"/>
            <w:shd w:val="clear" w:color="auto" w:fill="DAE9F7"/>
            <w:vAlign w:val="bottom"/>
          </w:tcPr>
          <w:p w14:paraId="7144B5FE"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20,4%</w:t>
            </w:r>
          </w:p>
        </w:tc>
      </w:tr>
      <w:tr w:rsidR="00677AE1" w14:paraId="35204103" w14:textId="77777777" w:rsidTr="00677AE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405" w:type="dxa"/>
            <w:shd w:val="clear" w:color="auto" w:fill="0070C0"/>
            <w:vAlign w:val="bottom"/>
          </w:tcPr>
          <w:p w14:paraId="45513F0D" w14:textId="77777777" w:rsidR="00677AE1" w:rsidRDefault="00000000">
            <w:pPr>
              <w:spacing w:line="276" w:lineRule="auto"/>
              <w:ind w:right="283"/>
              <w:rPr>
                <w:rFonts w:ascii="Open Sans" w:eastAsia="Open Sans" w:hAnsi="Open Sans" w:cs="Open Sans"/>
                <w:sz w:val="20"/>
                <w:szCs w:val="20"/>
              </w:rPr>
            </w:pPr>
            <w:r>
              <w:rPr>
                <w:rFonts w:ascii="Open Sans" w:eastAsia="Open Sans" w:hAnsi="Open Sans" w:cs="Open Sans"/>
                <w:b w:val="0"/>
                <w:sz w:val="20"/>
                <w:szCs w:val="20"/>
              </w:rPr>
              <w:t xml:space="preserve"> Extremadura </w:t>
            </w:r>
          </w:p>
        </w:tc>
        <w:tc>
          <w:tcPr>
            <w:tcW w:w="1559" w:type="dxa"/>
            <w:shd w:val="clear" w:color="auto" w:fill="A5C9EB"/>
            <w:vAlign w:val="bottom"/>
          </w:tcPr>
          <w:p w14:paraId="58EC9CD4"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1.429 €</w:t>
            </w:r>
          </w:p>
        </w:tc>
        <w:tc>
          <w:tcPr>
            <w:tcW w:w="1560" w:type="dxa"/>
            <w:shd w:val="clear" w:color="auto" w:fill="A5C9EB"/>
            <w:vAlign w:val="bottom"/>
          </w:tcPr>
          <w:p w14:paraId="08495952"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1.229 €</w:t>
            </w:r>
          </w:p>
        </w:tc>
        <w:tc>
          <w:tcPr>
            <w:tcW w:w="1559" w:type="dxa"/>
            <w:shd w:val="clear" w:color="auto" w:fill="A5C9EB"/>
            <w:vAlign w:val="bottom"/>
          </w:tcPr>
          <w:p w14:paraId="00F44C46"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-14,0%</w:t>
            </w:r>
          </w:p>
        </w:tc>
        <w:tc>
          <w:tcPr>
            <w:tcW w:w="1977" w:type="dxa"/>
            <w:shd w:val="clear" w:color="auto" w:fill="A5C9EB"/>
            <w:vAlign w:val="bottom"/>
          </w:tcPr>
          <w:p w14:paraId="371ED6B9"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2,9%</w:t>
            </w:r>
          </w:p>
        </w:tc>
      </w:tr>
      <w:tr w:rsidR="00677AE1" w14:paraId="191C77F1" w14:textId="77777777" w:rsidTr="00677AE1">
        <w:trPr>
          <w:trHeight w:val="273"/>
        </w:trPr>
        <w:tc>
          <w:tcPr>
            <w:cnfStyle w:val="001000000000" w:firstRow="0" w:lastRow="0" w:firstColumn="1" w:lastColumn="0" w:oddVBand="0" w:evenVBand="0" w:oddHBand="0" w:evenHBand="0" w:firstRowFirstColumn="0" w:firstRowLastColumn="0" w:lastRowFirstColumn="0" w:lastRowLastColumn="0"/>
            <w:tcW w:w="2405" w:type="dxa"/>
            <w:shd w:val="clear" w:color="auto" w:fill="0070C0"/>
            <w:vAlign w:val="bottom"/>
          </w:tcPr>
          <w:p w14:paraId="316AF22C" w14:textId="77777777" w:rsidR="00677AE1" w:rsidRDefault="00000000">
            <w:pPr>
              <w:spacing w:line="276" w:lineRule="auto"/>
              <w:ind w:right="283"/>
              <w:rPr>
                <w:rFonts w:ascii="Open Sans" w:eastAsia="Open Sans" w:hAnsi="Open Sans" w:cs="Open Sans"/>
                <w:sz w:val="20"/>
                <w:szCs w:val="20"/>
              </w:rPr>
            </w:pPr>
            <w:r>
              <w:rPr>
                <w:rFonts w:ascii="Open Sans" w:eastAsia="Open Sans" w:hAnsi="Open Sans" w:cs="Open Sans"/>
                <w:b w:val="0"/>
                <w:sz w:val="20"/>
                <w:szCs w:val="20"/>
              </w:rPr>
              <w:t xml:space="preserve"> Galicia </w:t>
            </w:r>
          </w:p>
        </w:tc>
        <w:tc>
          <w:tcPr>
            <w:tcW w:w="1559" w:type="dxa"/>
            <w:shd w:val="clear" w:color="auto" w:fill="DAE9F7"/>
            <w:vAlign w:val="bottom"/>
          </w:tcPr>
          <w:p w14:paraId="6ED952E8"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1.700 €</w:t>
            </w:r>
          </w:p>
        </w:tc>
        <w:tc>
          <w:tcPr>
            <w:tcW w:w="1560" w:type="dxa"/>
            <w:shd w:val="clear" w:color="auto" w:fill="DAE9F7"/>
            <w:vAlign w:val="bottom"/>
          </w:tcPr>
          <w:p w14:paraId="224E6EB7"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1.893 €</w:t>
            </w:r>
          </w:p>
        </w:tc>
        <w:tc>
          <w:tcPr>
            <w:tcW w:w="1559" w:type="dxa"/>
            <w:shd w:val="clear" w:color="auto" w:fill="DAE9F7"/>
            <w:vAlign w:val="bottom"/>
          </w:tcPr>
          <w:p w14:paraId="35FA33A1"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11,3%</w:t>
            </w:r>
          </w:p>
        </w:tc>
        <w:tc>
          <w:tcPr>
            <w:tcW w:w="1977" w:type="dxa"/>
            <w:shd w:val="clear" w:color="auto" w:fill="DAE9F7"/>
            <w:vAlign w:val="bottom"/>
          </w:tcPr>
          <w:p w14:paraId="5A9B7676"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10,5%</w:t>
            </w:r>
          </w:p>
        </w:tc>
      </w:tr>
      <w:tr w:rsidR="00677AE1" w14:paraId="630613A6" w14:textId="77777777" w:rsidTr="00677AE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405" w:type="dxa"/>
            <w:shd w:val="clear" w:color="auto" w:fill="0070C0"/>
            <w:vAlign w:val="bottom"/>
          </w:tcPr>
          <w:p w14:paraId="743221AE" w14:textId="77777777" w:rsidR="00677AE1" w:rsidRDefault="00000000">
            <w:pPr>
              <w:spacing w:line="276" w:lineRule="auto"/>
              <w:ind w:right="283"/>
              <w:rPr>
                <w:rFonts w:ascii="Open Sans" w:eastAsia="Open Sans" w:hAnsi="Open Sans" w:cs="Open Sans"/>
                <w:sz w:val="20"/>
                <w:szCs w:val="20"/>
              </w:rPr>
            </w:pPr>
            <w:r>
              <w:rPr>
                <w:rFonts w:ascii="Open Sans" w:eastAsia="Open Sans" w:hAnsi="Open Sans" w:cs="Open Sans"/>
                <w:b w:val="0"/>
                <w:sz w:val="20"/>
                <w:szCs w:val="20"/>
              </w:rPr>
              <w:t xml:space="preserve"> La Rioja </w:t>
            </w:r>
          </w:p>
        </w:tc>
        <w:tc>
          <w:tcPr>
            <w:tcW w:w="1559" w:type="dxa"/>
            <w:shd w:val="clear" w:color="auto" w:fill="A5C9EB"/>
            <w:vAlign w:val="bottom"/>
          </w:tcPr>
          <w:p w14:paraId="4242F4D7"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2.386 €</w:t>
            </w:r>
          </w:p>
        </w:tc>
        <w:tc>
          <w:tcPr>
            <w:tcW w:w="1560" w:type="dxa"/>
            <w:shd w:val="clear" w:color="auto" w:fill="A5C9EB"/>
            <w:vAlign w:val="bottom"/>
          </w:tcPr>
          <w:p w14:paraId="1DB7B3D9"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1.677 €</w:t>
            </w:r>
          </w:p>
        </w:tc>
        <w:tc>
          <w:tcPr>
            <w:tcW w:w="1559" w:type="dxa"/>
            <w:shd w:val="clear" w:color="auto" w:fill="A5C9EB"/>
            <w:vAlign w:val="bottom"/>
          </w:tcPr>
          <w:p w14:paraId="2B7B5A35"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-29,7%</w:t>
            </w:r>
          </w:p>
        </w:tc>
        <w:tc>
          <w:tcPr>
            <w:tcW w:w="1977" w:type="dxa"/>
            <w:shd w:val="clear" w:color="auto" w:fill="A5C9EB"/>
            <w:vAlign w:val="bottom"/>
          </w:tcPr>
          <w:p w14:paraId="36407CF2"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9C0006"/>
                <w:sz w:val="20"/>
                <w:szCs w:val="20"/>
              </w:rPr>
              <w:t>-1,1%</w:t>
            </w:r>
          </w:p>
        </w:tc>
      </w:tr>
      <w:tr w:rsidR="00677AE1" w14:paraId="769488D3" w14:textId="77777777" w:rsidTr="00677AE1">
        <w:trPr>
          <w:trHeight w:val="273"/>
        </w:trPr>
        <w:tc>
          <w:tcPr>
            <w:cnfStyle w:val="001000000000" w:firstRow="0" w:lastRow="0" w:firstColumn="1" w:lastColumn="0" w:oddVBand="0" w:evenVBand="0" w:oddHBand="0" w:evenHBand="0" w:firstRowFirstColumn="0" w:firstRowLastColumn="0" w:lastRowFirstColumn="0" w:lastRowLastColumn="0"/>
            <w:tcW w:w="2405" w:type="dxa"/>
            <w:shd w:val="clear" w:color="auto" w:fill="0070C0"/>
            <w:vAlign w:val="bottom"/>
          </w:tcPr>
          <w:p w14:paraId="7B2CA8EF" w14:textId="77777777" w:rsidR="00677AE1" w:rsidRDefault="00000000">
            <w:pPr>
              <w:spacing w:line="276" w:lineRule="auto"/>
              <w:ind w:right="283"/>
              <w:rPr>
                <w:rFonts w:ascii="Open Sans" w:eastAsia="Open Sans" w:hAnsi="Open Sans" w:cs="Open Sans"/>
                <w:sz w:val="20"/>
                <w:szCs w:val="20"/>
              </w:rPr>
            </w:pPr>
            <w:r>
              <w:rPr>
                <w:rFonts w:ascii="Open Sans" w:eastAsia="Open Sans" w:hAnsi="Open Sans" w:cs="Open Sans"/>
                <w:b w:val="0"/>
                <w:sz w:val="20"/>
                <w:szCs w:val="20"/>
              </w:rPr>
              <w:lastRenderedPageBreak/>
              <w:t xml:space="preserve"> Madrid </w:t>
            </w:r>
          </w:p>
        </w:tc>
        <w:tc>
          <w:tcPr>
            <w:tcW w:w="1559" w:type="dxa"/>
            <w:shd w:val="clear" w:color="auto" w:fill="DAE9F7"/>
            <w:vAlign w:val="bottom"/>
          </w:tcPr>
          <w:p w14:paraId="7B59CCA9"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3.549 €</w:t>
            </w:r>
          </w:p>
        </w:tc>
        <w:tc>
          <w:tcPr>
            <w:tcW w:w="1560" w:type="dxa"/>
            <w:shd w:val="clear" w:color="auto" w:fill="DAE9F7"/>
            <w:vAlign w:val="bottom"/>
          </w:tcPr>
          <w:p w14:paraId="3F0D68B4"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4.369 €</w:t>
            </w:r>
          </w:p>
        </w:tc>
        <w:tc>
          <w:tcPr>
            <w:tcW w:w="1559" w:type="dxa"/>
            <w:shd w:val="clear" w:color="auto" w:fill="DAE9F7"/>
            <w:vAlign w:val="bottom"/>
          </w:tcPr>
          <w:p w14:paraId="00769E3B"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23,1%</w:t>
            </w:r>
          </w:p>
        </w:tc>
        <w:tc>
          <w:tcPr>
            <w:tcW w:w="1977" w:type="dxa"/>
            <w:shd w:val="clear" w:color="auto" w:fill="DAE9F7"/>
            <w:vAlign w:val="bottom"/>
          </w:tcPr>
          <w:p w14:paraId="61A0F2EE"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13,4%</w:t>
            </w:r>
          </w:p>
        </w:tc>
      </w:tr>
      <w:tr w:rsidR="00677AE1" w14:paraId="0261E880" w14:textId="77777777" w:rsidTr="00677AE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405" w:type="dxa"/>
            <w:shd w:val="clear" w:color="auto" w:fill="0070C0"/>
            <w:vAlign w:val="bottom"/>
          </w:tcPr>
          <w:p w14:paraId="3B51EF54" w14:textId="77777777" w:rsidR="00677AE1" w:rsidRDefault="00000000">
            <w:pPr>
              <w:spacing w:line="276" w:lineRule="auto"/>
              <w:ind w:right="283"/>
              <w:rPr>
                <w:rFonts w:ascii="Open Sans" w:eastAsia="Open Sans" w:hAnsi="Open Sans" w:cs="Open Sans"/>
                <w:sz w:val="20"/>
                <w:szCs w:val="20"/>
              </w:rPr>
            </w:pPr>
            <w:r>
              <w:rPr>
                <w:rFonts w:ascii="Open Sans" w:eastAsia="Open Sans" w:hAnsi="Open Sans" w:cs="Open Sans"/>
                <w:b w:val="0"/>
                <w:sz w:val="20"/>
                <w:szCs w:val="20"/>
              </w:rPr>
              <w:t xml:space="preserve"> Navarra </w:t>
            </w:r>
          </w:p>
        </w:tc>
        <w:tc>
          <w:tcPr>
            <w:tcW w:w="1559" w:type="dxa"/>
            <w:shd w:val="clear" w:color="auto" w:fill="A5C9EB"/>
            <w:vAlign w:val="bottom"/>
          </w:tcPr>
          <w:p w14:paraId="515739EA"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1.954 €</w:t>
            </w:r>
          </w:p>
        </w:tc>
        <w:tc>
          <w:tcPr>
            <w:tcW w:w="1560" w:type="dxa"/>
            <w:shd w:val="clear" w:color="auto" w:fill="A5C9EB"/>
            <w:vAlign w:val="bottom"/>
          </w:tcPr>
          <w:p w14:paraId="1A559C07"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2.065 €</w:t>
            </w:r>
          </w:p>
        </w:tc>
        <w:tc>
          <w:tcPr>
            <w:tcW w:w="1559" w:type="dxa"/>
            <w:shd w:val="clear" w:color="auto" w:fill="A5C9EB"/>
            <w:vAlign w:val="bottom"/>
          </w:tcPr>
          <w:p w14:paraId="614F8019"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5,7%</w:t>
            </w:r>
          </w:p>
        </w:tc>
        <w:tc>
          <w:tcPr>
            <w:tcW w:w="1977" w:type="dxa"/>
            <w:shd w:val="clear" w:color="auto" w:fill="A5C9EB"/>
            <w:vAlign w:val="bottom"/>
          </w:tcPr>
          <w:p w14:paraId="41F22AD4"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0,7%</w:t>
            </w:r>
          </w:p>
        </w:tc>
      </w:tr>
      <w:tr w:rsidR="00677AE1" w14:paraId="5DAC697F" w14:textId="77777777" w:rsidTr="00677AE1">
        <w:trPr>
          <w:trHeight w:val="273"/>
        </w:trPr>
        <w:tc>
          <w:tcPr>
            <w:cnfStyle w:val="001000000000" w:firstRow="0" w:lastRow="0" w:firstColumn="1" w:lastColumn="0" w:oddVBand="0" w:evenVBand="0" w:oddHBand="0" w:evenHBand="0" w:firstRowFirstColumn="0" w:firstRowLastColumn="0" w:lastRowFirstColumn="0" w:lastRowLastColumn="0"/>
            <w:tcW w:w="2405" w:type="dxa"/>
            <w:shd w:val="clear" w:color="auto" w:fill="0070C0"/>
            <w:vAlign w:val="bottom"/>
          </w:tcPr>
          <w:p w14:paraId="0121360B" w14:textId="77777777" w:rsidR="00677AE1" w:rsidRDefault="00000000">
            <w:pPr>
              <w:spacing w:line="276" w:lineRule="auto"/>
              <w:ind w:right="283"/>
              <w:rPr>
                <w:rFonts w:ascii="Open Sans" w:eastAsia="Open Sans" w:hAnsi="Open Sans" w:cs="Open Sans"/>
                <w:sz w:val="20"/>
                <w:szCs w:val="20"/>
              </w:rPr>
            </w:pPr>
            <w:r>
              <w:rPr>
                <w:rFonts w:ascii="Open Sans" w:eastAsia="Open Sans" w:hAnsi="Open Sans" w:cs="Open Sans"/>
                <w:b w:val="0"/>
                <w:sz w:val="20"/>
                <w:szCs w:val="20"/>
              </w:rPr>
              <w:t xml:space="preserve"> País Vasco </w:t>
            </w:r>
          </w:p>
        </w:tc>
        <w:tc>
          <w:tcPr>
            <w:tcW w:w="1559" w:type="dxa"/>
            <w:shd w:val="clear" w:color="auto" w:fill="DAE9F7"/>
            <w:vAlign w:val="bottom"/>
          </w:tcPr>
          <w:p w14:paraId="7222F8AC"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3.940 €</w:t>
            </w:r>
          </w:p>
        </w:tc>
        <w:tc>
          <w:tcPr>
            <w:tcW w:w="1560" w:type="dxa"/>
            <w:shd w:val="clear" w:color="auto" w:fill="DAE9F7"/>
            <w:vAlign w:val="bottom"/>
          </w:tcPr>
          <w:p w14:paraId="42AAC38F"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3.306 €</w:t>
            </w:r>
          </w:p>
        </w:tc>
        <w:tc>
          <w:tcPr>
            <w:tcW w:w="1559" w:type="dxa"/>
            <w:shd w:val="clear" w:color="auto" w:fill="DAE9F7"/>
            <w:vAlign w:val="bottom"/>
          </w:tcPr>
          <w:p w14:paraId="2C1D0CF5"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-16,1%</w:t>
            </w:r>
          </w:p>
        </w:tc>
        <w:tc>
          <w:tcPr>
            <w:tcW w:w="1977" w:type="dxa"/>
            <w:shd w:val="clear" w:color="auto" w:fill="DAE9F7"/>
            <w:vAlign w:val="bottom"/>
          </w:tcPr>
          <w:p w14:paraId="7186DBD5"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7,1%</w:t>
            </w:r>
          </w:p>
        </w:tc>
      </w:tr>
      <w:tr w:rsidR="00677AE1" w14:paraId="0A98307D" w14:textId="77777777" w:rsidTr="00677AE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405" w:type="dxa"/>
            <w:shd w:val="clear" w:color="auto" w:fill="0070C0"/>
            <w:vAlign w:val="bottom"/>
          </w:tcPr>
          <w:p w14:paraId="3A58155D" w14:textId="77777777" w:rsidR="00677AE1" w:rsidRDefault="00000000">
            <w:pPr>
              <w:spacing w:line="276" w:lineRule="auto"/>
              <w:ind w:right="283"/>
              <w:rPr>
                <w:rFonts w:ascii="Open Sans" w:eastAsia="Open Sans" w:hAnsi="Open Sans" w:cs="Open Sans"/>
                <w:sz w:val="20"/>
                <w:szCs w:val="20"/>
              </w:rPr>
            </w:pPr>
            <w:r>
              <w:rPr>
                <w:rFonts w:ascii="Open Sans" w:eastAsia="Open Sans" w:hAnsi="Open Sans" w:cs="Open Sans"/>
                <w:b w:val="0"/>
                <w:sz w:val="20"/>
                <w:szCs w:val="20"/>
              </w:rPr>
              <w:t xml:space="preserve"> Región de Murcia </w:t>
            </w:r>
          </w:p>
        </w:tc>
        <w:tc>
          <w:tcPr>
            <w:tcW w:w="1559" w:type="dxa"/>
            <w:shd w:val="clear" w:color="auto" w:fill="A5C9EB"/>
            <w:vAlign w:val="bottom"/>
          </w:tcPr>
          <w:p w14:paraId="60385DA9"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1.955 €</w:t>
            </w:r>
          </w:p>
        </w:tc>
        <w:tc>
          <w:tcPr>
            <w:tcW w:w="1560" w:type="dxa"/>
            <w:shd w:val="clear" w:color="auto" w:fill="A5C9EB"/>
            <w:vAlign w:val="bottom"/>
          </w:tcPr>
          <w:p w14:paraId="6D6E042B"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1.510 €</w:t>
            </w:r>
          </w:p>
        </w:tc>
        <w:tc>
          <w:tcPr>
            <w:tcW w:w="1559" w:type="dxa"/>
            <w:shd w:val="clear" w:color="auto" w:fill="A5C9EB"/>
            <w:vAlign w:val="bottom"/>
          </w:tcPr>
          <w:p w14:paraId="30A2D56A"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-22,7%</w:t>
            </w:r>
          </w:p>
        </w:tc>
        <w:tc>
          <w:tcPr>
            <w:tcW w:w="1977" w:type="dxa"/>
            <w:shd w:val="clear" w:color="auto" w:fill="A5C9EB"/>
            <w:vAlign w:val="bottom"/>
          </w:tcPr>
          <w:p w14:paraId="71E21DA5"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14,4%</w:t>
            </w:r>
          </w:p>
        </w:tc>
      </w:tr>
      <w:tr w:rsidR="00677AE1" w14:paraId="23164637" w14:textId="77777777" w:rsidTr="00677AE1">
        <w:trPr>
          <w:trHeight w:val="273"/>
        </w:trPr>
        <w:tc>
          <w:tcPr>
            <w:cnfStyle w:val="001000000000" w:firstRow="0" w:lastRow="0" w:firstColumn="1" w:lastColumn="0" w:oddVBand="0" w:evenVBand="0" w:oddHBand="0" w:evenHBand="0" w:firstRowFirstColumn="0" w:firstRowLastColumn="0" w:lastRowFirstColumn="0" w:lastRowLastColumn="0"/>
            <w:tcW w:w="2405" w:type="dxa"/>
            <w:shd w:val="clear" w:color="auto" w:fill="0070C0"/>
          </w:tcPr>
          <w:p w14:paraId="0B88F478" w14:textId="77777777" w:rsidR="00677AE1" w:rsidRDefault="00000000">
            <w:pPr>
              <w:spacing w:line="276" w:lineRule="auto"/>
              <w:ind w:right="283"/>
              <w:rPr>
                <w:rFonts w:ascii="Open Sans" w:eastAsia="Open Sans" w:hAnsi="Open Sans" w:cs="Open Sans"/>
                <w:sz w:val="20"/>
                <w:szCs w:val="20"/>
              </w:rPr>
            </w:pPr>
            <w:r>
              <w:rPr>
                <w:rFonts w:ascii="Open Sans" w:eastAsia="Open Sans" w:hAnsi="Open Sans" w:cs="Open Sans"/>
                <w:sz w:val="20"/>
                <w:szCs w:val="20"/>
              </w:rPr>
              <w:t xml:space="preserve"> </w:t>
            </w:r>
            <w:r>
              <w:rPr>
                <w:rFonts w:ascii="Open Sans" w:eastAsia="Open Sans" w:hAnsi="Open Sans" w:cs="Open Sans"/>
                <w:b w:val="0"/>
                <w:sz w:val="20"/>
                <w:szCs w:val="20"/>
              </w:rPr>
              <w:t xml:space="preserve">España </w:t>
            </w:r>
          </w:p>
        </w:tc>
        <w:tc>
          <w:tcPr>
            <w:tcW w:w="1559" w:type="dxa"/>
            <w:shd w:val="clear" w:color="auto" w:fill="DAE9F7"/>
            <w:vAlign w:val="bottom"/>
          </w:tcPr>
          <w:p w14:paraId="201756E5"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2.400 €</w:t>
            </w:r>
          </w:p>
        </w:tc>
        <w:tc>
          <w:tcPr>
            <w:tcW w:w="1560" w:type="dxa"/>
            <w:shd w:val="clear" w:color="auto" w:fill="DAE9F7"/>
            <w:vAlign w:val="bottom"/>
          </w:tcPr>
          <w:p w14:paraId="3A6D449E"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sz w:val="20"/>
                <w:szCs w:val="20"/>
              </w:rPr>
              <w:t>2.405 €</w:t>
            </w:r>
          </w:p>
        </w:tc>
        <w:tc>
          <w:tcPr>
            <w:tcW w:w="1559" w:type="dxa"/>
            <w:shd w:val="clear" w:color="auto" w:fill="DAE9F7"/>
            <w:vAlign w:val="bottom"/>
          </w:tcPr>
          <w:p w14:paraId="0CEE286F"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0"/>
                <w:szCs w:val="20"/>
              </w:rPr>
            </w:pPr>
            <w:r>
              <w:rPr>
                <w:rFonts w:ascii="Open Sans" w:eastAsia="Open Sans" w:hAnsi="Open Sans" w:cs="Open Sans"/>
                <w:b/>
                <w:color w:val="000000"/>
                <w:sz w:val="20"/>
                <w:szCs w:val="20"/>
              </w:rPr>
              <w:t>0,2%</w:t>
            </w:r>
          </w:p>
        </w:tc>
        <w:tc>
          <w:tcPr>
            <w:tcW w:w="1977" w:type="dxa"/>
            <w:shd w:val="clear" w:color="auto" w:fill="DAE9F7"/>
            <w:vAlign w:val="bottom"/>
          </w:tcPr>
          <w:p w14:paraId="2791E54B"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color w:val="000000"/>
                <w:sz w:val="20"/>
                <w:szCs w:val="20"/>
              </w:rPr>
              <w:t>8,6%</w:t>
            </w:r>
          </w:p>
        </w:tc>
      </w:tr>
    </w:tbl>
    <w:p w14:paraId="0D9BFEF7" w14:textId="77777777" w:rsidR="00677AE1" w:rsidRDefault="00677AE1">
      <w:pPr>
        <w:spacing w:line="276" w:lineRule="auto"/>
        <w:ind w:right="283"/>
        <w:rPr>
          <w:rFonts w:ascii="Open Sans Light" w:eastAsia="Open Sans Light" w:hAnsi="Open Sans Light" w:cs="Open Sans Light"/>
          <w:b/>
          <w:color w:val="303AB2"/>
          <w:sz w:val="28"/>
          <w:szCs w:val="28"/>
        </w:rPr>
      </w:pPr>
    </w:p>
    <w:p w14:paraId="3490FA6F" w14:textId="77777777" w:rsidR="00677AE1" w:rsidRDefault="00000000">
      <w:pPr>
        <w:spacing w:line="276" w:lineRule="auto"/>
        <w:ind w:right="283"/>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Comparativa por provincias en el periodo de 20 años</w:t>
      </w:r>
    </w:p>
    <w:p w14:paraId="38E450B6" w14:textId="77777777" w:rsidR="00677AE1" w:rsidRDefault="00677AE1">
      <w:pPr>
        <w:spacing w:line="276" w:lineRule="auto"/>
        <w:ind w:right="283"/>
        <w:rPr>
          <w:rFonts w:ascii="Open Sans Light" w:eastAsia="Open Sans Light" w:hAnsi="Open Sans Light" w:cs="Open Sans Light"/>
          <w:b/>
          <w:color w:val="303AB2"/>
          <w:sz w:val="28"/>
          <w:szCs w:val="28"/>
        </w:rPr>
      </w:pPr>
    </w:p>
    <w:p w14:paraId="29F92E89" w14:textId="77777777" w:rsidR="00677AE1" w:rsidRDefault="00000000">
      <w:pPr>
        <w:spacing w:line="276" w:lineRule="auto"/>
        <w:jc w:val="both"/>
        <w:rPr>
          <w:rFonts w:ascii="Open Sans" w:eastAsia="Open Sans" w:hAnsi="Open Sans" w:cs="Open Sans"/>
        </w:rPr>
      </w:pPr>
      <w:r>
        <w:rPr>
          <w:rFonts w:ascii="Open Sans" w:eastAsia="Open Sans" w:hAnsi="Open Sans" w:cs="Open Sans"/>
        </w:rPr>
        <w:t xml:space="preserve">A inicio de 2025, </w:t>
      </w:r>
      <w:r>
        <w:rPr>
          <w:rFonts w:ascii="Open Sans" w:eastAsia="Open Sans" w:hAnsi="Open Sans" w:cs="Open Sans"/>
          <w:b/>
        </w:rPr>
        <w:t>Baleares lidera el ranking de incrementos acumulados con un aumento del 124%</w:t>
      </w:r>
      <w:r>
        <w:rPr>
          <w:rFonts w:ascii="Open Sans" w:eastAsia="Open Sans" w:hAnsi="Open Sans" w:cs="Open Sans"/>
        </w:rPr>
        <w:t xml:space="preserve">, </w:t>
      </w:r>
      <w:r>
        <w:rPr>
          <w:rFonts w:ascii="Open Sans" w:eastAsia="Open Sans" w:hAnsi="Open Sans" w:cs="Open Sans"/>
          <w:b/>
        </w:rPr>
        <w:t>seguida por Santa Cruz de Tenerife (87%), Málaga (61%) y Alicante (34%).</w:t>
      </w:r>
      <w:r>
        <w:rPr>
          <w:rFonts w:ascii="Open Sans" w:eastAsia="Open Sans" w:hAnsi="Open Sans" w:cs="Open Sans"/>
        </w:rPr>
        <w:t xml:space="preserve"> También presentan subidas destacadas Madrid (23%), Girona (18%), Cádiz (5,2%), Granada (4,1%) y A Coruña (3,6%). Por su parte, Valencia registra un incremento más moderado del 1,3%.</w:t>
      </w:r>
    </w:p>
    <w:p w14:paraId="577AFE22" w14:textId="77777777" w:rsidR="00677AE1" w:rsidRDefault="00677AE1">
      <w:pPr>
        <w:spacing w:line="276" w:lineRule="auto"/>
        <w:jc w:val="both"/>
        <w:rPr>
          <w:rFonts w:ascii="Open Sans" w:eastAsia="Open Sans" w:hAnsi="Open Sans" w:cs="Open Sans"/>
        </w:rPr>
      </w:pPr>
    </w:p>
    <w:p w14:paraId="24743951" w14:textId="77777777" w:rsidR="00677AE1" w:rsidRDefault="00000000">
      <w:pPr>
        <w:spacing w:line="276" w:lineRule="auto"/>
        <w:jc w:val="both"/>
        <w:rPr>
          <w:rFonts w:ascii="Open Sans" w:eastAsia="Open Sans" w:hAnsi="Open Sans" w:cs="Open Sans"/>
        </w:rPr>
      </w:pPr>
      <w:r>
        <w:rPr>
          <w:rFonts w:ascii="Open Sans" w:eastAsia="Open Sans" w:hAnsi="Open Sans" w:cs="Open Sans"/>
        </w:rPr>
        <w:t>En contraste, las provincias que presentan caídas acumuladas en los últimos 20 años son Toledo (-33,4%), Almería (-34%), Zaragoza (-33%), y Córdoba (-28%). Les siguen La Rioja (-29%), Huesca (-24%), Murcia (-22%), Guadalajara (-20,8%), Huelva (-19%), Badajoz (-16%), Sevilla (-16%), Castellón (-15,0%), Lleida (-14%), Asturias (-14%) y Bizkaia (-9,0%). Otras provincias como Tarragona (-7,5%), Barcelona (-4,5%) y Cantabria (-4,5%) muestran caídas más leves.</w:t>
      </w:r>
    </w:p>
    <w:p w14:paraId="19C79F89" w14:textId="77777777" w:rsidR="00677AE1" w:rsidRDefault="00677AE1">
      <w:pPr>
        <w:spacing w:line="276" w:lineRule="auto"/>
        <w:jc w:val="both"/>
        <w:rPr>
          <w:rFonts w:ascii="Open Sans" w:eastAsia="Open Sans" w:hAnsi="Open Sans" w:cs="Open Sans"/>
          <w:b/>
          <w:color w:val="1F3864"/>
          <w:sz w:val="20"/>
          <w:szCs w:val="20"/>
        </w:rPr>
      </w:pPr>
    </w:p>
    <w:p w14:paraId="1A400CB6" w14:textId="77777777" w:rsidR="00677AE1" w:rsidRDefault="00000000">
      <w:pPr>
        <w:shd w:val="clear" w:color="auto" w:fill="FFFFFF"/>
        <w:spacing w:before="280" w:after="280" w:line="276" w:lineRule="auto"/>
        <w:ind w:right="283"/>
        <w:rPr>
          <w:rFonts w:ascii="Open Sans Light" w:eastAsia="Open Sans Light" w:hAnsi="Open Sans Light" w:cs="Open Sans Light"/>
          <w:b/>
          <w:color w:val="303AB2"/>
        </w:rPr>
      </w:pPr>
      <w:r>
        <w:rPr>
          <w:rFonts w:ascii="Open Sans Light" w:eastAsia="Open Sans Light" w:hAnsi="Open Sans Light" w:cs="Open Sans Light"/>
          <w:b/>
          <w:color w:val="303AB2"/>
        </w:rPr>
        <w:t>Tabla 2: Provincias con precio y variaciones (ene.05– ene.25)</w:t>
      </w:r>
    </w:p>
    <w:tbl>
      <w:tblPr>
        <w:tblStyle w:val="a0"/>
        <w:tblW w:w="8783"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54"/>
        <w:gridCol w:w="1417"/>
        <w:gridCol w:w="1418"/>
        <w:gridCol w:w="1559"/>
        <w:gridCol w:w="1417"/>
        <w:gridCol w:w="1418"/>
      </w:tblGrid>
      <w:tr w:rsidR="00677AE1" w14:paraId="0DF6D7BC" w14:textId="77777777" w:rsidTr="00677AE1">
        <w:trPr>
          <w:cnfStyle w:val="100000000000" w:firstRow="1" w:lastRow="0" w:firstColumn="0" w:lastColumn="0" w:oddVBand="0" w:evenVBand="0" w:oddHBand="0"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vAlign w:val="center"/>
          </w:tcPr>
          <w:p w14:paraId="26344F9A"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CCAA</w:t>
            </w:r>
          </w:p>
        </w:tc>
        <w:tc>
          <w:tcPr>
            <w:tcW w:w="1417" w:type="dxa"/>
            <w:shd w:val="clear" w:color="auto" w:fill="0070C0"/>
            <w:vAlign w:val="center"/>
          </w:tcPr>
          <w:p w14:paraId="3FDE843D" w14:textId="77777777" w:rsidR="00677AE1" w:rsidRDefault="00000000">
            <w:pPr>
              <w:spacing w:line="276" w:lineRule="auto"/>
              <w:ind w:right="283"/>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b w:val="0"/>
                <w:sz w:val="18"/>
                <w:szCs w:val="18"/>
              </w:rPr>
              <w:t>Provincia</w:t>
            </w:r>
          </w:p>
        </w:tc>
        <w:tc>
          <w:tcPr>
            <w:tcW w:w="1418" w:type="dxa"/>
            <w:shd w:val="clear" w:color="auto" w:fill="0070C0"/>
            <w:vAlign w:val="center"/>
          </w:tcPr>
          <w:p w14:paraId="5683E1F7" w14:textId="77777777" w:rsidR="00677AE1"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b w:val="0"/>
                <w:sz w:val="18"/>
                <w:szCs w:val="18"/>
              </w:rPr>
              <w:t>Enero 2005 (€/m²)</w:t>
            </w:r>
          </w:p>
        </w:tc>
        <w:tc>
          <w:tcPr>
            <w:tcW w:w="1559" w:type="dxa"/>
            <w:shd w:val="clear" w:color="auto" w:fill="0070C0"/>
            <w:vAlign w:val="center"/>
          </w:tcPr>
          <w:p w14:paraId="1C80975A" w14:textId="77777777" w:rsidR="00677AE1"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b w:val="0"/>
                <w:sz w:val="18"/>
                <w:szCs w:val="18"/>
              </w:rPr>
              <w:t>Enero 2025 (€/m²)</w:t>
            </w:r>
          </w:p>
        </w:tc>
        <w:tc>
          <w:tcPr>
            <w:tcW w:w="1417" w:type="dxa"/>
            <w:shd w:val="clear" w:color="auto" w:fill="0070C0"/>
            <w:vAlign w:val="center"/>
          </w:tcPr>
          <w:p w14:paraId="0C3B0A47" w14:textId="77777777" w:rsidR="00677AE1"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b w:val="0"/>
                <w:sz w:val="18"/>
                <w:szCs w:val="18"/>
              </w:rPr>
              <w:t>% variación 20 años</w:t>
            </w:r>
          </w:p>
        </w:tc>
        <w:tc>
          <w:tcPr>
            <w:tcW w:w="1418" w:type="dxa"/>
            <w:shd w:val="clear" w:color="auto" w:fill="0070C0"/>
            <w:vAlign w:val="center"/>
          </w:tcPr>
          <w:p w14:paraId="5005EA35" w14:textId="77777777" w:rsidR="00677AE1"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b w:val="0"/>
                <w:sz w:val="18"/>
                <w:szCs w:val="18"/>
              </w:rPr>
              <w:t>% interanual ene.2025</w:t>
            </w:r>
          </w:p>
        </w:tc>
      </w:tr>
      <w:tr w:rsidR="00677AE1" w14:paraId="1D749D38"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51BF1107"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Andalucía</w:t>
            </w:r>
          </w:p>
        </w:tc>
        <w:tc>
          <w:tcPr>
            <w:tcW w:w="1417" w:type="dxa"/>
            <w:shd w:val="clear" w:color="auto" w:fill="A5C9EB"/>
          </w:tcPr>
          <w:p w14:paraId="29FD0932"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Almería</w:t>
            </w:r>
          </w:p>
        </w:tc>
        <w:tc>
          <w:tcPr>
            <w:tcW w:w="1418" w:type="dxa"/>
            <w:shd w:val="clear" w:color="auto" w:fill="A5C9EB"/>
          </w:tcPr>
          <w:p w14:paraId="6B5679DC"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2.137 €</w:t>
            </w:r>
          </w:p>
        </w:tc>
        <w:tc>
          <w:tcPr>
            <w:tcW w:w="1559" w:type="dxa"/>
            <w:shd w:val="clear" w:color="auto" w:fill="A5C9EB"/>
          </w:tcPr>
          <w:p w14:paraId="6F8DDDB0"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1.411 €</w:t>
            </w:r>
          </w:p>
        </w:tc>
        <w:tc>
          <w:tcPr>
            <w:tcW w:w="1417" w:type="dxa"/>
            <w:shd w:val="clear" w:color="auto" w:fill="A5C9EB"/>
          </w:tcPr>
          <w:p w14:paraId="307E9104"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9C0006"/>
                <w:sz w:val="18"/>
                <w:szCs w:val="18"/>
              </w:rPr>
              <w:t>-34,0%</w:t>
            </w:r>
          </w:p>
        </w:tc>
        <w:tc>
          <w:tcPr>
            <w:tcW w:w="1418" w:type="dxa"/>
            <w:shd w:val="clear" w:color="auto" w:fill="A5C9EB"/>
          </w:tcPr>
          <w:p w14:paraId="028E0579"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6,7%</w:t>
            </w:r>
          </w:p>
        </w:tc>
      </w:tr>
      <w:tr w:rsidR="00677AE1" w14:paraId="04783C40"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1DC031E8"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Andalucía</w:t>
            </w:r>
          </w:p>
        </w:tc>
        <w:tc>
          <w:tcPr>
            <w:tcW w:w="1417" w:type="dxa"/>
            <w:shd w:val="clear" w:color="auto" w:fill="DAE9F7"/>
          </w:tcPr>
          <w:p w14:paraId="7147637A"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Cádiz</w:t>
            </w:r>
          </w:p>
        </w:tc>
        <w:tc>
          <w:tcPr>
            <w:tcW w:w="1418" w:type="dxa"/>
            <w:shd w:val="clear" w:color="auto" w:fill="DAE9F7"/>
          </w:tcPr>
          <w:p w14:paraId="5AC02320"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1.967 €</w:t>
            </w:r>
          </w:p>
        </w:tc>
        <w:tc>
          <w:tcPr>
            <w:tcW w:w="1559" w:type="dxa"/>
            <w:shd w:val="clear" w:color="auto" w:fill="DAE9F7"/>
          </w:tcPr>
          <w:p w14:paraId="18105A5E"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2.068 €</w:t>
            </w:r>
          </w:p>
        </w:tc>
        <w:tc>
          <w:tcPr>
            <w:tcW w:w="1417" w:type="dxa"/>
            <w:shd w:val="clear" w:color="auto" w:fill="DAE9F7"/>
          </w:tcPr>
          <w:p w14:paraId="46679686"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5,2%</w:t>
            </w:r>
          </w:p>
        </w:tc>
        <w:tc>
          <w:tcPr>
            <w:tcW w:w="1418" w:type="dxa"/>
            <w:shd w:val="clear" w:color="auto" w:fill="DAE9F7"/>
          </w:tcPr>
          <w:p w14:paraId="0F066C5F"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12,4%</w:t>
            </w:r>
          </w:p>
        </w:tc>
      </w:tr>
      <w:tr w:rsidR="00677AE1" w14:paraId="712B5057"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13AC1E85"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Andalucía</w:t>
            </w:r>
          </w:p>
        </w:tc>
        <w:tc>
          <w:tcPr>
            <w:tcW w:w="1417" w:type="dxa"/>
            <w:shd w:val="clear" w:color="auto" w:fill="A5C9EB"/>
          </w:tcPr>
          <w:p w14:paraId="4D1BA1CB"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Córdoba</w:t>
            </w:r>
          </w:p>
        </w:tc>
        <w:tc>
          <w:tcPr>
            <w:tcW w:w="1418" w:type="dxa"/>
            <w:shd w:val="clear" w:color="auto" w:fill="A5C9EB"/>
          </w:tcPr>
          <w:p w14:paraId="381ABB8B"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1.995 €</w:t>
            </w:r>
          </w:p>
        </w:tc>
        <w:tc>
          <w:tcPr>
            <w:tcW w:w="1559" w:type="dxa"/>
            <w:shd w:val="clear" w:color="auto" w:fill="A5C9EB"/>
          </w:tcPr>
          <w:p w14:paraId="74999251"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1.426 €</w:t>
            </w:r>
          </w:p>
        </w:tc>
        <w:tc>
          <w:tcPr>
            <w:tcW w:w="1417" w:type="dxa"/>
            <w:shd w:val="clear" w:color="auto" w:fill="A5C9EB"/>
          </w:tcPr>
          <w:p w14:paraId="428F30ED"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9C0006"/>
                <w:sz w:val="18"/>
                <w:szCs w:val="18"/>
              </w:rPr>
              <w:t>-28,5%</w:t>
            </w:r>
          </w:p>
        </w:tc>
        <w:tc>
          <w:tcPr>
            <w:tcW w:w="1418" w:type="dxa"/>
            <w:shd w:val="clear" w:color="auto" w:fill="A5C9EB"/>
          </w:tcPr>
          <w:p w14:paraId="0A54C58C"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9C0006"/>
                <w:sz w:val="18"/>
                <w:szCs w:val="18"/>
              </w:rPr>
              <w:t>-5,0%</w:t>
            </w:r>
          </w:p>
        </w:tc>
      </w:tr>
      <w:tr w:rsidR="00677AE1" w14:paraId="319AEBF4"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25B61A8F"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Andalucía</w:t>
            </w:r>
          </w:p>
        </w:tc>
        <w:tc>
          <w:tcPr>
            <w:tcW w:w="1417" w:type="dxa"/>
            <w:shd w:val="clear" w:color="auto" w:fill="DAE9F7"/>
          </w:tcPr>
          <w:p w14:paraId="5625AAA7"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Granada</w:t>
            </w:r>
          </w:p>
        </w:tc>
        <w:tc>
          <w:tcPr>
            <w:tcW w:w="1418" w:type="dxa"/>
            <w:shd w:val="clear" w:color="auto" w:fill="DAE9F7"/>
          </w:tcPr>
          <w:p w14:paraId="7E10A62D"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2.036 €</w:t>
            </w:r>
          </w:p>
        </w:tc>
        <w:tc>
          <w:tcPr>
            <w:tcW w:w="1559" w:type="dxa"/>
            <w:shd w:val="clear" w:color="auto" w:fill="DAE9F7"/>
          </w:tcPr>
          <w:p w14:paraId="5FC4008F"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2.118 €</w:t>
            </w:r>
          </w:p>
        </w:tc>
        <w:tc>
          <w:tcPr>
            <w:tcW w:w="1417" w:type="dxa"/>
            <w:shd w:val="clear" w:color="auto" w:fill="DAE9F7"/>
          </w:tcPr>
          <w:p w14:paraId="7D5663A8"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4,1%</w:t>
            </w:r>
          </w:p>
        </w:tc>
        <w:tc>
          <w:tcPr>
            <w:tcW w:w="1418" w:type="dxa"/>
            <w:shd w:val="clear" w:color="auto" w:fill="DAE9F7"/>
          </w:tcPr>
          <w:p w14:paraId="763A31F1"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11,0%</w:t>
            </w:r>
          </w:p>
        </w:tc>
      </w:tr>
      <w:tr w:rsidR="00677AE1" w14:paraId="366555AA"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1F5ABDCB"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Andalucía</w:t>
            </w:r>
          </w:p>
        </w:tc>
        <w:tc>
          <w:tcPr>
            <w:tcW w:w="1417" w:type="dxa"/>
            <w:shd w:val="clear" w:color="auto" w:fill="A5C9EB"/>
          </w:tcPr>
          <w:p w14:paraId="772FD987"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Huelva</w:t>
            </w:r>
          </w:p>
        </w:tc>
        <w:tc>
          <w:tcPr>
            <w:tcW w:w="1418" w:type="dxa"/>
            <w:shd w:val="clear" w:color="auto" w:fill="A5C9EB"/>
          </w:tcPr>
          <w:p w14:paraId="01B90682"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1.926 €</w:t>
            </w:r>
          </w:p>
        </w:tc>
        <w:tc>
          <w:tcPr>
            <w:tcW w:w="1559" w:type="dxa"/>
            <w:shd w:val="clear" w:color="auto" w:fill="A5C9EB"/>
          </w:tcPr>
          <w:p w14:paraId="323B6372"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1.549 €</w:t>
            </w:r>
          </w:p>
        </w:tc>
        <w:tc>
          <w:tcPr>
            <w:tcW w:w="1417" w:type="dxa"/>
            <w:shd w:val="clear" w:color="auto" w:fill="A5C9EB"/>
          </w:tcPr>
          <w:p w14:paraId="2B62EB6D"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9C0006"/>
                <w:sz w:val="18"/>
                <w:szCs w:val="18"/>
              </w:rPr>
              <w:t>-19,5%</w:t>
            </w:r>
          </w:p>
        </w:tc>
        <w:tc>
          <w:tcPr>
            <w:tcW w:w="1418" w:type="dxa"/>
            <w:shd w:val="clear" w:color="auto" w:fill="A5C9EB"/>
          </w:tcPr>
          <w:p w14:paraId="0CEE8B5E"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5,1%</w:t>
            </w:r>
          </w:p>
        </w:tc>
      </w:tr>
      <w:tr w:rsidR="00677AE1" w14:paraId="06500B28"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68941D4B"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Andalucía</w:t>
            </w:r>
          </w:p>
        </w:tc>
        <w:tc>
          <w:tcPr>
            <w:tcW w:w="1417" w:type="dxa"/>
            <w:shd w:val="clear" w:color="auto" w:fill="DAE9F7"/>
          </w:tcPr>
          <w:p w14:paraId="1534AB7A"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Jaén</w:t>
            </w:r>
          </w:p>
        </w:tc>
        <w:tc>
          <w:tcPr>
            <w:tcW w:w="1418" w:type="dxa"/>
            <w:shd w:val="clear" w:color="auto" w:fill="DAE9F7"/>
          </w:tcPr>
          <w:p w14:paraId="20A32A02"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559" w:type="dxa"/>
            <w:shd w:val="clear" w:color="auto" w:fill="DAE9F7"/>
          </w:tcPr>
          <w:p w14:paraId="2E8F5B88"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992 €</w:t>
            </w:r>
          </w:p>
        </w:tc>
        <w:tc>
          <w:tcPr>
            <w:tcW w:w="1417" w:type="dxa"/>
            <w:shd w:val="clear" w:color="auto" w:fill="DAE9F7"/>
          </w:tcPr>
          <w:p w14:paraId="4CB72ADA"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DAE9F7"/>
          </w:tcPr>
          <w:p w14:paraId="29F3BABF"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9C0006"/>
                <w:sz w:val="18"/>
                <w:szCs w:val="18"/>
              </w:rPr>
              <w:t>-2,1%</w:t>
            </w:r>
          </w:p>
        </w:tc>
      </w:tr>
      <w:tr w:rsidR="00677AE1" w14:paraId="1F7B0C56"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47C8A1DF"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Andalucía</w:t>
            </w:r>
          </w:p>
        </w:tc>
        <w:tc>
          <w:tcPr>
            <w:tcW w:w="1417" w:type="dxa"/>
            <w:shd w:val="clear" w:color="auto" w:fill="A5C9EB"/>
          </w:tcPr>
          <w:p w14:paraId="76F6C585"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Málaga</w:t>
            </w:r>
          </w:p>
        </w:tc>
        <w:tc>
          <w:tcPr>
            <w:tcW w:w="1418" w:type="dxa"/>
            <w:shd w:val="clear" w:color="auto" w:fill="A5C9EB"/>
          </w:tcPr>
          <w:p w14:paraId="74047387"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2.402 €</w:t>
            </w:r>
          </w:p>
        </w:tc>
        <w:tc>
          <w:tcPr>
            <w:tcW w:w="1559" w:type="dxa"/>
            <w:shd w:val="clear" w:color="auto" w:fill="A5C9EB"/>
          </w:tcPr>
          <w:p w14:paraId="69D0F7C1"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3.868 €</w:t>
            </w:r>
          </w:p>
        </w:tc>
        <w:tc>
          <w:tcPr>
            <w:tcW w:w="1417" w:type="dxa"/>
            <w:shd w:val="clear" w:color="auto" w:fill="A5C9EB"/>
          </w:tcPr>
          <w:p w14:paraId="10BD8EBE"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61,0%</w:t>
            </w:r>
          </w:p>
        </w:tc>
        <w:tc>
          <w:tcPr>
            <w:tcW w:w="1418" w:type="dxa"/>
            <w:shd w:val="clear" w:color="auto" w:fill="A5C9EB"/>
          </w:tcPr>
          <w:p w14:paraId="5319CA84"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15,9%</w:t>
            </w:r>
          </w:p>
        </w:tc>
      </w:tr>
      <w:tr w:rsidR="00677AE1" w14:paraId="3AAE234B"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4E9505AD"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Andalucía</w:t>
            </w:r>
          </w:p>
        </w:tc>
        <w:tc>
          <w:tcPr>
            <w:tcW w:w="1417" w:type="dxa"/>
            <w:shd w:val="clear" w:color="auto" w:fill="DAE9F7"/>
          </w:tcPr>
          <w:p w14:paraId="46078DCC"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Sevilla</w:t>
            </w:r>
          </w:p>
        </w:tc>
        <w:tc>
          <w:tcPr>
            <w:tcW w:w="1418" w:type="dxa"/>
            <w:shd w:val="clear" w:color="auto" w:fill="DAE9F7"/>
          </w:tcPr>
          <w:p w14:paraId="2AD79DAF"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2.243 €</w:t>
            </w:r>
          </w:p>
        </w:tc>
        <w:tc>
          <w:tcPr>
            <w:tcW w:w="1559" w:type="dxa"/>
            <w:shd w:val="clear" w:color="auto" w:fill="DAE9F7"/>
          </w:tcPr>
          <w:p w14:paraId="2CC8FC7F"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1.885 €</w:t>
            </w:r>
          </w:p>
        </w:tc>
        <w:tc>
          <w:tcPr>
            <w:tcW w:w="1417" w:type="dxa"/>
            <w:shd w:val="clear" w:color="auto" w:fill="DAE9F7"/>
          </w:tcPr>
          <w:p w14:paraId="358B5746"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9C0006"/>
                <w:sz w:val="18"/>
                <w:szCs w:val="18"/>
              </w:rPr>
              <w:t>-16,0%</w:t>
            </w:r>
          </w:p>
        </w:tc>
        <w:tc>
          <w:tcPr>
            <w:tcW w:w="1418" w:type="dxa"/>
            <w:shd w:val="clear" w:color="auto" w:fill="DAE9F7"/>
          </w:tcPr>
          <w:p w14:paraId="3D9FE8AE"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4,3%</w:t>
            </w:r>
          </w:p>
        </w:tc>
      </w:tr>
      <w:tr w:rsidR="00677AE1" w14:paraId="0A9673B3"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458CC40B"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Aragón</w:t>
            </w:r>
          </w:p>
        </w:tc>
        <w:tc>
          <w:tcPr>
            <w:tcW w:w="1417" w:type="dxa"/>
            <w:shd w:val="clear" w:color="auto" w:fill="A5C9EB"/>
          </w:tcPr>
          <w:p w14:paraId="4449C4FE"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Huesca</w:t>
            </w:r>
          </w:p>
        </w:tc>
        <w:tc>
          <w:tcPr>
            <w:tcW w:w="1418" w:type="dxa"/>
            <w:shd w:val="clear" w:color="auto" w:fill="A5C9EB"/>
          </w:tcPr>
          <w:p w14:paraId="5D172CCC"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2.195 €</w:t>
            </w:r>
          </w:p>
        </w:tc>
        <w:tc>
          <w:tcPr>
            <w:tcW w:w="1559" w:type="dxa"/>
            <w:shd w:val="clear" w:color="auto" w:fill="A5C9EB"/>
          </w:tcPr>
          <w:p w14:paraId="5D1E76DC"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1.662 €</w:t>
            </w:r>
          </w:p>
        </w:tc>
        <w:tc>
          <w:tcPr>
            <w:tcW w:w="1417" w:type="dxa"/>
            <w:shd w:val="clear" w:color="auto" w:fill="A5C9EB"/>
          </w:tcPr>
          <w:p w14:paraId="74C2AD36"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9C0006"/>
                <w:sz w:val="18"/>
                <w:szCs w:val="18"/>
              </w:rPr>
              <w:t>-24,3%</w:t>
            </w:r>
          </w:p>
        </w:tc>
        <w:tc>
          <w:tcPr>
            <w:tcW w:w="1418" w:type="dxa"/>
            <w:shd w:val="clear" w:color="auto" w:fill="A5C9EB"/>
          </w:tcPr>
          <w:p w14:paraId="6B7BE1E8"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4,4%</w:t>
            </w:r>
          </w:p>
        </w:tc>
      </w:tr>
      <w:tr w:rsidR="00677AE1" w14:paraId="4C0E86E1"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48E15B97"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Aragón</w:t>
            </w:r>
          </w:p>
        </w:tc>
        <w:tc>
          <w:tcPr>
            <w:tcW w:w="1417" w:type="dxa"/>
            <w:shd w:val="clear" w:color="auto" w:fill="DAE9F7"/>
          </w:tcPr>
          <w:p w14:paraId="0883873A"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Teruel</w:t>
            </w:r>
          </w:p>
        </w:tc>
        <w:tc>
          <w:tcPr>
            <w:tcW w:w="1418" w:type="dxa"/>
            <w:shd w:val="clear" w:color="auto" w:fill="DAE9F7"/>
          </w:tcPr>
          <w:p w14:paraId="38E7679B"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559" w:type="dxa"/>
            <w:shd w:val="clear" w:color="auto" w:fill="DAE9F7"/>
          </w:tcPr>
          <w:p w14:paraId="207E6D3E"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1.275 €</w:t>
            </w:r>
          </w:p>
        </w:tc>
        <w:tc>
          <w:tcPr>
            <w:tcW w:w="1417" w:type="dxa"/>
            <w:shd w:val="clear" w:color="auto" w:fill="DAE9F7"/>
          </w:tcPr>
          <w:p w14:paraId="2D31A563"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DAE9F7"/>
          </w:tcPr>
          <w:p w14:paraId="64A293D7"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3,2%</w:t>
            </w:r>
          </w:p>
        </w:tc>
      </w:tr>
      <w:tr w:rsidR="00677AE1" w14:paraId="52D66AF4"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64595588"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Aragón</w:t>
            </w:r>
          </w:p>
        </w:tc>
        <w:tc>
          <w:tcPr>
            <w:tcW w:w="1417" w:type="dxa"/>
            <w:shd w:val="clear" w:color="auto" w:fill="A5C9EB"/>
          </w:tcPr>
          <w:p w14:paraId="52331C8B"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Zaragoza</w:t>
            </w:r>
          </w:p>
        </w:tc>
        <w:tc>
          <w:tcPr>
            <w:tcW w:w="1418" w:type="dxa"/>
            <w:shd w:val="clear" w:color="auto" w:fill="A5C9EB"/>
          </w:tcPr>
          <w:p w14:paraId="0DDAEE0B"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2.743 €</w:t>
            </w:r>
          </w:p>
        </w:tc>
        <w:tc>
          <w:tcPr>
            <w:tcW w:w="1559" w:type="dxa"/>
            <w:shd w:val="clear" w:color="auto" w:fill="A5C9EB"/>
          </w:tcPr>
          <w:p w14:paraId="22EAE4E7"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1.828 €</w:t>
            </w:r>
          </w:p>
        </w:tc>
        <w:tc>
          <w:tcPr>
            <w:tcW w:w="1417" w:type="dxa"/>
            <w:shd w:val="clear" w:color="auto" w:fill="A5C9EB"/>
          </w:tcPr>
          <w:p w14:paraId="285C41A5"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9C0006"/>
                <w:sz w:val="18"/>
                <w:szCs w:val="18"/>
              </w:rPr>
              <w:t>-33,3%</w:t>
            </w:r>
          </w:p>
        </w:tc>
        <w:tc>
          <w:tcPr>
            <w:tcW w:w="1418" w:type="dxa"/>
            <w:shd w:val="clear" w:color="auto" w:fill="A5C9EB"/>
          </w:tcPr>
          <w:p w14:paraId="764F149B"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9C0006"/>
                <w:sz w:val="18"/>
                <w:szCs w:val="18"/>
              </w:rPr>
              <w:t>-0,9%</w:t>
            </w:r>
          </w:p>
        </w:tc>
      </w:tr>
      <w:tr w:rsidR="00677AE1" w14:paraId="02412E89"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06D1FB2B"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Asturias</w:t>
            </w:r>
          </w:p>
        </w:tc>
        <w:tc>
          <w:tcPr>
            <w:tcW w:w="1417" w:type="dxa"/>
            <w:shd w:val="clear" w:color="auto" w:fill="DAE9F7"/>
          </w:tcPr>
          <w:p w14:paraId="409D6302"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Asturias</w:t>
            </w:r>
          </w:p>
        </w:tc>
        <w:tc>
          <w:tcPr>
            <w:tcW w:w="1418" w:type="dxa"/>
            <w:shd w:val="clear" w:color="auto" w:fill="DAE9F7"/>
          </w:tcPr>
          <w:p w14:paraId="70EC1B04"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2.121 €</w:t>
            </w:r>
          </w:p>
        </w:tc>
        <w:tc>
          <w:tcPr>
            <w:tcW w:w="1559" w:type="dxa"/>
            <w:shd w:val="clear" w:color="auto" w:fill="DAE9F7"/>
          </w:tcPr>
          <w:p w14:paraId="2CD559BF"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1.811 €</w:t>
            </w:r>
          </w:p>
        </w:tc>
        <w:tc>
          <w:tcPr>
            <w:tcW w:w="1417" w:type="dxa"/>
            <w:shd w:val="clear" w:color="auto" w:fill="DAE9F7"/>
          </w:tcPr>
          <w:p w14:paraId="0FE0C071"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9C0006"/>
                <w:sz w:val="18"/>
                <w:szCs w:val="18"/>
              </w:rPr>
              <w:t>-14,6%</w:t>
            </w:r>
          </w:p>
        </w:tc>
        <w:tc>
          <w:tcPr>
            <w:tcW w:w="1418" w:type="dxa"/>
            <w:shd w:val="clear" w:color="auto" w:fill="DAE9F7"/>
          </w:tcPr>
          <w:p w14:paraId="3C43708A"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9,3%</w:t>
            </w:r>
          </w:p>
        </w:tc>
      </w:tr>
      <w:tr w:rsidR="00677AE1" w14:paraId="083AC5CE"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19A2ED6D"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Baleares</w:t>
            </w:r>
          </w:p>
        </w:tc>
        <w:tc>
          <w:tcPr>
            <w:tcW w:w="1417" w:type="dxa"/>
            <w:shd w:val="clear" w:color="auto" w:fill="A5C9EB"/>
          </w:tcPr>
          <w:p w14:paraId="1A7B3629"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Illes Balears</w:t>
            </w:r>
          </w:p>
        </w:tc>
        <w:tc>
          <w:tcPr>
            <w:tcW w:w="1418" w:type="dxa"/>
            <w:shd w:val="clear" w:color="auto" w:fill="A5C9EB"/>
          </w:tcPr>
          <w:p w14:paraId="03D978EC"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2.064 €</w:t>
            </w:r>
          </w:p>
        </w:tc>
        <w:tc>
          <w:tcPr>
            <w:tcW w:w="1559" w:type="dxa"/>
            <w:shd w:val="clear" w:color="auto" w:fill="A5C9EB"/>
          </w:tcPr>
          <w:p w14:paraId="4900A7C9"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4.626 €</w:t>
            </w:r>
          </w:p>
        </w:tc>
        <w:tc>
          <w:tcPr>
            <w:tcW w:w="1417" w:type="dxa"/>
            <w:shd w:val="clear" w:color="auto" w:fill="A5C9EB"/>
          </w:tcPr>
          <w:p w14:paraId="3931B0BF"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124,2%</w:t>
            </w:r>
          </w:p>
        </w:tc>
        <w:tc>
          <w:tcPr>
            <w:tcW w:w="1418" w:type="dxa"/>
            <w:shd w:val="clear" w:color="auto" w:fill="A5C9EB"/>
          </w:tcPr>
          <w:p w14:paraId="42566A5A"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19,4%</w:t>
            </w:r>
          </w:p>
        </w:tc>
      </w:tr>
      <w:tr w:rsidR="00677AE1" w14:paraId="17C758F2"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51C331C6"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lastRenderedPageBreak/>
              <w:t>Canarias</w:t>
            </w:r>
          </w:p>
        </w:tc>
        <w:tc>
          <w:tcPr>
            <w:tcW w:w="1417" w:type="dxa"/>
            <w:shd w:val="clear" w:color="auto" w:fill="DAE9F7"/>
          </w:tcPr>
          <w:p w14:paraId="48594CC6"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Las Palmas</w:t>
            </w:r>
          </w:p>
        </w:tc>
        <w:tc>
          <w:tcPr>
            <w:tcW w:w="1418" w:type="dxa"/>
            <w:shd w:val="clear" w:color="auto" w:fill="DAE9F7"/>
          </w:tcPr>
          <w:p w14:paraId="24E32B96"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559" w:type="dxa"/>
            <w:shd w:val="clear" w:color="auto" w:fill="DAE9F7"/>
          </w:tcPr>
          <w:p w14:paraId="3A0BE34C"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2.350 €</w:t>
            </w:r>
          </w:p>
        </w:tc>
        <w:tc>
          <w:tcPr>
            <w:tcW w:w="1417" w:type="dxa"/>
            <w:shd w:val="clear" w:color="auto" w:fill="DAE9F7"/>
          </w:tcPr>
          <w:p w14:paraId="751BB139"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DAE9F7"/>
          </w:tcPr>
          <w:p w14:paraId="426AD703"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10,8%</w:t>
            </w:r>
          </w:p>
        </w:tc>
      </w:tr>
      <w:tr w:rsidR="00677AE1" w14:paraId="471F0D4F"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55AC00FF"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Canarias</w:t>
            </w:r>
          </w:p>
        </w:tc>
        <w:tc>
          <w:tcPr>
            <w:tcW w:w="1417" w:type="dxa"/>
            <w:shd w:val="clear" w:color="auto" w:fill="A5C9EB"/>
          </w:tcPr>
          <w:p w14:paraId="42AF229C"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Santa Cruz de Tenerife</w:t>
            </w:r>
          </w:p>
        </w:tc>
        <w:tc>
          <w:tcPr>
            <w:tcW w:w="1418" w:type="dxa"/>
            <w:shd w:val="clear" w:color="auto" w:fill="A5C9EB"/>
          </w:tcPr>
          <w:p w14:paraId="53CF8AB2"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1.631 €</w:t>
            </w:r>
          </w:p>
        </w:tc>
        <w:tc>
          <w:tcPr>
            <w:tcW w:w="1559" w:type="dxa"/>
            <w:shd w:val="clear" w:color="auto" w:fill="A5C9EB"/>
          </w:tcPr>
          <w:p w14:paraId="5C08A834"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3.065 €</w:t>
            </w:r>
          </w:p>
        </w:tc>
        <w:tc>
          <w:tcPr>
            <w:tcW w:w="1417" w:type="dxa"/>
            <w:shd w:val="clear" w:color="auto" w:fill="A5C9EB"/>
          </w:tcPr>
          <w:p w14:paraId="5329AF0D"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87,9%</w:t>
            </w:r>
          </w:p>
        </w:tc>
        <w:tc>
          <w:tcPr>
            <w:tcW w:w="1418" w:type="dxa"/>
            <w:shd w:val="clear" w:color="auto" w:fill="A5C9EB"/>
          </w:tcPr>
          <w:p w14:paraId="012D6F9A"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12,5%</w:t>
            </w:r>
          </w:p>
        </w:tc>
      </w:tr>
      <w:tr w:rsidR="00677AE1" w14:paraId="400B7368"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0D4E698B"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Cantabria</w:t>
            </w:r>
          </w:p>
        </w:tc>
        <w:tc>
          <w:tcPr>
            <w:tcW w:w="1417" w:type="dxa"/>
            <w:shd w:val="clear" w:color="auto" w:fill="DAE9F7"/>
          </w:tcPr>
          <w:p w14:paraId="1433B046"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Cantabria</w:t>
            </w:r>
          </w:p>
        </w:tc>
        <w:tc>
          <w:tcPr>
            <w:tcW w:w="1418" w:type="dxa"/>
            <w:shd w:val="clear" w:color="auto" w:fill="DAE9F7"/>
          </w:tcPr>
          <w:p w14:paraId="1DFE1871"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2.216 €</w:t>
            </w:r>
          </w:p>
        </w:tc>
        <w:tc>
          <w:tcPr>
            <w:tcW w:w="1559" w:type="dxa"/>
            <w:shd w:val="clear" w:color="auto" w:fill="DAE9F7"/>
          </w:tcPr>
          <w:p w14:paraId="37FC6491"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2.116 €</w:t>
            </w:r>
          </w:p>
        </w:tc>
        <w:tc>
          <w:tcPr>
            <w:tcW w:w="1417" w:type="dxa"/>
            <w:shd w:val="clear" w:color="auto" w:fill="DAE9F7"/>
          </w:tcPr>
          <w:p w14:paraId="68AAED62"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9C0006"/>
                <w:sz w:val="18"/>
                <w:szCs w:val="18"/>
              </w:rPr>
              <w:t>-4,5%</w:t>
            </w:r>
          </w:p>
        </w:tc>
        <w:tc>
          <w:tcPr>
            <w:tcW w:w="1418" w:type="dxa"/>
            <w:shd w:val="clear" w:color="auto" w:fill="DAE9F7"/>
          </w:tcPr>
          <w:p w14:paraId="0061B939"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9,5%</w:t>
            </w:r>
          </w:p>
        </w:tc>
      </w:tr>
      <w:tr w:rsidR="00677AE1" w14:paraId="6FCD5611"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1257435D"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Castilla y León</w:t>
            </w:r>
          </w:p>
        </w:tc>
        <w:tc>
          <w:tcPr>
            <w:tcW w:w="1417" w:type="dxa"/>
            <w:shd w:val="clear" w:color="auto" w:fill="A5C9EB"/>
          </w:tcPr>
          <w:p w14:paraId="38BFFBD6"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Ávila</w:t>
            </w:r>
          </w:p>
        </w:tc>
        <w:tc>
          <w:tcPr>
            <w:tcW w:w="1418" w:type="dxa"/>
            <w:shd w:val="clear" w:color="auto" w:fill="A5C9EB"/>
          </w:tcPr>
          <w:p w14:paraId="382D0B4C"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559" w:type="dxa"/>
            <w:shd w:val="clear" w:color="auto" w:fill="A5C9EB"/>
          </w:tcPr>
          <w:p w14:paraId="3317322F"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1.076 €</w:t>
            </w:r>
          </w:p>
        </w:tc>
        <w:tc>
          <w:tcPr>
            <w:tcW w:w="1417" w:type="dxa"/>
            <w:shd w:val="clear" w:color="auto" w:fill="A5C9EB"/>
          </w:tcPr>
          <w:p w14:paraId="1BED0B2B"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A5C9EB"/>
          </w:tcPr>
          <w:p w14:paraId="6FD23F25"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9C0006"/>
                <w:sz w:val="18"/>
                <w:szCs w:val="18"/>
              </w:rPr>
              <w:t>-2,3%</w:t>
            </w:r>
          </w:p>
        </w:tc>
      </w:tr>
      <w:tr w:rsidR="00677AE1" w14:paraId="41D4A039"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336BAC1C"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Castilla y León</w:t>
            </w:r>
          </w:p>
        </w:tc>
        <w:tc>
          <w:tcPr>
            <w:tcW w:w="1417" w:type="dxa"/>
            <w:shd w:val="clear" w:color="auto" w:fill="DAE9F7"/>
          </w:tcPr>
          <w:p w14:paraId="44B6713C"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Burgos</w:t>
            </w:r>
          </w:p>
        </w:tc>
        <w:tc>
          <w:tcPr>
            <w:tcW w:w="1418" w:type="dxa"/>
            <w:shd w:val="clear" w:color="auto" w:fill="DAE9F7"/>
          </w:tcPr>
          <w:p w14:paraId="2622D414"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559" w:type="dxa"/>
            <w:shd w:val="clear" w:color="auto" w:fill="DAE9F7"/>
          </w:tcPr>
          <w:p w14:paraId="212ECF78"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1.571 €</w:t>
            </w:r>
          </w:p>
        </w:tc>
        <w:tc>
          <w:tcPr>
            <w:tcW w:w="1417" w:type="dxa"/>
            <w:shd w:val="clear" w:color="auto" w:fill="DAE9F7"/>
          </w:tcPr>
          <w:p w14:paraId="1BD9FE05"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DAE9F7"/>
          </w:tcPr>
          <w:p w14:paraId="14F2CDFA"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4,0%</w:t>
            </w:r>
          </w:p>
        </w:tc>
      </w:tr>
      <w:tr w:rsidR="00677AE1" w14:paraId="2B4354CB"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15139196"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Castilla y León</w:t>
            </w:r>
          </w:p>
        </w:tc>
        <w:tc>
          <w:tcPr>
            <w:tcW w:w="1417" w:type="dxa"/>
            <w:shd w:val="clear" w:color="auto" w:fill="A5C9EB"/>
          </w:tcPr>
          <w:p w14:paraId="2AC4EA08"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León</w:t>
            </w:r>
          </w:p>
        </w:tc>
        <w:tc>
          <w:tcPr>
            <w:tcW w:w="1418" w:type="dxa"/>
            <w:shd w:val="clear" w:color="auto" w:fill="A5C9EB"/>
          </w:tcPr>
          <w:p w14:paraId="5F52F3C5"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559" w:type="dxa"/>
            <w:shd w:val="clear" w:color="auto" w:fill="A5C9EB"/>
          </w:tcPr>
          <w:p w14:paraId="0C5EB59F"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1.297 €</w:t>
            </w:r>
          </w:p>
        </w:tc>
        <w:tc>
          <w:tcPr>
            <w:tcW w:w="1417" w:type="dxa"/>
            <w:shd w:val="clear" w:color="auto" w:fill="A5C9EB"/>
          </w:tcPr>
          <w:p w14:paraId="286A3B34"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A5C9EB"/>
          </w:tcPr>
          <w:p w14:paraId="0E6DF457"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2,4%</w:t>
            </w:r>
          </w:p>
        </w:tc>
      </w:tr>
      <w:tr w:rsidR="00677AE1" w14:paraId="02E7977C"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5118C982"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Castilla y León</w:t>
            </w:r>
          </w:p>
        </w:tc>
        <w:tc>
          <w:tcPr>
            <w:tcW w:w="1417" w:type="dxa"/>
            <w:shd w:val="clear" w:color="auto" w:fill="DAE9F7"/>
          </w:tcPr>
          <w:p w14:paraId="3EF7714B"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Palencia</w:t>
            </w:r>
          </w:p>
        </w:tc>
        <w:tc>
          <w:tcPr>
            <w:tcW w:w="1418" w:type="dxa"/>
            <w:shd w:val="clear" w:color="auto" w:fill="DAE9F7"/>
          </w:tcPr>
          <w:p w14:paraId="35C227C2"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559" w:type="dxa"/>
            <w:shd w:val="clear" w:color="auto" w:fill="DAE9F7"/>
          </w:tcPr>
          <w:p w14:paraId="747C0B53"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1.495 €</w:t>
            </w:r>
          </w:p>
        </w:tc>
        <w:tc>
          <w:tcPr>
            <w:tcW w:w="1417" w:type="dxa"/>
            <w:shd w:val="clear" w:color="auto" w:fill="DAE9F7"/>
          </w:tcPr>
          <w:p w14:paraId="55CB64CA"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DAE9F7"/>
          </w:tcPr>
          <w:p w14:paraId="76E67A1D"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7,9%</w:t>
            </w:r>
          </w:p>
        </w:tc>
      </w:tr>
      <w:tr w:rsidR="00677AE1" w14:paraId="659C9459"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09AB27B9"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Castilla y León</w:t>
            </w:r>
          </w:p>
        </w:tc>
        <w:tc>
          <w:tcPr>
            <w:tcW w:w="1417" w:type="dxa"/>
            <w:shd w:val="clear" w:color="auto" w:fill="A5C9EB"/>
          </w:tcPr>
          <w:p w14:paraId="061F961E"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Salamanca</w:t>
            </w:r>
          </w:p>
        </w:tc>
        <w:tc>
          <w:tcPr>
            <w:tcW w:w="1418" w:type="dxa"/>
            <w:shd w:val="clear" w:color="auto" w:fill="A5C9EB"/>
          </w:tcPr>
          <w:p w14:paraId="04CE9FF6"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2.311 €</w:t>
            </w:r>
          </w:p>
        </w:tc>
        <w:tc>
          <w:tcPr>
            <w:tcW w:w="1559" w:type="dxa"/>
            <w:shd w:val="clear" w:color="auto" w:fill="A5C9EB"/>
          </w:tcPr>
          <w:p w14:paraId="05DB44E4"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1.773 €</w:t>
            </w:r>
          </w:p>
        </w:tc>
        <w:tc>
          <w:tcPr>
            <w:tcW w:w="1417" w:type="dxa"/>
            <w:shd w:val="clear" w:color="auto" w:fill="A5C9EB"/>
          </w:tcPr>
          <w:p w14:paraId="47EE84F5"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9C0006"/>
                <w:sz w:val="18"/>
                <w:szCs w:val="18"/>
              </w:rPr>
              <w:t>-23,3%</w:t>
            </w:r>
          </w:p>
        </w:tc>
        <w:tc>
          <w:tcPr>
            <w:tcW w:w="1418" w:type="dxa"/>
            <w:shd w:val="clear" w:color="auto" w:fill="A5C9EB"/>
          </w:tcPr>
          <w:p w14:paraId="246F870C"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3,1%</w:t>
            </w:r>
          </w:p>
        </w:tc>
      </w:tr>
      <w:tr w:rsidR="00677AE1" w14:paraId="6C666431"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42F414FD"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Castilla y León</w:t>
            </w:r>
          </w:p>
        </w:tc>
        <w:tc>
          <w:tcPr>
            <w:tcW w:w="1417" w:type="dxa"/>
            <w:shd w:val="clear" w:color="auto" w:fill="DAE9F7"/>
          </w:tcPr>
          <w:p w14:paraId="28D61503"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Segovia</w:t>
            </w:r>
          </w:p>
        </w:tc>
        <w:tc>
          <w:tcPr>
            <w:tcW w:w="1418" w:type="dxa"/>
            <w:shd w:val="clear" w:color="auto" w:fill="DAE9F7"/>
          </w:tcPr>
          <w:p w14:paraId="37F0EB88"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559" w:type="dxa"/>
            <w:shd w:val="clear" w:color="auto" w:fill="DAE9F7"/>
          </w:tcPr>
          <w:p w14:paraId="30889946"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1.627 €</w:t>
            </w:r>
          </w:p>
        </w:tc>
        <w:tc>
          <w:tcPr>
            <w:tcW w:w="1417" w:type="dxa"/>
            <w:shd w:val="clear" w:color="auto" w:fill="DAE9F7"/>
          </w:tcPr>
          <w:p w14:paraId="036CD63E"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DAE9F7"/>
          </w:tcPr>
          <w:p w14:paraId="0163CAC4"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8,4%</w:t>
            </w:r>
          </w:p>
        </w:tc>
      </w:tr>
      <w:tr w:rsidR="00677AE1" w14:paraId="0BAB8015"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2F1EA556"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Castilla y León</w:t>
            </w:r>
          </w:p>
        </w:tc>
        <w:tc>
          <w:tcPr>
            <w:tcW w:w="1417" w:type="dxa"/>
            <w:shd w:val="clear" w:color="auto" w:fill="A5C9EB"/>
          </w:tcPr>
          <w:p w14:paraId="45B9AB16"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Soria</w:t>
            </w:r>
          </w:p>
        </w:tc>
        <w:tc>
          <w:tcPr>
            <w:tcW w:w="1418" w:type="dxa"/>
            <w:shd w:val="clear" w:color="auto" w:fill="A5C9EB"/>
          </w:tcPr>
          <w:p w14:paraId="7EE53278"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559" w:type="dxa"/>
            <w:shd w:val="clear" w:color="auto" w:fill="A5C9EB"/>
          </w:tcPr>
          <w:p w14:paraId="39CE30BC"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1.443 €</w:t>
            </w:r>
          </w:p>
        </w:tc>
        <w:tc>
          <w:tcPr>
            <w:tcW w:w="1417" w:type="dxa"/>
            <w:shd w:val="clear" w:color="auto" w:fill="A5C9EB"/>
          </w:tcPr>
          <w:p w14:paraId="363081FA"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A5C9EB"/>
          </w:tcPr>
          <w:p w14:paraId="7DF719F3"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9C0006"/>
                <w:sz w:val="18"/>
                <w:szCs w:val="18"/>
              </w:rPr>
              <w:t>-0,4%</w:t>
            </w:r>
          </w:p>
        </w:tc>
      </w:tr>
      <w:tr w:rsidR="00677AE1" w14:paraId="7F6ABF08"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4D5D6265"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Castilla y León</w:t>
            </w:r>
          </w:p>
        </w:tc>
        <w:tc>
          <w:tcPr>
            <w:tcW w:w="1417" w:type="dxa"/>
            <w:shd w:val="clear" w:color="auto" w:fill="DAE9F7"/>
          </w:tcPr>
          <w:p w14:paraId="1294A272"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Valladolid</w:t>
            </w:r>
          </w:p>
        </w:tc>
        <w:tc>
          <w:tcPr>
            <w:tcW w:w="1418" w:type="dxa"/>
            <w:shd w:val="clear" w:color="auto" w:fill="DAE9F7"/>
          </w:tcPr>
          <w:p w14:paraId="6B28BC83"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2.454 €</w:t>
            </w:r>
          </w:p>
        </w:tc>
        <w:tc>
          <w:tcPr>
            <w:tcW w:w="1559" w:type="dxa"/>
            <w:shd w:val="clear" w:color="auto" w:fill="DAE9F7"/>
          </w:tcPr>
          <w:p w14:paraId="14D4EA46"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1.834 €</w:t>
            </w:r>
          </w:p>
        </w:tc>
        <w:tc>
          <w:tcPr>
            <w:tcW w:w="1417" w:type="dxa"/>
            <w:shd w:val="clear" w:color="auto" w:fill="DAE9F7"/>
          </w:tcPr>
          <w:p w14:paraId="472C3C7F"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9C0006"/>
                <w:sz w:val="18"/>
                <w:szCs w:val="18"/>
              </w:rPr>
              <w:t>-25,3%</w:t>
            </w:r>
          </w:p>
        </w:tc>
        <w:tc>
          <w:tcPr>
            <w:tcW w:w="1418" w:type="dxa"/>
            <w:shd w:val="clear" w:color="auto" w:fill="DAE9F7"/>
          </w:tcPr>
          <w:p w14:paraId="0719AF67"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11,8%</w:t>
            </w:r>
          </w:p>
        </w:tc>
      </w:tr>
      <w:tr w:rsidR="00677AE1" w14:paraId="0F1196B4"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3D2F9416"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Castilla y León</w:t>
            </w:r>
          </w:p>
        </w:tc>
        <w:tc>
          <w:tcPr>
            <w:tcW w:w="1417" w:type="dxa"/>
            <w:shd w:val="clear" w:color="auto" w:fill="A5C9EB"/>
          </w:tcPr>
          <w:p w14:paraId="6550E555"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Zamora</w:t>
            </w:r>
          </w:p>
        </w:tc>
        <w:tc>
          <w:tcPr>
            <w:tcW w:w="1418" w:type="dxa"/>
            <w:shd w:val="clear" w:color="auto" w:fill="A5C9EB"/>
          </w:tcPr>
          <w:p w14:paraId="6B7AE9CF"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559" w:type="dxa"/>
            <w:shd w:val="clear" w:color="auto" w:fill="A5C9EB"/>
          </w:tcPr>
          <w:p w14:paraId="656894AC"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1.193 €</w:t>
            </w:r>
          </w:p>
        </w:tc>
        <w:tc>
          <w:tcPr>
            <w:tcW w:w="1417" w:type="dxa"/>
            <w:shd w:val="clear" w:color="auto" w:fill="A5C9EB"/>
          </w:tcPr>
          <w:p w14:paraId="781C68AB"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A5C9EB"/>
          </w:tcPr>
          <w:p w14:paraId="74E84E52"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3,3%</w:t>
            </w:r>
          </w:p>
        </w:tc>
      </w:tr>
      <w:tr w:rsidR="00677AE1" w14:paraId="56B1254D"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30CF350F"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Castilla-La Mancha</w:t>
            </w:r>
          </w:p>
        </w:tc>
        <w:tc>
          <w:tcPr>
            <w:tcW w:w="1417" w:type="dxa"/>
            <w:shd w:val="clear" w:color="auto" w:fill="DAE9F7"/>
          </w:tcPr>
          <w:p w14:paraId="183346BC"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Albacete</w:t>
            </w:r>
          </w:p>
        </w:tc>
        <w:tc>
          <w:tcPr>
            <w:tcW w:w="1418" w:type="dxa"/>
            <w:shd w:val="clear" w:color="auto" w:fill="DAE9F7"/>
          </w:tcPr>
          <w:p w14:paraId="022D5C50"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559" w:type="dxa"/>
            <w:shd w:val="clear" w:color="auto" w:fill="DAE9F7"/>
          </w:tcPr>
          <w:p w14:paraId="213B1D84"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1.440 €</w:t>
            </w:r>
          </w:p>
        </w:tc>
        <w:tc>
          <w:tcPr>
            <w:tcW w:w="1417" w:type="dxa"/>
            <w:shd w:val="clear" w:color="auto" w:fill="DAE9F7"/>
          </w:tcPr>
          <w:p w14:paraId="73E80A1F"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DAE9F7"/>
          </w:tcPr>
          <w:p w14:paraId="27D94ECF"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2,0%</w:t>
            </w:r>
          </w:p>
        </w:tc>
      </w:tr>
      <w:tr w:rsidR="00677AE1" w14:paraId="20422D44"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64F0ED76"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Castilla-La Mancha</w:t>
            </w:r>
          </w:p>
        </w:tc>
        <w:tc>
          <w:tcPr>
            <w:tcW w:w="1417" w:type="dxa"/>
            <w:shd w:val="clear" w:color="auto" w:fill="A5C9EB"/>
          </w:tcPr>
          <w:p w14:paraId="09D2B6B1"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Ciudad Real</w:t>
            </w:r>
          </w:p>
        </w:tc>
        <w:tc>
          <w:tcPr>
            <w:tcW w:w="1418" w:type="dxa"/>
            <w:shd w:val="clear" w:color="auto" w:fill="A5C9EB"/>
          </w:tcPr>
          <w:p w14:paraId="73B74A36"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559" w:type="dxa"/>
            <w:shd w:val="clear" w:color="auto" w:fill="A5C9EB"/>
          </w:tcPr>
          <w:p w14:paraId="59A6F65F"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954 €</w:t>
            </w:r>
          </w:p>
        </w:tc>
        <w:tc>
          <w:tcPr>
            <w:tcW w:w="1417" w:type="dxa"/>
            <w:shd w:val="clear" w:color="auto" w:fill="A5C9EB"/>
          </w:tcPr>
          <w:p w14:paraId="754684FB"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A5C9EB"/>
          </w:tcPr>
          <w:p w14:paraId="2D6895A9"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9C0006"/>
                <w:sz w:val="18"/>
                <w:szCs w:val="18"/>
              </w:rPr>
              <w:t>-2,6%</w:t>
            </w:r>
          </w:p>
        </w:tc>
      </w:tr>
      <w:tr w:rsidR="00677AE1" w14:paraId="2C93E62A"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25CF5E60"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Castilla-La Mancha</w:t>
            </w:r>
          </w:p>
        </w:tc>
        <w:tc>
          <w:tcPr>
            <w:tcW w:w="1417" w:type="dxa"/>
            <w:shd w:val="clear" w:color="auto" w:fill="DAE9F7"/>
          </w:tcPr>
          <w:p w14:paraId="1F644618"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Cuenca</w:t>
            </w:r>
          </w:p>
        </w:tc>
        <w:tc>
          <w:tcPr>
            <w:tcW w:w="1418" w:type="dxa"/>
            <w:shd w:val="clear" w:color="auto" w:fill="DAE9F7"/>
          </w:tcPr>
          <w:p w14:paraId="64E1C98E"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559" w:type="dxa"/>
            <w:shd w:val="clear" w:color="auto" w:fill="DAE9F7"/>
          </w:tcPr>
          <w:p w14:paraId="44FE2753"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1.262 €</w:t>
            </w:r>
          </w:p>
        </w:tc>
        <w:tc>
          <w:tcPr>
            <w:tcW w:w="1417" w:type="dxa"/>
            <w:shd w:val="clear" w:color="auto" w:fill="DAE9F7"/>
          </w:tcPr>
          <w:p w14:paraId="653773B7"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DAE9F7"/>
          </w:tcPr>
          <w:p w14:paraId="1B5F2825"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9C0006"/>
                <w:sz w:val="18"/>
                <w:szCs w:val="18"/>
              </w:rPr>
              <w:t>-1,1%</w:t>
            </w:r>
          </w:p>
        </w:tc>
      </w:tr>
      <w:tr w:rsidR="00677AE1" w14:paraId="797AB0C4"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40F1A11D"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Castilla-La Mancha</w:t>
            </w:r>
          </w:p>
        </w:tc>
        <w:tc>
          <w:tcPr>
            <w:tcW w:w="1417" w:type="dxa"/>
            <w:shd w:val="clear" w:color="auto" w:fill="A5C9EB"/>
          </w:tcPr>
          <w:p w14:paraId="10BEB6CC"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Guadalajara</w:t>
            </w:r>
          </w:p>
        </w:tc>
        <w:tc>
          <w:tcPr>
            <w:tcW w:w="1418" w:type="dxa"/>
            <w:shd w:val="clear" w:color="auto" w:fill="A5C9EB"/>
          </w:tcPr>
          <w:p w14:paraId="7F775ABD"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2.116 €</w:t>
            </w:r>
          </w:p>
        </w:tc>
        <w:tc>
          <w:tcPr>
            <w:tcW w:w="1559" w:type="dxa"/>
            <w:shd w:val="clear" w:color="auto" w:fill="A5C9EB"/>
          </w:tcPr>
          <w:p w14:paraId="20E1126D"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1.676 €</w:t>
            </w:r>
          </w:p>
        </w:tc>
        <w:tc>
          <w:tcPr>
            <w:tcW w:w="1417" w:type="dxa"/>
            <w:shd w:val="clear" w:color="auto" w:fill="A5C9EB"/>
          </w:tcPr>
          <w:p w14:paraId="758CAC8C"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9C0006"/>
                <w:sz w:val="18"/>
                <w:szCs w:val="18"/>
              </w:rPr>
              <w:t>-20,8%</w:t>
            </w:r>
          </w:p>
        </w:tc>
        <w:tc>
          <w:tcPr>
            <w:tcW w:w="1418" w:type="dxa"/>
            <w:shd w:val="clear" w:color="auto" w:fill="A5C9EB"/>
          </w:tcPr>
          <w:p w14:paraId="30C4659B"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11,7%</w:t>
            </w:r>
          </w:p>
        </w:tc>
      </w:tr>
      <w:tr w:rsidR="00677AE1" w14:paraId="339EB59F"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72DC37A7"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Castilla-La Mancha</w:t>
            </w:r>
          </w:p>
        </w:tc>
        <w:tc>
          <w:tcPr>
            <w:tcW w:w="1417" w:type="dxa"/>
            <w:shd w:val="clear" w:color="auto" w:fill="DAE9F7"/>
          </w:tcPr>
          <w:p w14:paraId="054FE39A"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Toledo</w:t>
            </w:r>
          </w:p>
        </w:tc>
        <w:tc>
          <w:tcPr>
            <w:tcW w:w="1418" w:type="dxa"/>
            <w:shd w:val="clear" w:color="auto" w:fill="DAE9F7"/>
          </w:tcPr>
          <w:p w14:paraId="64DB4E01"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1.715 €</w:t>
            </w:r>
          </w:p>
        </w:tc>
        <w:tc>
          <w:tcPr>
            <w:tcW w:w="1559" w:type="dxa"/>
            <w:shd w:val="clear" w:color="auto" w:fill="DAE9F7"/>
          </w:tcPr>
          <w:p w14:paraId="4C4C6C02"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1.142 €</w:t>
            </w:r>
          </w:p>
        </w:tc>
        <w:tc>
          <w:tcPr>
            <w:tcW w:w="1417" w:type="dxa"/>
            <w:shd w:val="clear" w:color="auto" w:fill="DAE9F7"/>
          </w:tcPr>
          <w:p w14:paraId="2AD854EE"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9C0006"/>
                <w:sz w:val="18"/>
                <w:szCs w:val="18"/>
              </w:rPr>
              <w:t>-33,4%</w:t>
            </w:r>
          </w:p>
        </w:tc>
        <w:tc>
          <w:tcPr>
            <w:tcW w:w="1418" w:type="dxa"/>
            <w:shd w:val="clear" w:color="auto" w:fill="DAE9F7"/>
          </w:tcPr>
          <w:p w14:paraId="483EFDE2"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9,2%</w:t>
            </w:r>
          </w:p>
        </w:tc>
      </w:tr>
      <w:tr w:rsidR="00677AE1" w14:paraId="0809EEB2"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6AAA6B87"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Cataluña</w:t>
            </w:r>
          </w:p>
        </w:tc>
        <w:tc>
          <w:tcPr>
            <w:tcW w:w="1417" w:type="dxa"/>
            <w:shd w:val="clear" w:color="auto" w:fill="A5C9EB"/>
          </w:tcPr>
          <w:p w14:paraId="26EC00EC"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Barcelona</w:t>
            </w:r>
          </w:p>
        </w:tc>
        <w:tc>
          <w:tcPr>
            <w:tcW w:w="1418" w:type="dxa"/>
            <w:shd w:val="clear" w:color="auto" w:fill="A5C9EB"/>
          </w:tcPr>
          <w:p w14:paraId="46EC2045"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3.311 €</w:t>
            </w:r>
          </w:p>
        </w:tc>
        <w:tc>
          <w:tcPr>
            <w:tcW w:w="1559" w:type="dxa"/>
            <w:shd w:val="clear" w:color="auto" w:fill="A5C9EB"/>
          </w:tcPr>
          <w:p w14:paraId="6B9EDC4B"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3.161 €</w:t>
            </w:r>
          </w:p>
        </w:tc>
        <w:tc>
          <w:tcPr>
            <w:tcW w:w="1417" w:type="dxa"/>
            <w:shd w:val="clear" w:color="auto" w:fill="A5C9EB"/>
          </w:tcPr>
          <w:p w14:paraId="4876124C"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9C0006"/>
                <w:sz w:val="18"/>
                <w:szCs w:val="18"/>
              </w:rPr>
              <w:t>-4,5%</w:t>
            </w:r>
          </w:p>
        </w:tc>
        <w:tc>
          <w:tcPr>
            <w:tcW w:w="1418" w:type="dxa"/>
            <w:shd w:val="clear" w:color="auto" w:fill="A5C9EB"/>
          </w:tcPr>
          <w:p w14:paraId="74A8BA8F"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3,3%</w:t>
            </w:r>
          </w:p>
        </w:tc>
      </w:tr>
      <w:tr w:rsidR="00677AE1" w14:paraId="6DB5D54F"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0016E820"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Cataluña</w:t>
            </w:r>
          </w:p>
        </w:tc>
        <w:tc>
          <w:tcPr>
            <w:tcW w:w="1417" w:type="dxa"/>
            <w:shd w:val="clear" w:color="auto" w:fill="DAE9F7"/>
          </w:tcPr>
          <w:p w14:paraId="09D3D5B7"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Girona</w:t>
            </w:r>
          </w:p>
        </w:tc>
        <w:tc>
          <w:tcPr>
            <w:tcW w:w="1418" w:type="dxa"/>
            <w:shd w:val="clear" w:color="auto" w:fill="DAE9F7"/>
          </w:tcPr>
          <w:p w14:paraId="1EBA88E7"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2.315 €</w:t>
            </w:r>
          </w:p>
        </w:tc>
        <w:tc>
          <w:tcPr>
            <w:tcW w:w="1559" w:type="dxa"/>
            <w:shd w:val="clear" w:color="auto" w:fill="DAE9F7"/>
          </w:tcPr>
          <w:p w14:paraId="7522C89F"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2.733 €</w:t>
            </w:r>
          </w:p>
        </w:tc>
        <w:tc>
          <w:tcPr>
            <w:tcW w:w="1417" w:type="dxa"/>
            <w:shd w:val="clear" w:color="auto" w:fill="DAE9F7"/>
          </w:tcPr>
          <w:p w14:paraId="5277670F"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18,1%</w:t>
            </w:r>
          </w:p>
        </w:tc>
        <w:tc>
          <w:tcPr>
            <w:tcW w:w="1418" w:type="dxa"/>
            <w:shd w:val="clear" w:color="auto" w:fill="DAE9F7"/>
          </w:tcPr>
          <w:p w14:paraId="49B9887C"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8,7%</w:t>
            </w:r>
          </w:p>
        </w:tc>
      </w:tr>
      <w:tr w:rsidR="00677AE1" w14:paraId="6DB5161E"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73C536DA"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Cataluña</w:t>
            </w:r>
          </w:p>
        </w:tc>
        <w:tc>
          <w:tcPr>
            <w:tcW w:w="1417" w:type="dxa"/>
            <w:shd w:val="clear" w:color="auto" w:fill="A5C9EB"/>
          </w:tcPr>
          <w:p w14:paraId="6FD62C79"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Lleida</w:t>
            </w:r>
          </w:p>
        </w:tc>
        <w:tc>
          <w:tcPr>
            <w:tcW w:w="1418" w:type="dxa"/>
            <w:shd w:val="clear" w:color="auto" w:fill="A5C9EB"/>
          </w:tcPr>
          <w:p w14:paraId="067511BA"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1.729 €</w:t>
            </w:r>
          </w:p>
        </w:tc>
        <w:tc>
          <w:tcPr>
            <w:tcW w:w="1559" w:type="dxa"/>
            <w:shd w:val="clear" w:color="auto" w:fill="A5C9EB"/>
          </w:tcPr>
          <w:p w14:paraId="5435B21C"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1.472 €</w:t>
            </w:r>
          </w:p>
        </w:tc>
        <w:tc>
          <w:tcPr>
            <w:tcW w:w="1417" w:type="dxa"/>
            <w:shd w:val="clear" w:color="auto" w:fill="A5C9EB"/>
          </w:tcPr>
          <w:p w14:paraId="2AFEB616"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9C0006"/>
                <w:sz w:val="18"/>
                <w:szCs w:val="18"/>
              </w:rPr>
              <w:t>-14,9%</w:t>
            </w:r>
          </w:p>
        </w:tc>
        <w:tc>
          <w:tcPr>
            <w:tcW w:w="1418" w:type="dxa"/>
            <w:shd w:val="clear" w:color="auto" w:fill="A5C9EB"/>
          </w:tcPr>
          <w:p w14:paraId="089C42A3"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10,9%</w:t>
            </w:r>
          </w:p>
        </w:tc>
      </w:tr>
      <w:tr w:rsidR="00677AE1" w14:paraId="4278756A"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571E71DC"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Cataluña</w:t>
            </w:r>
          </w:p>
        </w:tc>
        <w:tc>
          <w:tcPr>
            <w:tcW w:w="1417" w:type="dxa"/>
            <w:shd w:val="clear" w:color="auto" w:fill="DAE9F7"/>
          </w:tcPr>
          <w:p w14:paraId="4602F397"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Tarragona</w:t>
            </w:r>
          </w:p>
        </w:tc>
        <w:tc>
          <w:tcPr>
            <w:tcW w:w="1418" w:type="dxa"/>
            <w:shd w:val="clear" w:color="auto" w:fill="DAE9F7"/>
          </w:tcPr>
          <w:p w14:paraId="7A47CC8E"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2.051 €</w:t>
            </w:r>
          </w:p>
        </w:tc>
        <w:tc>
          <w:tcPr>
            <w:tcW w:w="1559" w:type="dxa"/>
            <w:shd w:val="clear" w:color="auto" w:fill="DAE9F7"/>
          </w:tcPr>
          <w:p w14:paraId="2F7F6896"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1.896 €</w:t>
            </w:r>
          </w:p>
        </w:tc>
        <w:tc>
          <w:tcPr>
            <w:tcW w:w="1417" w:type="dxa"/>
            <w:shd w:val="clear" w:color="auto" w:fill="DAE9F7"/>
          </w:tcPr>
          <w:p w14:paraId="45DC05DA"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9C0006"/>
                <w:sz w:val="18"/>
                <w:szCs w:val="18"/>
              </w:rPr>
              <w:t>-7,5%</w:t>
            </w:r>
          </w:p>
        </w:tc>
        <w:tc>
          <w:tcPr>
            <w:tcW w:w="1418" w:type="dxa"/>
            <w:shd w:val="clear" w:color="auto" w:fill="DAE9F7"/>
          </w:tcPr>
          <w:p w14:paraId="24D9615A"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3,2%</w:t>
            </w:r>
          </w:p>
        </w:tc>
      </w:tr>
      <w:tr w:rsidR="00677AE1" w14:paraId="5A3E038E"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223D346F"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Comunitat Valenciana</w:t>
            </w:r>
          </w:p>
        </w:tc>
        <w:tc>
          <w:tcPr>
            <w:tcW w:w="1417" w:type="dxa"/>
            <w:shd w:val="clear" w:color="auto" w:fill="A5C9EB"/>
          </w:tcPr>
          <w:p w14:paraId="21114065"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Alicante</w:t>
            </w:r>
          </w:p>
        </w:tc>
        <w:tc>
          <w:tcPr>
            <w:tcW w:w="1418" w:type="dxa"/>
            <w:shd w:val="clear" w:color="auto" w:fill="A5C9EB"/>
          </w:tcPr>
          <w:p w14:paraId="2DE033C4"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1.832 €</w:t>
            </w:r>
          </w:p>
        </w:tc>
        <w:tc>
          <w:tcPr>
            <w:tcW w:w="1559" w:type="dxa"/>
            <w:shd w:val="clear" w:color="auto" w:fill="A5C9EB"/>
          </w:tcPr>
          <w:p w14:paraId="0D2EAE36"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2.466 €</w:t>
            </w:r>
          </w:p>
        </w:tc>
        <w:tc>
          <w:tcPr>
            <w:tcW w:w="1417" w:type="dxa"/>
            <w:shd w:val="clear" w:color="auto" w:fill="A5C9EB"/>
          </w:tcPr>
          <w:p w14:paraId="52DE1672"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34,6%</w:t>
            </w:r>
          </w:p>
        </w:tc>
        <w:tc>
          <w:tcPr>
            <w:tcW w:w="1418" w:type="dxa"/>
            <w:shd w:val="clear" w:color="auto" w:fill="A5C9EB"/>
          </w:tcPr>
          <w:p w14:paraId="2D100289"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21,1%</w:t>
            </w:r>
          </w:p>
        </w:tc>
      </w:tr>
      <w:tr w:rsidR="00677AE1" w14:paraId="16E5C0E4"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181B4ADC"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Comunitat Valenciana</w:t>
            </w:r>
          </w:p>
        </w:tc>
        <w:tc>
          <w:tcPr>
            <w:tcW w:w="1417" w:type="dxa"/>
            <w:shd w:val="clear" w:color="auto" w:fill="DAE9F7"/>
          </w:tcPr>
          <w:p w14:paraId="6A139F74"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Castellón</w:t>
            </w:r>
          </w:p>
        </w:tc>
        <w:tc>
          <w:tcPr>
            <w:tcW w:w="1418" w:type="dxa"/>
            <w:shd w:val="clear" w:color="auto" w:fill="DAE9F7"/>
          </w:tcPr>
          <w:p w14:paraId="0DD91490"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1.728 €</w:t>
            </w:r>
          </w:p>
        </w:tc>
        <w:tc>
          <w:tcPr>
            <w:tcW w:w="1559" w:type="dxa"/>
            <w:shd w:val="clear" w:color="auto" w:fill="DAE9F7"/>
          </w:tcPr>
          <w:p w14:paraId="5BF68F9C"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1.468 €</w:t>
            </w:r>
          </w:p>
        </w:tc>
        <w:tc>
          <w:tcPr>
            <w:tcW w:w="1417" w:type="dxa"/>
            <w:shd w:val="clear" w:color="auto" w:fill="DAE9F7"/>
          </w:tcPr>
          <w:p w14:paraId="1CF02F76"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9C0006"/>
                <w:sz w:val="18"/>
                <w:szCs w:val="18"/>
              </w:rPr>
              <w:t>-15,0%</w:t>
            </w:r>
          </w:p>
        </w:tc>
        <w:tc>
          <w:tcPr>
            <w:tcW w:w="1418" w:type="dxa"/>
            <w:shd w:val="clear" w:color="auto" w:fill="DAE9F7"/>
          </w:tcPr>
          <w:p w14:paraId="455988E6"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15,2%</w:t>
            </w:r>
          </w:p>
        </w:tc>
      </w:tr>
      <w:tr w:rsidR="00677AE1" w14:paraId="509E1A00"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07259C6F"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Comunitat Valenciana</w:t>
            </w:r>
          </w:p>
        </w:tc>
        <w:tc>
          <w:tcPr>
            <w:tcW w:w="1417" w:type="dxa"/>
            <w:shd w:val="clear" w:color="auto" w:fill="A5C9EB"/>
          </w:tcPr>
          <w:p w14:paraId="48EF0B3E"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Valencia</w:t>
            </w:r>
          </w:p>
        </w:tc>
        <w:tc>
          <w:tcPr>
            <w:tcW w:w="1418" w:type="dxa"/>
            <w:shd w:val="clear" w:color="auto" w:fill="A5C9EB"/>
          </w:tcPr>
          <w:p w14:paraId="158F16DA"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1.879 €</w:t>
            </w:r>
          </w:p>
        </w:tc>
        <w:tc>
          <w:tcPr>
            <w:tcW w:w="1559" w:type="dxa"/>
            <w:shd w:val="clear" w:color="auto" w:fill="A5C9EB"/>
          </w:tcPr>
          <w:p w14:paraId="2D6C6E0E"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1.902 €</w:t>
            </w:r>
          </w:p>
        </w:tc>
        <w:tc>
          <w:tcPr>
            <w:tcW w:w="1417" w:type="dxa"/>
            <w:shd w:val="clear" w:color="auto" w:fill="A5C9EB"/>
          </w:tcPr>
          <w:p w14:paraId="33C6E627"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1,3%</w:t>
            </w:r>
          </w:p>
        </w:tc>
        <w:tc>
          <w:tcPr>
            <w:tcW w:w="1418" w:type="dxa"/>
            <w:shd w:val="clear" w:color="auto" w:fill="A5C9EB"/>
          </w:tcPr>
          <w:p w14:paraId="7078428D"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16,9%</w:t>
            </w:r>
          </w:p>
        </w:tc>
      </w:tr>
      <w:tr w:rsidR="00677AE1" w14:paraId="5AB81AAD"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5C5858BA"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Extremadura</w:t>
            </w:r>
          </w:p>
        </w:tc>
        <w:tc>
          <w:tcPr>
            <w:tcW w:w="1417" w:type="dxa"/>
            <w:shd w:val="clear" w:color="auto" w:fill="DAE9F7"/>
          </w:tcPr>
          <w:p w14:paraId="4450B289"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Badajoz</w:t>
            </w:r>
          </w:p>
        </w:tc>
        <w:tc>
          <w:tcPr>
            <w:tcW w:w="1418" w:type="dxa"/>
            <w:shd w:val="clear" w:color="auto" w:fill="DAE9F7"/>
          </w:tcPr>
          <w:p w14:paraId="66DDF8E0"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1.459 €</w:t>
            </w:r>
          </w:p>
        </w:tc>
        <w:tc>
          <w:tcPr>
            <w:tcW w:w="1559" w:type="dxa"/>
            <w:shd w:val="clear" w:color="auto" w:fill="DAE9F7"/>
          </w:tcPr>
          <w:p w14:paraId="6CA191AC"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1.219 €</w:t>
            </w:r>
          </w:p>
        </w:tc>
        <w:tc>
          <w:tcPr>
            <w:tcW w:w="1417" w:type="dxa"/>
            <w:shd w:val="clear" w:color="auto" w:fill="DAE9F7"/>
          </w:tcPr>
          <w:p w14:paraId="0D5E6DB2"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9C0006"/>
                <w:sz w:val="18"/>
                <w:szCs w:val="18"/>
              </w:rPr>
              <w:t>-16,4%</w:t>
            </w:r>
          </w:p>
        </w:tc>
        <w:tc>
          <w:tcPr>
            <w:tcW w:w="1418" w:type="dxa"/>
            <w:shd w:val="clear" w:color="auto" w:fill="DAE9F7"/>
          </w:tcPr>
          <w:p w14:paraId="7AA30307"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3,6%</w:t>
            </w:r>
          </w:p>
        </w:tc>
      </w:tr>
      <w:tr w:rsidR="00677AE1" w14:paraId="1056B190"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63E457DB"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Extremadura</w:t>
            </w:r>
          </w:p>
        </w:tc>
        <w:tc>
          <w:tcPr>
            <w:tcW w:w="1417" w:type="dxa"/>
            <w:shd w:val="clear" w:color="auto" w:fill="A5C9EB"/>
          </w:tcPr>
          <w:p w14:paraId="4A0B53CF"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Cáceres</w:t>
            </w:r>
          </w:p>
        </w:tc>
        <w:tc>
          <w:tcPr>
            <w:tcW w:w="1418" w:type="dxa"/>
            <w:shd w:val="clear" w:color="auto" w:fill="A5C9EB"/>
          </w:tcPr>
          <w:p w14:paraId="2F9B1194"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559" w:type="dxa"/>
            <w:shd w:val="clear" w:color="auto" w:fill="A5C9EB"/>
          </w:tcPr>
          <w:p w14:paraId="6AFE2B63"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1.242 €</w:t>
            </w:r>
          </w:p>
        </w:tc>
        <w:tc>
          <w:tcPr>
            <w:tcW w:w="1417" w:type="dxa"/>
            <w:shd w:val="clear" w:color="auto" w:fill="A5C9EB"/>
          </w:tcPr>
          <w:p w14:paraId="33D35FE3"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A5C9EB"/>
          </w:tcPr>
          <w:p w14:paraId="4F126919"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1,9%</w:t>
            </w:r>
          </w:p>
        </w:tc>
      </w:tr>
      <w:tr w:rsidR="00677AE1" w14:paraId="59E13165"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68E68DBE"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lastRenderedPageBreak/>
              <w:t>Galicia</w:t>
            </w:r>
          </w:p>
        </w:tc>
        <w:tc>
          <w:tcPr>
            <w:tcW w:w="1417" w:type="dxa"/>
            <w:shd w:val="clear" w:color="auto" w:fill="DAE9F7"/>
          </w:tcPr>
          <w:p w14:paraId="6FD8A735"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A Coruña</w:t>
            </w:r>
          </w:p>
        </w:tc>
        <w:tc>
          <w:tcPr>
            <w:tcW w:w="1418" w:type="dxa"/>
            <w:shd w:val="clear" w:color="auto" w:fill="DAE9F7"/>
          </w:tcPr>
          <w:p w14:paraId="65939FC0"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1.729 €</w:t>
            </w:r>
          </w:p>
        </w:tc>
        <w:tc>
          <w:tcPr>
            <w:tcW w:w="1559" w:type="dxa"/>
            <w:shd w:val="clear" w:color="auto" w:fill="DAE9F7"/>
          </w:tcPr>
          <w:p w14:paraId="6B64808F"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1.791 €</w:t>
            </w:r>
          </w:p>
        </w:tc>
        <w:tc>
          <w:tcPr>
            <w:tcW w:w="1417" w:type="dxa"/>
            <w:shd w:val="clear" w:color="auto" w:fill="DAE9F7"/>
          </w:tcPr>
          <w:p w14:paraId="09A4D8CD"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3,6%</w:t>
            </w:r>
          </w:p>
        </w:tc>
        <w:tc>
          <w:tcPr>
            <w:tcW w:w="1418" w:type="dxa"/>
            <w:shd w:val="clear" w:color="auto" w:fill="DAE9F7"/>
          </w:tcPr>
          <w:p w14:paraId="141DE4DA"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7,9%</w:t>
            </w:r>
          </w:p>
        </w:tc>
      </w:tr>
      <w:tr w:rsidR="00677AE1" w14:paraId="5C72EA41"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2F30E45B"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Galicia</w:t>
            </w:r>
          </w:p>
        </w:tc>
        <w:tc>
          <w:tcPr>
            <w:tcW w:w="1417" w:type="dxa"/>
            <w:shd w:val="clear" w:color="auto" w:fill="A5C9EB"/>
          </w:tcPr>
          <w:p w14:paraId="01B549C9"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Lugo</w:t>
            </w:r>
          </w:p>
        </w:tc>
        <w:tc>
          <w:tcPr>
            <w:tcW w:w="1418" w:type="dxa"/>
            <w:shd w:val="clear" w:color="auto" w:fill="A5C9EB"/>
          </w:tcPr>
          <w:p w14:paraId="22DC4584"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559" w:type="dxa"/>
            <w:shd w:val="clear" w:color="auto" w:fill="A5C9EB"/>
          </w:tcPr>
          <w:p w14:paraId="776393D9"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1.420 €</w:t>
            </w:r>
          </w:p>
        </w:tc>
        <w:tc>
          <w:tcPr>
            <w:tcW w:w="1417" w:type="dxa"/>
            <w:shd w:val="clear" w:color="auto" w:fill="A5C9EB"/>
          </w:tcPr>
          <w:p w14:paraId="422BD3D5"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A5C9EB"/>
          </w:tcPr>
          <w:p w14:paraId="266A70B7"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14,4%</w:t>
            </w:r>
          </w:p>
        </w:tc>
      </w:tr>
      <w:tr w:rsidR="00677AE1" w14:paraId="7F85EF82"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3F91AE48"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Galicia</w:t>
            </w:r>
          </w:p>
        </w:tc>
        <w:tc>
          <w:tcPr>
            <w:tcW w:w="1417" w:type="dxa"/>
            <w:shd w:val="clear" w:color="auto" w:fill="DAE9F7"/>
          </w:tcPr>
          <w:p w14:paraId="52D7E4DC"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Ourense</w:t>
            </w:r>
          </w:p>
        </w:tc>
        <w:tc>
          <w:tcPr>
            <w:tcW w:w="1418" w:type="dxa"/>
            <w:shd w:val="clear" w:color="auto" w:fill="DAE9F7"/>
          </w:tcPr>
          <w:p w14:paraId="3F73AA8F"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559" w:type="dxa"/>
            <w:shd w:val="clear" w:color="auto" w:fill="DAE9F7"/>
          </w:tcPr>
          <w:p w14:paraId="5362F33C"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1.503 €</w:t>
            </w:r>
          </w:p>
        </w:tc>
        <w:tc>
          <w:tcPr>
            <w:tcW w:w="1417" w:type="dxa"/>
            <w:shd w:val="clear" w:color="auto" w:fill="DAE9F7"/>
          </w:tcPr>
          <w:p w14:paraId="161A22FC"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DAE9F7"/>
          </w:tcPr>
          <w:p w14:paraId="03BCDD64"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3,8%</w:t>
            </w:r>
          </w:p>
        </w:tc>
      </w:tr>
      <w:tr w:rsidR="00677AE1" w14:paraId="41E9EBA7"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5042588B"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Galicia</w:t>
            </w:r>
          </w:p>
        </w:tc>
        <w:tc>
          <w:tcPr>
            <w:tcW w:w="1417" w:type="dxa"/>
            <w:shd w:val="clear" w:color="auto" w:fill="A5C9EB"/>
          </w:tcPr>
          <w:p w14:paraId="1C4BB253"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Pontevedra</w:t>
            </w:r>
          </w:p>
        </w:tc>
        <w:tc>
          <w:tcPr>
            <w:tcW w:w="1418" w:type="dxa"/>
            <w:shd w:val="clear" w:color="auto" w:fill="A5C9EB"/>
          </w:tcPr>
          <w:p w14:paraId="1F04EE39"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559" w:type="dxa"/>
            <w:shd w:val="clear" w:color="auto" w:fill="A5C9EB"/>
          </w:tcPr>
          <w:p w14:paraId="1B33D2E8"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2.362 €</w:t>
            </w:r>
          </w:p>
        </w:tc>
        <w:tc>
          <w:tcPr>
            <w:tcW w:w="1417" w:type="dxa"/>
            <w:shd w:val="clear" w:color="auto" w:fill="A5C9EB"/>
          </w:tcPr>
          <w:p w14:paraId="2E2ECBB9"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A5C9EB"/>
          </w:tcPr>
          <w:p w14:paraId="544A4FF2"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14,6%</w:t>
            </w:r>
          </w:p>
        </w:tc>
      </w:tr>
      <w:tr w:rsidR="00677AE1" w14:paraId="76055BA1"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46023F5B"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La Rioja</w:t>
            </w:r>
          </w:p>
        </w:tc>
        <w:tc>
          <w:tcPr>
            <w:tcW w:w="1417" w:type="dxa"/>
            <w:shd w:val="clear" w:color="auto" w:fill="DAE9F7"/>
          </w:tcPr>
          <w:p w14:paraId="5F457028"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La Rioja</w:t>
            </w:r>
          </w:p>
        </w:tc>
        <w:tc>
          <w:tcPr>
            <w:tcW w:w="1418" w:type="dxa"/>
            <w:shd w:val="clear" w:color="auto" w:fill="DAE9F7"/>
          </w:tcPr>
          <w:p w14:paraId="05EC902B"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559" w:type="dxa"/>
            <w:shd w:val="clear" w:color="auto" w:fill="DAE9F7"/>
          </w:tcPr>
          <w:p w14:paraId="5F6368BB"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1.677 €</w:t>
            </w:r>
          </w:p>
        </w:tc>
        <w:tc>
          <w:tcPr>
            <w:tcW w:w="1417" w:type="dxa"/>
            <w:shd w:val="clear" w:color="auto" w:fill="DAE9F7"/>
          </w:tcPr>
          <w:p w14:paraId="03B5C719"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DAE9F7"/>
          </w:tcPr>
          <w:p w14:paraId="6FA3B28A"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9C0006"/>
                <w:sz w:val="18"/>
                <w:szCs w:val="18"/>
              </w:rPr>
              <w:t>-1,1%</w:t>
            </w:r>
          </w:p>
        </w:tc>
      </w:tr>
      <w:tr w:rsidR="00677AE1" w14:paraId="506E1249"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4699274C"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Madrid</w:t>
            </w:r>
          </w:p>
        </w:tc>
        <w:tc>
          <w:tcPr>
            <w:tcW w:w="1417" w:type="dxa"/>
            <w:shd w:val="clear" w:color="auto" w:fill="A5C9EB"/>
          </w:tcPr>
          <w:p w14:paraId="7C857987"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Madrid</w:t>
            </w:r>
          </w:p>
        </w:tc>
        <w:tc>
          <w:tcPr>
            <w:tcW w:w="1418" w:type="dxa"/>
            <w:shd w:val="clear" w:color="auto" w:fill="A5C9EB"/>
          </w:tcPr>
          <w:p w14:paraId="279437F7"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3.549 €</w:t>
            </w:r>
          </w:p>
        </w:tc>
        <w:tc>
          <w:tcPr>
            <w:tcW w:w="1559" w:type="dxa"/>
            <w:shd w:val="clear" w:color="auto" w:fill="A5C9EB"/>
          </w:tcPr>
          <w:p w14:paraId="7C33C562"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4.369 €</w:t>
            </w:r>
          </w:p>
        </w:tc>
        <w:tc>
          <w:tcPr>
            <w:tcW w:w="1417" w:type="dxa"/>
            <w:shd w:val="clear" w:color="auto" w:fill="A5C9EB"/>
          </w:tcPr>
          <w:p w14:paraId="69284BD1"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23,1%</w:t>
            </w:r>
          </w:p>
        </w:tc>
        <w:tc>
          <w:tcPr>
            <w:tcW w:w="1418" w:type="dxa"/>
            <w:shd w:val="clear" w:color="auto" w:fill="A5C9EB"/>
          </w:tcPr>
          <w:p w14:paraId="49F17DA5"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13,4%</w:t>
            </w:r>
          </w:p>
        </w:tc>
      </w:tr>
      <w:tr w:rsidR="00677AE1" w14:paraId="768A7EBD"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29C05137"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Navarra</w:t>
            </w:r>
          </w:p>
        </w:tc>
        <w:tc>
          <w:tcPr>
            <w:tcW w:w="1417" w:type="dxa"/>
            <w:shd w:val="clear" w:color="auto" w:fill="DAE9F7"/>
          </w:tcPr>
          <w:p w14:paraId="51F86486"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Navarra</w:t>
            </w:r>
          </w:p>
        </w:tc>
        <w:tc>
          <w:tcPr>
            <w:tcW w:w="1418" w:type="dxa"/>
            <w:shd w:val="clear" w:color="auto" w:fill="DAE9F7"/>
          </w:tcPr>
          <w:p w14:paraId="413555B3"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559" w:type="dxa"/>
            <w:shd w:val="clear" w:color="auto" w:fill="DAE9F7"/>
          </w:tcPr>
          <w:p w14:paraId="362598E2"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2.065 €</w:t>
            </w:r>
          </w:p>
        </w:tc>
        <w:tc>
          <w:tcPr>
            <w:tcW w:w="1417" w:type="dxa"/>
            <w:shd w:val="clear" w:color="auto" w:fill="DAE9F7"/>
          </w:tcPr>
          <w:p w14:paraId="5B66DC4F"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18"/>
                <w:szCs w:val="18"/>
              </w:rPr>
            </w:pPr>
            <w:r>
              <w:rPr>
                <w:rFonts w:ascii="Open Sans" w:eastAsia="Open Sans" w:hAnsi="Open Sans" w:cs="Open Sans"/>
                <w:sz w:val="18"/>
                <w:szCs w:val="18"/>
              </w:rPr>
              <w:t>-</w:t>
            </w:r>
          </w:p>
        </w:tc>
        <w:tc>
          <w:tcPr>
            <w:tcW w:w="1418" w:type="dxa"/>
            <w:shd w:val="clear" w:color="auto" w:fill="DAE9F7"/>
          </w:tcPr>
          <w:p w14:paraId="141EA41C"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18"/>
                <w:szCs w:val="18"/>
              </w:rPr>
            </w:pPr>
            <w:r>
              <w:rPr>
                <w:rFonts w:ascii="Open Sans" w:eastAsia="Open Sans" w:hAnsi="Open Sans" w:cs="Open Sans"/>
                <w:color w:val="000000"/>
                <w:sz w:val="18"/>
                <w:szCs w:val="18"/>
              </w:rPr>
              <w:t>0,7%</w:t>
            </w:r>
          </w:p>
        </w:tc>
      </w:tr>
      <w:tr w:rsidR="00677AE1" w14:paraId="3F657703"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3A2D1E2F"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País Vasco</w:t>
            </w:r>
          </w:p>
        </w:tc>
        <w:tc>
          <w:tcPr>
            <w:tcW w:w="1417" w:type="dxa"/>
            <w:shd w:val="clear" w:color="auto" w:fill="A5C9EB"/>
          </w:tcPr>
          <w:p w14:paraId="6FEBBEEC"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Araba - Álava</w:t>
            </w:r>
          </w:p>
        </w:tc>
        <w:tc>
          <w:tcPr>
            <w:tcW w:w="1418" w:type="dxa"/>
            <w:shd w:val="clear" w:color="auto" w:fill="A5C9EB"/>
          </w:tcPr>
          <w:p w14:paraId="4208595F"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559" w:type="dxa"/>
            <w:shd w:val="clear" w:color="auto" w:fill="A5C9EB"/>
          </w:tcPr>
          <w:p w14:paraId="5559723E"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2.698 €</w:t>
            </w:r>
          </w:p>
        </w:tc>
        <w:tc>
          <w:tcPr>
            <w:tcW w:w="1417" w:type="dxa"/>
            <w:shd w:val="clear" w:color="auto" w:fill="A5C9EB"/>
          </w:tcPr>
          <w:p w14:paraId="6380A178"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18"/>
                <w:szCs w:val="18"/>
              </w:rPr>
            </w:pPr>
            <w:r>
              <w:rPr>
                <w:rFonts w:ascii="Open Sans" w:eastAsia="Open Sans" w:hAnsi="Open Sans" w:cs="Open Sans"/>
                <w:sz w:val="18"/>
                <w:szCs w:val="18"/>
              </w:rPr>
              <w:t>-</w:t>
            </w:r>
          </w:p>
        </w:tc>
        <w:tc>
          <w:tcPr>
            <w:tcW w:w="1418" w:type="dxa"/>
            <w:shd w:val="clear" w:color="auto" w:fill="A5C9EB"/>
          </w:tcPr>
          <w:p w14:paraId="58BF567A"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18"/>
                <w:szCs w:val="18"/>
              </w:rPr>
            </w:pPr>
            <w:r>
              <w:rPr>
                <w:rFonts w:ascii="Open Sans" w:eastAsia="Open Sans" w:hAnsi="Open Sans" w:cs="Open Sans"/>
                <w:color w:val="000000"/>
                <w:sz w:val="18"/>
                <w:szCs w:val="18"/>
              </w:rPr>
              <w:t>2,5%</w:t>
            </w:r>
          </w:p>
        </w:tc>
      </w:tr>
      <w:tr w:rsidR="00677AE1" w14:paraId="691AD44F"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32938F20"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País Vasco</w:t>
            </w:r>
          </w:p>
        </w:tc>
        <w:tc>
          <w:tcPr>
            <w:tcW w:w="1417" w:type="dxa"/>
            <w:shd w:val="clear" w:color="auto" w:fill="DAE9F7"/>
          </w:tcPr>
          <w:p w14:paraId="61E67AB7"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Bizkaia</w:t>
            </w:r>
          </w:p>
        </w:tc>
        <w:tc>
          <w:tcPr>
            <w:tcW w:w="1418" w:type="dxa"/>
            <w:shd w:val="clear" w:color="auto" w:fill="DAE9F7"/>
          </w:tcPr>
          <w:p w14:paraId="61FEB23E"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3.505 €</w:t>
            </w:r>
          </w:p>
        </w:tc>
        <w:tc>
          <w:tcPr>
            <w:tcW w:w="1559" w:type="dxa"/>
            <w:shd w:val="clear" w:color="auto" w:fill="DAE9F7"/>
          </w:tcPr>
          <w:p w14:paraId="0308E6B8"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3.190 €</w:t>
            </w:r>
          </w:p>
        </w:tc>
        <w:tc>
          <w:tcPr>
            <w:tcW w:w="1417" w:type="dxa"/>
            <w:shd w:val="clear" w:color="auto" w:fill="DAE9F7"/>
          </w:tcPr>
          <w:p w14:paraId="0787CD6E"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18"/>
                <w:szCs w:val="18"/>
              </w:rPr>
            </w:pPr>
            <w:r>
              <w:rPr>
                <w:rFonts w:ascii="Open Sans" w:eastAsia="Open Sans" w:hAnsi="Open Sans" w:cs="Open Sans"/>
                <w:color w:val="9C0006"/>
                <w:sz w:val="18"/>
                <w:szCs w:val="18"/>
              </w:rPr>
              <w:t>-9,0%</w:t>
            </w:r>
          </w:p>
        </w:tc>
        <w:tc>
          <w:tcPr>
            <w:tcW w:w="1418" w:type="dxa"/>
            <w:shd w:val="clear" w:color="auto" w:fill="DAE9F7"/>
          </w:tcPr>
          <w:p w14:paraId="7FE0AB5C"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18"/>
                <w:szCs w:val="18"/>
              </w:rPr>
            </w:pPr>
            <w:r>
              <w:rPr>
                <w:rFonts w:ascii="Open Sans" w:eastAsia="Open Sans" w:hAnsi="Open Sans" w:cs="Open Sans"/>
                <w:color w:val="000000"/>
                <w:sz w:val="18"/>
                <w:szCs w:val="18"/>
              </w:rPr>
              <w:t>6,0%</w:t>
            </w:r>
          </w:p>
        </w:tc>
      </w:tr>
      <w:tr w:rsidR="00677AE1" w14:paraId="4FF65701"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454FBAFB"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País Vasco</w:t>
            </w:r>
          </w:p>
        </w:tc>
        <w:tc>
          <w:tcPr>
            <w:tcW w:w="1417" w:type="dxa"/>
            <w:shd w:val="clear" w:color="auto" w:fill="A5C9EB"/>
          </w:tcPr>
          <w:p w14:paraId="1EC518AF"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Gipuzkoa</w:t>
            </w:r>
          </w:p>
        </w:tc>
        <w:tc>
          <w:tcPr>
            <w:tcW w:w="1418" w:type="dxa"/>
            <w:shd w:val="clear" w:color="auto" w:fill="A5C9EB"/>
          </w:tcPr>
          <w:p w14:paraId="0A50C1D3"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559" w:type="dxa"/>
            <w:shd w:val="clear" w:color="auto" w:fill="A5C9EB"/>
          </w:tcPr>
          <w:p w14:paraId="572883BB"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3.722 €</w:t>
            </w:r>
          </w:p>
        </w:tc>
        <w:tc>
          <w:tcPr>
            <w:tcW w:w="1417" w:type="dxa"/>
            <w:shd w:val="clear" w:color="auto" w:fill="A5C9EB"/>
          </w:tcPr>
          <w:p w14:paraId="48529318"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18"/>
                <w:szCs w:val="18"/>
              </w:rPr>
            </w:pPr>
            <w:r>
              <w:rPr>
                <w:rFonts w:ascii="Open Sans" w:eastAsia="Open Sans" w:hAnsi="Open Sans" w:cs="Open Sans"/>
                <w:sz w:val="18"/>
                <w:szCs w:val="18"/>
              </w:rPr>
              <w:t>-</w:t>
            </w:r>
          </w:p>
        </w:tc>
        <w:tc>
          <w:tcPr>
            <w:tcW w:w="1418" w:type="dxa"/>
            <w:shd w:val="clear" w:color="auto" w:fill="A5C9EB"/>
          </w:tcPr>
          <w:p w14:paraId="22E1EAB8"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18"/>
                <w:szCs w:val="18"/>
              </w:rPr>
            </w:pPr>
            <w:r>
              <w:rPr>
                <w:rFonts w:ascii="Open Sans" w:eastAsia="Open Sans" w:hAnsi="Open Sans" w:cs="Open Sans"/>
                <w:color w:val="000000"/>
                <w:sz w:val="18"/>
                <w:szCs w:val="18"/>
              </w:rPr>
              <w:t>6,9%</w:t>
            </w:r>
          </w:p>
        </w:tc>
      </w:tr>
      <w:tr w:rsidR="00677AE1" w14:paraId="2C7B8ECE"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tcPr>
          <w:p w14:paraId="3874AA1D"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Región de Murcia</w:t>
            </w:r>
          </w:p>
        </w:tc>
        <w:tc>
          <w:tcPr>
            <w:tcW w:w="1417" w:type="dxa"/>
            <w:shd w:val="clear" w:color="auto" w:fill="DAE9F7"/>
          </w:tcPr>
          <w:p w14:paraId="6EAEF1D3"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Murcia</w:t>
            </w:r>
          </w:p>
        </w:tc>
        <w:tc>
          <w:tcPr>
            <w:tcW w:w="1418" w:type="dxa"/>
            <w:shd w:val="clear" w:color="auto" w:fill="DAE9F7"/>
          </w:tcPr>
          <w:p w14:paraId="48801CF2"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1.955 €</w:t>
            </w:r>
          </w:p>
        </w:tc>
        <w:tc>
          <w:tcPr>
            <w:tcW w:w="1559" w:type="dxa"/>
            <w:shd w:val="clear" w:color="auto" w:fill="DAE9F7"/>
          </w:tcPr>
          <w:p w14:paraId="75E33BF7"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color w:val="000000"/>
                <w:sz w:val="18"/>
                <w:szCs w:val="18"/>
              </w:rPr>
              <w:t>1.510 €</w:t>
            </w:r>
          </w:p>
        </w:tc>
        <w:tc>
          <w:tcPr>
            <w:tcW w:w="1417" w:type="dxa"/>
            <w:shd w:val="clear" w:color="auto" w:fill="DAE9F7"/>
          </w:tcPr>
          <w:p w14:paraId="29805A95"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18"/>
                <w:szCs w:val="18"/>
              </w:rPr>
            </w:pPr>
            <w:r>
              <w:rPr>
                <w:rFonts w:ascii="Open Sans" w:eastAsia="Open Sans" w:hAnsi="Open Sans" w:cs="Open Sans"/>
                <w:color w:val="9C0006"/>
                <w:sz w:val="18"/>
                <w:szCs w:val="18"/>
              </w:rPr>
              <w:t>-22,8%</w:t>
            </w:r>
          </w:p>
        </w:tc>
        <w:tc>
          <w:tcPr>
            <w:tcW w:w="1418" w:type="dxa"/>
            <w:shd w:val="clear" w:color="auto" w:fill="DAE9F7"/>
          </w:tcPr>
          <w:p w14:paraId="3C1FD6AD"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18"/>
                <w:szCs w:val="18"/>
              </w:rPr>
            </w:pPr>
            <w:r>
              <w:rPr>
                <w:rFonts w:ascii="Open Sans" w:eastAsia="Open Sans" w:hAnsi="Open Sans" w:cs="Open Sans"/>
                <w:color w:val="000000"/>
                <w:sz w:val="18"/>
                <w:szCs w:val="18"/>
              </w:rPr>
              <w:t>14,4%</w:t>
            </w:r>
          </w:p>
        </w:tc>
      </w:tr>
    </w:tbl>
    <w:p w14:paraId="1B223427" w14:textId="77777777" w:rsidR="00677AE1" w:rsidRDefault="00677AE1">
      <w:pPr>
        <w:spacing w:line="276" w:lineRule="auto"/>
        <w:ind w:right="283"/>
        <w:rPr>
          <w:rFonts w:ascii="Open Sans" w:eastAsia="Open Sans" w:hAnsi="Open Sans" w:cs="Open Sans"/>
        </w:rPr>
      </w:pPr>
    </w:p>
    <w:p w14:paraId="0A37824E" w14:textId="77777777" w:rsidR="00677AE1"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r>
        <w:rPr>
          <w:rFonts w:ascii="Open Sans Light" w:eastAsia="Open Sans Light" w:hAnsi="Open Sans Light" w:cs="Open Sans Light"/>
          <w:b/>
          <w:color w:val="303AB2"/>
        </w:rPr>
        <w:t>Tabla 3: Municipios con precio y variaciones (ene.05– ene.05)</w:t>
      </w:r>
    </w:p>
    <w:tbl>
      <w:tblPr>
        <w:tblStyle w:val="a1"/>
        <w:tblW w:w="8784"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13"/>
        <w:gridCol w:w="1843"/>
        <w:gridCol w:w="1417"/>
        <w:gridCol w:w="1418"/>
        <w:gridCol w:w="1275"/>
        <w:gridCol w:w="1418"/>
      </w:tblGrid>
      <w:tr w:rsidR="00677AE1" w14:paraId="0DB252AB" w14:textId="77777777" w:rsidTr="00677AE1">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vAlign w:val="center"/>
          </w:tcPr>
          <w:p w14:paraId="0E8E9E6A"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Provincia</w:t>
            </w:r>
          </w:p>
        </w:tc>
        <w:tc>
          <w:tcPr>
            <w:tcW w:w="1843" w:type="dxa"/>
            <w:shd w:val="clear" w:color="auto" w:fill="0070C0"/>
            <w:vAlign w:val="center"/>
          </w:tcPr>
          <w:p w14:paraId="10600534" w14:textId="77777777" w:rsidR="00677AE1" w:rsidRDefault="00000000">
            <w:pPr>
              <w:spacing w:line="276" w:lineRule="auto"/>
              <w:ind w:right="283"/>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b w:val="0"/>
                <w:sz w:val="18"/>
                <w:szCs w:val="18"/>
              </w:rPr>
              <w:t>Municipio</w:t>
            </w:r>
          </w:p>
        </w:tc>
        <w:tc>
          <w:tcPr>
            <w:tcW w:w="1417" w:type="dxa"/>
            <w:shd w:val="clear" w:color="auto" w:fill="0070C0"/>
            <w:vAlign w:val="center"/>
          </w:tcPr>
          <w:p w14:paraId="4EB45450" w14:textId="77777777" w:rsidR="00677AE1"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b w:val="0"/>
                <w:sz w:val="18"/>
                <w:szCs w:val="18"/>
              </w:rPr>
              <w:t>Enero 2005 (€/m²)</w:t>
            </w:r>
          </w:p>
        </w:tc>
        <w:tc>
          <w:tcPr>
            <w:tcW w:w="1418" w:type="dxa"/>
            <w:shd w:val="clear" w:color="auto" w:fill="0070C0"/>
            <w:vAlign w:val="center"/>
          </w:tcPr>
          <w:p w14:paraId="77135248" w14:textId="77777777" w:rsidR="00677AE1"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b w:val="0"/>
                <w:sz w:val="18"/>
                <w:szCs w:val="18"/>
              </w:rPr>
              <w:t>Enero 2025 (€/m²)</w:t>
            </w:r>
          </w:p>
        </w:tc>
        <w:tc>
          <w:tcPr>
            <w:tcW w:w="1275" w:type="dxa"/>
            <w:shd w:val="clear" w:color="auto" w:fill="0070C0"/>
            <w:vAlign w:val="center"/>
          </w:tcPr>
          <w:p w14:paraId="3B489077" w14:textId="77777777" w:rsidR="00677AE1"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b w:val="0"/>
                <w:sz w:val="18"/>
                <w:szCs w:val="18"/>
              </w:rPr>
              <w:t>% variación 20 años</w:t>
            </w:r>
          </w:p>
        </w:tc>
        <w:tc>
          <w:tcPr>
            <w:tcW w:w="1418" w:type="dxa"/>
            <w:shd w:val="clear" w:color="auto" w:fill="0070C0"/>
            <w:vAlign w:val="center"/>
          </w:tcPr>
          <w:p w14:paraId="69DAE5E4" w14:textId="77777777" w:rsidR="00677AE1"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b w:val="0"/>
                <w:sz w:val="18"/>
                <w:szCs w:val="18"/>
              </w:rPr>
              <w:t>% interanual ene.2025</w:t>
            </w:r>
          </w:p>
        </w:tc>
      </w:tr>
      <w:tr w:rsidR="00677AE1" w14:paraId="2950C2AD"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0D1A20BF"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Almería</w:t>
            </w:r>
          </w:p>
        </w:tc>
        <w:tc>
          <w:tcPr>
            <w:tcW w:w="1843" w:type="dxa"/>
            <w:shd w:val="clear" w:color="auto" w:fill="A5C9EB"/>
          </w:tcPr>
          <w:p w14:paraId="3E6702D3"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Almería capital</w:t>
            </w:r>
          </w:p>
        </w:tc>
        <w:tc>
          <w:tcPr>
            <w:tcW w:w="1417" w:type="dxa"/>
            <w:shd w:val="clear" w:color="auto" w:fill="A5C9EB"/>
          </w:tcPr>
          <w:p w14:paraId="10E41E6A"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A5C9EB"/>
          </w:tcPr>
          <w:p w14:paraId="1A6F801B"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1.683 €</w:t>
            </w:r>
          </w:p>
        </w:tc>
        <w:tc>
          <w:tcPr>
            <w:tcW w:w="1275" w:type="dxa"/>
            <w:shd w:val="clear" w:color="auto" w:fill="A5C9EB"/>
          </w:tcPr>
          <w:p w14:paraId="42925D1B"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A5C9EB"/>
          </w:tcPr>
          <w:p w14:paraId="040AB1B9"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11,2%</w:t>
            </w:r>
          </w:p>
        </w:tc>
      </w:tr>
      <w:tr w:rsidR="00677AE1" w14:paraId="366D44E6"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1A4930BB"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Cádiz</w:t>
            </w:r>
          </w:p>
        </w:tc>
        <w:tc>
          <w:tcPr>
            <w:tcW w:w="1843" w:type="dxa"/>
            <w:shd w:val="clear" w:color="auto" w:fill="DAE9F7"/>
          </w:tcPr>
          <w:p w14:paraId="04DF2D29"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Cádiz capital</w:t>
            </w:r>
          </w:p>
        </w:tc>
        <w:tc>
          <w:tcPr>
            <w:tcW w:w="1417" w:type="dxa"/>
            <w:shd w:val="clear" w:color="auto" w:fill="DAE9F7"/>
          </w:tcPr>
          <w:p w14:paraId="00D42C5B"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DAE9F7"/>
          </w:tcPr>
          <w:p w14:paraId="66B643D9"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3.186 €</w:t>
            </w:r>
          </w:p>
        </w:tc>
        <w:tc>
          <w:tcPr>
            <w:tcW w:w="1275" w:type="dxa"/>
            <w:shd w:val="clear" w:color="auto" w:fill="DAE9F7"/>
          </w:tcPr>
          <w:p w14:paraId="7955BCCA"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DAE9F7"/>
          </w:tcPr>
          <w:p w14:paraId="69387855"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9,3%</w:t>
            </w:r>
          </w:p>
        </w:tc>
      </w:tr>
      <w:tr w:rsidR="00677AE1" w14:paraId="206FBBBE"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18F8F43D"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Córdoba</w:t>
            </w:r>
          </w:p>
        </w:tc>
        <w:tc>
          <w:tcPr>
            <w:tcW w:w="1843" w:type="dxa"/>
            <w:shd w:val="clear" w:color="auto" w:fill="A5C9EB"/>
          </w:tcPr>
          <w:p w14:paraId="21BE82FB"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Córdoba capital</w:t>
            </w:r>
          </w:p>
        </w:tc>
        <w:tc>
          <w:tcPr>
            <w:tcW w:w="1417" w:type="dxa"/>
            <w:shd w:val="clear" w:color="auto" w:fill="A5C9EB"/>
          </w:tcPr>
          <w:p w14:paraId="24B3A137"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A5C9EB"/>
          </w:tcPr>
          <w:p w14:paraId="1A3C8024"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1.708 €</w:t>
            </w:r>
          </w:p>
        </w:tc>
        <w:tc>
          <w:tcPr>
            <w:tcW w:w="1275" w:type="dxa"/>
            <w:shd w:val="clear" w:color="auto" w:fill="A5C9EB"/>
          </w:tcPr>
          <w:p w14:paraId="1E0CB1A8"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A5C9EB"/>
          </w:tcPr>
          <w:p w14:paraId="680845EE"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2,9%</w:t>
            </w:r>
          </w:p>
        </w:tc>
      </w:tr>
      <w:tr w:rsidR="00677AE1" w14:paraId="41E237CB"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79821A4C"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Granada</w:t>
            </w:r>
          </w:p>
        </w:tc>
        <w:tc>
          <w:tcPr>
            <w:tcW w:w="1843" w:type="dxa"/>
            <w:shd w:val="clear" w:color="auto" w:fill="DAE9F7"/>
          </w:tcPr>
          <w:p w14:paraId="0F37D13F"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Granada capital</w:t>
            </w:r>
          </w:p>
        </w:tc>
        <w:tc>
          <w:tcPr>
            <w:tcW w:w="1417" w:type="dxa"/>
            <w:shd w:val="clear" w:color="auto" w:fill="DAE9F7"/>
          </w:tcPr>
          <w:p w14:paraId="6B630645"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DAE9F7"/>
          </w:tcPr>
          <w:p w14:paraId="50F48199"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2.610 €</w:t>
            </w:r>
          </w:p>
        </w:tc>
        <w:tc>
          <w:tcPr>
            <w:tcW w:w="1275" w:type="dxa"/>
            <w:shd w:val="clear" w:color="auto" w:fill="DAE9F7"/>
          </w:tcPr>
          <w:p w14:paraId="4F1CA039"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DAE9F7"/>
          </w:tcPr>
          <w:p w14:paraId="183B9C27"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12,6%</w:t>
            </w:r>
          </w:p>
        </w:tc>
      </w:tr>
      <w:tr w:rsidR="00677AE1" w14:paraId="54906CAD"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1E83465B"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Huelva</w:t>
            </w:r>
          </w:p>
        </w:tc>
        <w:tc>
          <w:tcPr>
            <w:tcW w:w="1843" w:type="dxa"/>
            <w:shd w:val="clear" w:color="auto" w:fill="A5C9EB"/>
          </w:tcPr>
          <w:p w14:paraId="2D2EE235"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Huelva capital</w:t>
            </w:r>
          </w:p>
        </w:tc>
        <w:tc>
          <w:tcPr>
            <w:tcW w:w="1417" w:type="dxa"/>
            <w:shd w:val="clear" w:color="auto" w:fill="A5C9EB"/>
          </w:tcPr>
          <w:p w14:paraId="7AA8DA3A"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A5C9EB"/>
          </w:tcPr>
          <w:p w14:paraId="3AC8CE25"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1.560 €</w:t>
            </w:r>
          </w:p>
        </w:tc>
        <w:tc>
          <w:tcPr>
            <w:tcW w:w="1275" w:type="dxa"/>
            <w:shd w:val="clear" w:color="auto" w:fill="A5C9EB"/>
          </w:tcPr>
          <w:p w14:paraId="44992AA5"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A5C9EB"/>
          </w:tcPr>
          <w:p w14:paraId="4305E78A"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6,9%</w:t>
            </w:r>
          </w:p>
        </w:tc>
      </w:tr>
      <w:tr w:rsidR="00677AE1" w14:paraId="199FB54B"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43A616FE"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Jaén</w:t>
            </w:r>
          </w:p>
        </w:tc>
        <w:tc>
          <w:tcPr>
            <w:tcW w:w="1843" w:type="dxa"/>
            <w:shd w:val="clear" w:color="auto" w:fill="DAE9F7"/>
          </w:tcPr>
          <w:p w14:paraId="55CCE890"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Jaén capital</w:t>
            </w:r>
          </w:p>
        </w:tc>
        <w:tc>
          <w:tcPr>
            <w:tcW w:w="1417" w:type="dxa"/>
            <w:shd w:val="clear" w:color="auto" w:fill="DAE9F7"/>
          </w:tcPr>
          <w:p w14:paraId="3102B16F"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DAE9F7"/>
          </w:tcPr>
          <w:p w14:paraId="4F5DAFFD"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1.397 €</w:t>
            </w:r>
          </w:p>
        </w:tc>
        <w:tc>
          <w:tcPr>
            <w:tcW w:w="1275" w:type="dxa"/>
            <w:shd w:val="clear" w:color="auto" w:fill="DAE9F7"/>
          </w:tcPr>
          <w:p w14:paraId="58354D62"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DAE9F7"/>
          </w:tcPr>
          <w:p w14:paraId="0FE68597"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4,2%</w:t>
            </w:r>
          </w:p>
        </w:tc>
      </w:tr>
      <w:tr w:rsidR="00677AE1" w14:paraId="7398D8FF"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1EFAC402"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Málaga</w:t>
            </w:r>
          </w:p>
        </w:tc>
        <w:tc>
          <w:tcPr>
            <w:tcW w:w="1843" w:type="dxa"/>
            <w:shd w:val="clear" w:color="auto" w:fill="A5C9EB"/>
          </w:tcPr>
          <w:p w14:paraId="153E3854"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Málaga capital</w:t>
            </w:r>
          </w:p>
        </w:tc>
        <w:tc>
          <w:tcPr>
            <w:tcW w:w="1417" w:type="dxa"/>
            <w:shd w:val="clear" w:color="auto" w:fill="A5C9EB"/>
          </w:tcPr>
          <w:p w14:paraId="0F039974"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A5C9EB"/>
          </w:tcPr>
          <w:p w14:paraId="1822ADB1"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3.857 €</w:t>
            </w:r>
          </w:p>
        </w:tc>
        <w:tc>
          <w:tcPr>
            <w:tcW w:w="1275" w:type="dxa"/>
            <w:shd w:val="clear" w:color="auto" w:fill="A5C9EB"/>
          </w:tcPr>
          <w:p w14:paraId="056E1BC6"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A5C9EB"/>
          </w:tcPr>
          <w:p w14:paraId="6C2C1E71"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14,0%</w:t>
            </w:r>
          </w:p>
        </w:tc>
      </w:tr>
      <w:tr w:rsidR="00677AE1" w14:paraId="755383F3"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49C9A9E5"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Sevilla</w:t>
            </w:r>
          </w:p>
        </w:tc>
        <w:tc>
          <w:tcPr>
            <w:tcW w:w="1843" w:type="dxa"/>
            <w:shd w:val="clear" w:color="auto" w:fill="DAE9F7"/>
          </w:tcPr>
          <w:p w14:paraId="58878863"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Sevilla capital</w:t>
            </w:r>
          </w:p>
        </w:tc>
        <w:tc>
          <w:tcPr>
            <w:tcW w:w="1417" w:type="dxa"/>
            <w:shd w:val="clear" w:color="auto" w:fill="DAE9F7"/>
          </w:tcPr>
          <w:p w14:paraId="628821C4"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DAE9F7"/>
          </w:tcPr>
          <w:p w14:paraId="1B845A4F"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2.603 €</w:t>
            </w:r>
          </w:p>
        </w:tc>
        <w:tc>
          <w:tcPr>
            <w:tcW w:w="1275" w:type="dxa"/>
            <w:shd w:val="clear" w:color="auto" w:fill="DAE9F7"/>
          </w:tcPr>
          <w:p w14:paraId="3F895713"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DAE9F7"/>
          </w:tcPr>
          <w:p w14:paraId="12DE4D98"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8,5%</w:t>
            </w:r>
          </w:p>
        </w:tc>
      </w:tr>
      <w:tr w:rsidR="00677AE1" w14:paraId="7E2C704C"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1FFA0946"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Huesca</w:t>
            </w:r>
          </w:p>
        </w:tc>
        <w:tc>
          <w:tcPr>
            <w:tcW w:w="1843" w:type="dxa"/>
            <w:shd w:val="clear" w:color="auto" w:fill="A5C9EB"/>
          </w:tcPr>
          <w:p w14:paraId="56428FFB"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Huesca capital</w:t>
            </w:r>
          </w:p>
        </w:tc>
        <w:tc>
          <w:tcPr>
            <w:tcW w:w="1417" w:type="dxa"/>
            <w:shd w:val="clear" w:color="auto" w:fill="A5C9EB"/>
          </w:tcPr>
          <w:p w14:paraId="529A69F2"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A5C9EB"/>
          </w:tcPr>
          <w:p w14:paraId="08DF59FC"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1.628 €</w:t>
            </w:r>
          </w:p>
        </w:tc>
        <w:tc>
          <w:tcPr>
            <w:tcW w:w="1275" w:type="dxa"/>
            <w:shd w:val="clear" w:color="auto" w:fill="A5C9EB"/>
          </w:tcPr>
          <w:p w14:paraId="7B8BCFB1"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A5C9EB"/>
          </w:tcPr>
          <w:p w14:paraId="3DABAD84"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9C0006"/>
                <w:sz w:val="18"/>
                <w:szCs w:val="18"/>
              </w:rPr>
              <w:t>-3,2%</w:t>
            </w:r>
          </w:p>
        </w:tc>
      </w:tr>
      <w:tr w:rsidR="00677AE1" w14:paraId="487B4387"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09DD2187"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Teruel</w:t>
            </w:r>
          </w:p>
        </w:tc>
        <w:tc>
          <w:tcPr>
            <w:tcW w:w="1843" w:type="dxa"/>
            <w:shd w:val="clear" w:color="auto" w:fill="DAE9F7"/>
          </w:tcPr>
          <w:p w14:paraId="035BECB9"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Teruel capital</w:t>
            </w:r>
          </w:p>
        </w:tc>
        <w:tc>
          <w:tcPr>
            <w:tcW w:w="1417" w:type="dxa"/>
            <w:shd w:val="clear" w:color="auto" w:fill="DAE9F7"/>
          </w:tcPr>
          <w:p w14:paraId="78951CEA"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DAE9F7"/>
          </w:tcPr>
          <w:p w14:paraId="0B83478E"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1.819 €</w:t>
            </w:r>
          </w:p>
        </w:tc>
        <w:tc>
          <w:tcPr>
            <w:tcW w:w="1275" w:type="dxa"/>
            <w:shd w:val="clear" w:color="auto" w:fill="DAE9F7"/>
          </w:tcPr>
          <w:p w14:paraId="465CC084"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DAE9F7"/>
          </w:tcPr>
          <w:p w14:paraId="6F526F0D"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15,3%</w:t>
            </w:r>
          </w:p>
        </w:tc>
      </w:tr>
      <w:tr w:rsidR="00677AE1" w14:paraId="5B403AF6"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3BDA6AFC"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Zaragoza</w:t>
            </w:r>
          </w:p>
        </w:tc>
        <w:tc>
          <w:tcPr>
            <w:tcW w:w="1843" w:type="dxa"/>
            <w:shd w:val="clear" w:color="auto" w:fill="A5C9EB"/>
          </w:tcPr>
          <w:p w14:paraId="45471053"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Zaragoza capital</w:t>
            </w:r>
          </w:p>
        </w:tc>
        <w:tc>
          <w:tcPr>
            <w:tcW w:w="1417" w:type="dxa"/>
            <w:shd w:val="clear" w:color="auto" w:fill="A5C9EB"/>
          </w:tcPr>
          <w:p w14:paraId="524A24A1"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A5C9EB"/>
          </w:tcPr>
          <w:p w14:paraId="016C2496"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2.208 €</w:t>
            </w:r>
          </w:p>
        </w:tc>
        <w:tc>
          <w:tcPr>
            <w:tcW w:w="1275" w:type="dxa"/>
            <w:shd w:val="clear" w:color="auto" w:fill="A5C9EB"/>
          </w:tcPr>
          <w:p w14:paraId="2CC437C7"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A5C9EB"/>
          </w:tcPr>
          <w:p w14:paraId="7E9CAA5A"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5,4%</w:t>
            </w:r>
          </w:p>
        </w:tc>
      </w:tr>
      <w:tr w:rsidR="00677AE1" w14:paraId="06867A0C"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4A22E621"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Asturias</w:t>
            </w:r>
          </w:p>
        </w:tc>
        <w:tc>
          <w:tcPr>
            <w:tcW w:w="1843" w:type="dxa"/>
            <w:shd w:val="clear" w:color="auto" w:fill="DAE9F7"/>
          </w:tcPr>
          <w:p w14:paraId="37E35602"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Oviedo</w:t>
            </w:r>
          </w:p>
        </w:tc>
        <w:tc>
          <w:tcPr>
            <w:tcW w:w="1417" w:type="dxa"/>
            <w:shd w:val="clear" w:color="auto" w:fill="DAE9F7"/>
          </w:tcPr>
          <w:p w14:paraId="27675249"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DAE9F7"/>
          </w:tcPr>
          <w:p w14:paraId="41CC7FE7"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2.206 €</w:t>
            </w:r>
          </w:p>
        </w:tc>
        <w:tc>
          <w:tcPr>
            <w:tcW w:w="1275" w:type="dxa"/>
            <w:shd w:val="clear" w:color="auto" w:fill="DAE9F7"/>
          </w:tcPr>
          <w:p w14:paraId="5D53A266"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DAE9F7"/>
          </w:tcPr>
          <w:p w14:paraId="6C8A08F4"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16,4%</w:t>
            </w:r>
          </w:p>
        </w:tc>
      </w:tr>
      <w:tr w:rsidR="00677AE1" w14:paraId="5E04F938"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7004C625"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Illes Balears</w:t>
            </w:r>
          </w:p>
        </w:tc>
        <w:tc>
          <w:tcPr>
            <w:tcW w:w="1843" w:type="dxa"/>
            <w:shd w:val="clear" w:color="auto" w:fill="A5C9EB"/>
          </w:tcPr>
          <w:p w14:paraId="02326498"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Palma de Mallorca</w:t>
            </w:r>
          </w:p>
        </w:tc>
        <w:tc>
          <w:tcPr>
            <w:tcW w:w="1417" w:type="dxa"/>
            <w:shd w:val="clear" w:color="auto" w:fill="A5C9EB"/>
          </w:tcPr>
          <w:p w14:paraId="6249C51A"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A5C9EB"/>
          </w:tcPr>
          <w:p w14:paraId="431B64E4"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4.617 €</w:t>
            </w:r>
          </w:p>
        </w:tc>
        <w:tc>
          <w:tcPr>
            <w:tcW w:w="1275" w:type="dxa"/>
            <w:shd w:val="clear" w:color="auto" w:fill="A5C9EB"/>
          </w:tcPr>
          <w:p w14:paraId="0CFA65A2"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A5C9EB"/>
          </w:tcPr>
          <w:p w14:paraId="7D19B36B"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12,6%</w:t>
            </w:r>
          </w:p>
        </w:tc>
      </w:tr>
      <w:tr w:rsidR="00677AE1" w14:paraId="4A8E8577"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7FD9C22A"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Las Palmas</w:t>
            </w:r>
          </w:p>
        </w:tc>
        <w:tc>
          <w:tcPr>
            <w:tcW w:w="1843" w:type="dxa"/>
            <w:shd w:val="clear" w:color="auto" w:fill="DAE9F7"/>
          </w:tcPr>
          <w:p w14:paraId="5FFAC9E1"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Las Palmas de Gran Canaria</w:t>
            </w:r>
          </w:p>
        </w:tc>
        <w:tc>
          <w:tcPr>
            <w:tcW w:w="1417" w:type="dxa"/>
            <w:shd w:val="clear" w:color="auto" w:fill="DAE9F7"/>
          </w:tcPr>
          <w:p w14:paraId="331FAA0F"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DAE9F7"/>
          </w:tcPr>
          <w:p w14:paraId="60CBDBD0"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2.689 €</w:t>
            </w:r>
          </w:p>
        </w:tc>
        <w:tc>
          <w:tcPr>
            <w:tcW w:w="1275" w:type="dxa"/>
            <w:shd w:val="clear" w:color="auto" w:fill="DAE9F7"/>
          </w:tcPr>
          <w:p w14:paraId="07BC96A7"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DAE9F7"/>
          </w:tcPr>
          <w:p w14:paraId="68EC4135"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6,2%</w:t>
            </w:r>
          </w:p>
        </w:tc>
      </w:tr>
      <w:tr w:rsidR="00677AE1" w14:paraId="5DE26253"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58A2FFB2"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Santa Cruz de Tenerife</w:t>
            </w:r>
          </w:p>
        </w:tc>
        <w:tc>
          <w:tcPr>
            <w:tcW w:w="1843" w:type="dxa"/>
            <w:shd w:val="clear" w:color="auto" w:fill="A5C9EB"/>
          </w:tcPr>
          <w:p w14:paraId="003824DD"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Santa Cruz de Tenerife capital</w:t>
            </w:r>
          </w:p>
        </w:tc>
        <w:tc>
          <w:tcPr>
            <w:tcW w:w="1417" w:type="dxa"/>
            <w:shd w:val="clear" w:color="auto" w:fill="A5C9EB"/>
          </w:tcPr>
          <w:p w14:paraId="04EAD38F"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A5C9EB"/>
          </w:tcPr>
          <w:p w14:paraId="3FC2BAF1"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2.320 €</w:t>
            </w:r>
          </w:p>
        </w:tc>
        <w:tc>
          <w:tcPr>
            <w:tcW w:w="1275" w:type="dxa"/>
            <w:shd w:val="clear" w:color="auto" w:fill="A5C9EB"/>
          </w:tcPr>
          <w:p w14:paraId="2C8A74EC"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A5C9EB"/>
          </w:tcPr>
          <w:p w14:paraId="56B44C5D"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3,7%</w:t>
            </w:r>
          </w:p>
        </w:tc>
      </w:tr>
      <w:tr w:rsidR="00677AE1" w14:paraId="742D2AE9"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50E3027D"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Cantabria</w:t>
            </w:r>
          </w:p>
        </w:tc>
        <w:tc>
          <w:tcPr>
            <w:tcW w:w="1843" w:type="dxa"/>
            <w:shd w:val="clear" w:color="auto" w:fill="DAE9F7"/>
          </w:tcPr>
          <w:p w14:paraId="2FE34450"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Santander</w:t>
            </w:r>
          </w:p>
        </w:tc>
        <w:tc>
          <w:tcPr>
            <w:tcW w:w="1417" w:type="dxa"/>
            <w:shd w:val="clear" w:color="auto" w:fill="DAE9F7"/>
          </w:tcPr>
          <w:p w14:paraId="3CC06ECE"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DAE9F7"/>
          </w:tcPr>
          <w:p w14:paraId="3D67A216"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2.725 €</w:t>
            </w:r>
          </w:p>
        </w:tc>
        <w:tc>
          <w:tcPr>
            <w:tcW w:w="1275" w:type="dxa"/>
            <w:shd w:val="clear" w:color="auto" w:fill="DAE9F7"/>
          </w:tcPr>
          <w:p w14:paraId="4BC20A3F"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DAE9F7"/>
          </w:tcPr>
          <w:p w14:paraId="6E0FEE12"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7,4%</w:t>
            </w:r>
          </w:p>
        </w:tc>
      </w:tr>
      <w:tr w:rsidR="00677AE1" w14:paraId="6DFCA112"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03D42EF3"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Ávila</w:t>
            </w:r>
          </w:p>
        </w:tc>
        <w:tc>
          <w:tcPr>
            <w:tcW w:w="1843" w:type="dxa"/>
            <w:shd w:val="clear" w:color="auto" w:fill="A5C9EB"/>
          </w:tcPr>
          <w:p w14:paraId="7E19CEF4"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Ávila capital</w:t>
            </w:r>
          </w:p>
        </w:tc>
        <w:tc>
          <w:tcPr>
            <w:tcW w:w="1417" w:type="dxa"/>
            <w:shd w:val="clear" w:color="auto" w:fill="A5C9EB"/>
          </w:tcPr>
          <w:p w14:paraId="3F256D10"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A5C9EB"/>
          </w:tcPr>
          <w:p w14:paraId="19D5D38F"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1.465 €</w:t>
            </w:r>
          </w:p>
        </w:tc>
        <w:tc>
          <w:tcPr>
            <w:tcW w:w="1275" w:type="dxa"/>
            <w:shd w:val="clear" w:color="auto" w:fill="A5C9EB"/>
          </w:tcPr>
          <w:p w14:paraId="3B21D922"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A5C9EB"/>
          </w:tcPr>
          <w:p w14:paraId="1C93D26F"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10,3%</w:t>
            </w:r>
          </w:p>
        </w:tc>
      </w:tr>
      <w:tr w:rsidR="00677AE1" w14:paraId="54EA4AD2"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0FBC2AF3"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Burgos</w:t>
            </w:r>
          </w:p>
        </w:tc>
        <w:tc>
          <w:tcPr>
            <w:tcW w:w="1843" w:type="dxa"/>
            <w:shd w:val="clear" w:color="auto" w:fill="DAE9F7"/>
          </w:tcPr>
          <w:p w14:paraId="40C8660C"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Burgos capital</w:t>
            </w:r>
          </w:p>
        </w:tc>
        <w:tc>
          <w:tcPr>
            <w:tcW w:w="1417" w:type="dxa"/>
            <w:shd w:val="clear" w:color="auto" w:fill="DAE9F7"/>
          </w:tcPr>
          <w:p w14:paraId="62FFB5EC"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DAE9F7"/>
          </w:tcPr>
          <w:p w14:paraId="06F2F73A"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2.058 €</w:t>
            </w:r>
          </w:p>
        </w:tc>
        <w:tc>
          <w:tcPr>
            <w:tcW w:w="1275" w:type="dxa"/>
            <w:shd w:val="clear" w:color="auto" w:fill="DAE9F7"/>
          </w:tcPr>
          <w:p w14:paraId="32033367"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DAE9F7"/>
          </w:tcPr>
          <w:p w14:paraId="3FD7CD43"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9,3%</w:t>
            </w:r>
          </w:p>
        </w:tc>
      </w:tr>
      <w:tr w:rsidR="00677AE1" w14:paraId="42ED65E4"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3B453F11"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León</w:t>
            </w:r>
          </w:p>
        </w:tc>
        <w:tc>
          <w:tcPr>
            <w:tcW w:w="1843" w:type="dxa"/>
            <w:shd w:val="clear" w:color="auto" w:fill="A5C9EB"/>
          </w:tcPr>
          <w:p w14:paraId="6A9154C7"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León capital</w:t>
            </w:r>
          </w:p>
        </w:tc>
        <w:tc>
          <w:tcPr>
            <w:tcW w:w="1417" w:type="dxa"/>
            <w:shd w:val="clear" w:color="auto" w:fill="A5C9EB"/>
          </w:tcPr>
          <w:p w14:paraId="646E3BD2"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A5C9EB"/>
          </w:tcPr>
          <w:p w14:paraId="73F9C5D9"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1.691 €</w:t>
            </w:r>
          </w:p>
        </w:tc>
        <w:tc>
          <w:tcPr>
            <w:tcW w:w="1275" w:type="dxa"/>
            <w:shd w:val="clear" w:color="auto" w:fill="A5C9EB"/>
          </w:tcPr>
          <w:p w14:paraId="5027F883"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A5C9EB"/>
          </w:tcPr>
          <w:p w14:paraId="28759BF9"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8,0%</w:t>
            </w:r>
          </w:p>
        </w:tc>
      </w:tr>
      <w:tr w:rsidR="00677AE1" w14:paraId="00FDA190"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286AABC7"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Palencia</w:t>
            </w:r>
          </w:p>
        </w:tc>
        <w:tc>
          <w:tcPr>
            <w:tcW w:w="1843" w:type="dxa"/>
            <w:shd w:val="clear" w:color="auto" w:fill="DAE9F7"/>
          </w:tcPr>
          <w:p w14:paraId="1F4CC3DE"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Palencia capital</w:t>
            </w:r>
          </w:p>
        </w:tc>
        <w:tc>
          <w:tcPr>
            <w:tcW w:w="1417" w:type="dxa"/>
            <w:shd w:val="clear" w:color="auto" w:fill="DAE9F7"/>
          </w:tcPr>
          <w:p w14:paraId="5F02D591"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DAE9F7"/>
          </w:tcPr>
          <w:p w14:paraId="0AC8052E"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1.609 €</w:t>
            </w:r>
          </w:p>
        </w:tc>
        <w:tc>
          <w:tcPr>
            <w:tcW w:w="1275" w:type="dxa"/>
            <w:shd w:val="clear" w:color="auto" w:fill="DAE9F7"/>
          </w:tcPr>
          <w:p w14:paraId="367B5F99"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DAE9F7"/>
          </w:tcPr>
          <w:p w14:paraId="360F38AA"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9,1%</w:t>
            </w:r>
          </w:p>
        </w:tc>
      </w:tr>
      <w:tr w:rsidR="00677AE1" w14:paraId="6A934C58"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1D2BAF96"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lastRenderedPageBreak/>
              <w:t>Salamanca</w:t>
            </w:r>
          </w:p>
        </w:tc>
        <w:tc>
          <w:tcPr>
            <w:tcW w:w="1843" w:type="dxa"/>
            <w:shd w:val="clear" w:color="auto" w:fill="A5C9EB"/>
          </w:tcPr>
          <w:p w14:paraId="2FFBCFA8"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Salamanca capital</w:t>
            </w:r>
          </w:p>
        </w:tc>
        <w:tc>
          <w:tcPr>
            <w:tcW w:w="1417" w:type="dxa"/>
            <w:shd w:val="clear" w:color="auto" w:fill="A5C9EB"/>
          </w:tcPr>
          <w:p w14:paraId="6A5A2DEB"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A5C9EB"/>
          </w:tcPr>
          <w:p w14:paraId="20A07650"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2.180 €</w:t>
            </w:r>
          </w:p>
        </w:tc>
        <w:tc>
          <w:tcPr>
            <w:tcW w:w="1275" w:type="dxa"/>
            <w:shd w:val="clear" w:color="auto" w:fill="A5C9EB"/>
          </w:tcPr>
          <w:p w14:paraId="46E7A671"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A5C9EB"/>
          </w:tcPr>
          <w:p w14:paraId="3FE90C8D"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8,9%</w:t>
            </w:r>
          </w:p>
        </w:tc>
      </w:tr>
      <w:tr w:rsidR="00677AE1" w14:paraId="3D6EF9EB"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2FE4C4FB"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Segovia</w:t>
            </w:r>
          </w:p>
        </w:tc>
        <w:tc>
          <w:tcPr>
            <w:tcW w:w="1843" w:type="dxa"/>
            <w:shd w:val="clear" w:color="auto" w:fill="DAE9F7"/>
          </w:tcPr>
          <w:p w14:paraId="76659212"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Segovia capital</w:t>
            </w:r>
          </w:p>
        </w:tc>
        <w:tc>
          <w:tcPr>
            <w:tcW w:w="1417" w:type="dxa"/>
            <w:shd w:val="clear" w:color="auto" w:fill="DAE9F7"/>
          </w:tcPr>
          <w:p w14:paraId="31A1A1EB"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DAE9F7"/>
          </w:tcPr>
          <w:p w14:paraId="20CD8512"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2.049 €</w:t>
            </w:r>
          </w:p>
        </w:tc>
        <w:tc>
          <w:tcPr>
            <w:tcW w:w="1275" w:type="dxa"/>
            <w:shd w:val="clear" w:color="auto" w:fill="DAE9F7"/>
          </w:tcPr>
          <w:p w14:paraId="0776CF12"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DAE9F7"/>
          </w:tcPr>
          <w:p w14:paraId="73F29C9C"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8,0%</w:t>
            </w:r>
          </w:p>
        </w:tc>
      </w:tr>
      <w:tr w:rsidR="00677AE1" w14:paraId="44236EEB"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65767FEA"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Soria</w:t>
            </w:r>
          </w:p>
        </w:tc>
        <w:tc>
          <w:tcPr>
            <w:tcW w:w="1843" w:type="dxa"/>
            <w:shd w:val="clear" w:color="auto" w:fill="A5C9EB"/>
          </w:tcPr>
          <w:p w14:paraId="0E162228"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Soria capital</w:t>
            </w:r>
          </w:p>
        </w:tc>
        <w:tc>
          <w:tcPr>
            <w:tcW w:w="1417" w:type="dxa"/>
            <w:shd w:val="clear" w:color="auto" w:fill="A5C9EB"/>
          </w:tcPr>
          <w:p w14:paraId="02290C76" w14:textId="77777777" w:rsidR="00677AE1" w:rsidRDefault="00677AE1">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p>
        </w:tc>
        <w:tc>
          <w:tcPr>
            <w:tcW w:w="1418" w:type="dxa"/>
            <w:shd w:val="clear" w:color="auto" w:fill="A5C9EB"/>
          </w:tcPr>
          <w:p w14:paraId="7BCFB99E"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1.927 €</w:t>
            </w:r>
          </w:p>
        </w:tc>
        <w:tc>
          <w:tcPr>
            <w:tcW w:w="1275" w:type="dxa"/>
            <w:shd w:val="clear" w:color="auto" w:fill="A5C9EB"/>
          </w:tcPr>
          <w:p w14:paraId="6B10EFCA" w14:textId="77777777" w:rsidR="00677AE1" w:rsidRDefault="00677AE1">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p>
        </w:tc>
        <w:tc>
          <w:tcPr>
            <w:tcW w:w="1418" w:type="dxa"/>
            <w:shd w:val="clear" w:color="auto" w:fill="A5C9EB"/>
          </w:tcPr>
          <w:p w14:paraId="03CBFFDD"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12,5%</w:t>
            </w:r>
          </w:p>
        </w:tc>
      </w:tr>
      <w:tr w:rsidR="00677AE1" w14:paraId="1F9A3E67"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1E62F89A"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Valladolid</w:t>
            </w:r>
          </w:p>
        </w:tc>
        <w:tc>
          <w:tcPr>
            <w:tcW w:w="1843" w:type="dxa"/>
            <w:shd w:val="clear" w:color="auto" w:fill="DAE9F7"/>
          </w:tcPr>
          <w:p w14:paraId="55E7ED82"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Valladolid capital</w:t>
            </w:r>
          </w:p>
        </w:tc>
        <w:tc>
          <w:tcPr>
            <w:tcW w:w="1417" w:type="dxa"/>
            <w:shd w:val="clear" w:color="auto" w:fill="DAE9F7"/>
          </w:tcPr>
          <w:p w14:paraId="3D8F6B98"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DAE9F7"/>
          </w:tcPr>
          <w:p w14:paraId="421F781E"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2.088 €</w:t>
            </w:r>
          </w:p>
        </w:tc>
        <w:tc>
          <w:tcPr>
            <w:tcW w:w="1275" w:type="dxa"/>
            <w:shd w:val="clear" w:color="auto" w:fill="DAE9F7"/>
          </w:tcPr>
          <w:p w14:paraId="4C4FDED4"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DAE9F7"/>
          </w:tcPr>
          <w:p w14:paraId="2F24533E"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15,1%</w:t>
            </w:r>
          </w:p>
        </w:tc>
      </w:tr>
      <w:tr w:rsidR="00677AE1" w14:paraId="68C23356"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7B58B6D4"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Zamora</w:t>
            </w:r>
          </w:p>
        </w:tc>
        <w:tc>
          <w:tcPr>
            <w:tcW w:w="1843" w:type="dxa"/>
            <w:shd w:val="clear" w:color="auto" w:fill="A5C9EB"/>
          </w:tcPr>
          <w:p w14:paraId="156AD2D0"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Zamora capital</w:t>
            </w:r>
          </w:p>
        </w:tc>
        <w:tc>
          <w:tcPr>
            <w:tcW w:w="1417" w:type="dxa"/>
            <w:shd w:val="clear" w:color="auto" w:fill="A5C9EB"/>
          </w:tcPr>
          <w:p w14:paraId="3E262957"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w:t>
            </w:r>
          </w:p>
        </w:tc>
        <w:tc>
          <w:tcPr>
            <w:tcW w:w="1418" w:type="dxa"/>
            <w:shd w:val="clear" w:color="auto" w:fill="A5C9EB"/>
          </w:tcPr>
          <w:p w14:paraId="590CB5C9"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1.353 €</w:t>
            </w:r>
          </w:p>
        </w:tc>
        <w:tc>
          <w:tcPr>
            <w:tcW w:w="1275" w:type="dxa"/>
            <w:shd w:val="clear" w:color="auto" w:fill="A5C9EB"/>
          </w:tcPr>
          <w:p w14:paraId="57A6CF49"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A5C9EB"/>
          </w:tcPr>
          <w:p w14:paraId="356B199C"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6,6%</w:t>
            </w:r>
          </w:p>
        </w:tc>
      </w:tr>
      <w:tr w:rsidR="00677AE1" w14:paraId="6FD14CB6"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7D3856E3"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Albacete</w:t>
            </w:r>
          </w:p>
        </w:tc>
        <w:tc>
          <w:tcPr>
            <w:tcW w:w="1843" w:type="dxa"/>
            <w:shd w:val="clear" w:color="auto" w:fill="DAE9F7"/>
          </w:tcPr>
          <w:p w14:paraId="756A2AD6"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Albacete capital</w:t>
            </w:r>
          </w:p>
        </w:tc>
        <w:tc>
          <w:tcPr>
            <w:tcW w:w="1417" w:type="dxa"/>
            <w:shd w:val="clear" w:color="auto" w:fill="DAE9F7"/>
          </w:tcPr>
          <w:p w14:paraId="04FA54FF"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DAE9F7"/>
          </w:tcPr>
          <w:p w14:paraId="129B7ADA"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1.847 €</w:t>
            </w:r>
          </w:p>
        </w:tc>
        <w:tc>
          <w:tcPr>
            <w:tcW w:w="1275" w:type="dxa"/>
            <w:shd w:val="clear" w:color="auto" w:fill="DAE9F7"/>
          </w:tcPr>
          <w:p w14:paraId="71C4CA38"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DAE9F7"/>
          </w:tcPr>
          <w:p w14:paraId="258EBC0F"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12,6%</w:t>
            </w:r>
          </w:p>
        </w:tc>
      </w:tr>
      <w:tr w:rsidR="00677AE1" w14:paraId="0EAEE9EC"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4B78C3F9"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Ciudad Real</w:t>
            </w:r>
          </w:p>
        </w:tc>
        <w:tc>
          <w:tcPr>
            <w:tcW w:w="1843" w:type="dxa"/>
            <w:shd w:val="clear" w:color="auto" w:fill="A5C9EB"/>
          </w:tcPr>
          <w:p w14:paraId="730309FC"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Ciudad Real capital</w:t>
            </w:r>
          </w:p>
        </w:tc>
        <w:tc>
          <w:tcPr>
            <w:tcW w:w="1417" w:type="dxa"/>
            <w:shd w:val="clear" w:color="auto" w:fill="A5C9EB"/>
          </w:tcPr>
          <w:p w14:paraId="56A30347"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A5C9EB"/>
          </w:tcPr>
          <w:p w14:paraId="46C1A903"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1.412 €</w:t>
            </w:r>
          </w:p>
        </w:tc>
        <w:tc>
          <w:tcPr>
            <w:tcW w:w="1275" w:type="dxa"/>
            <w:shd w:val="clear" w:color="auto" w:fill="A5C9EB"/>
          </w:tcPr>
          <w:p w14:paraId="0E7DB95A"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A5C9EB"/>
          </w:tcPr>
          <w:p w14:paraId="083C5C55"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2,2%</w:t>
            </w:r>
          </w:p>
        </w:tc>
      </w:tr>
      <w:tr w:rsidR="00677AE1" w14:paraId="56DD991A"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6750A952"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Cuenca</w:t>
            </w:r>
          </w:p>
        </w:tc>
        <w:tc>
          <w:tcPr>
            <w:tcW w:w="1843" w:type="dxa"/>
            <w:shd w:val="clear" w:color="auto" w:fill="DAE9F7"/>
          </w:tcPr>
          <w:p w14:paraId="1C7C9D89"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Cuenca capital</w:t>
            </w:r>
          </w:p>
        </w:tc>
        <w:tc>
          <w:tcPr>
            <w:tcW w:w="1417" w:type="dxa"/>
            <w:shd w:val="clear" w:color="auto" w:fill="DAE9F7"/>
          </w:tcPr>
          <w:p w14:paraId="73B45613"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DAE9F7"/>
          </w:tcPr>
          <w:p w14:paraId="685717C7"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1.720 €</w:t>
            </w:r>
          </w:p>
        </w:tc>
        <w:tc>
          <w:tcPr>
            <w:tcW w:w="1275" w:type="dxa"/>
            <w:shd w:val="clear" w:color="auto" w:fill="DAE9F7"/>
          </w:tcPr>
          <w:p w14:paraId="70381750"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DAE9F7"/>
          </w:tcPr>
          <w:p w14:paraId="32E35917"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16,1%</w:t>
            </w:r>
          </w:p>
        </w:tc>
      </w:tr>
      <w:tr w:rsidR="00677AE1" w14:paraId="3D864AB4"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0E475ACE"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Guadalajara</w:t>
            </w:r>
          </w:p>
        </w:tc>
        <w:tc>
          <w:tcPr>
            <w:tcW w:w="1843" w:type="dxa"/>
            <w:shd w:val="clear" w:color="auto" w:fill="A5C9EB"/>
          </w:tcPr>
          <w:p w14:paraId="62735AF0"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Guadalajara capital</w:t>
            </w:r>
          </w:p>
        </w:tc>
        <w:tc>
          <w:tcPr>
            <w:tcW w:w="1417" w:type="dxa"/>
            <w:shd w:val="clear" w:color="auto" w:fill="A5C9EB"/>
          </w:tcPr>
          <w:p w14:paraId="7E749BAD"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A5C9EB"/>
          </w:tcPr>
          <w:p w14:paraId="5A852AAA"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1.990 €</w:t>
            </w:r>
          </w:p>
        </w:tc>
        <w:tc>
          <w:tcPr>
            <w:tcW w:w="1275" w:type="dxa"/>
            <w:shd w:val="clear" w:color="auto" w:fill="A5C9EB"/>
          </w:tcPr>
          <w:p w14:paraId="41C2AE79"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A5C9EB"/>
          </w:tcPr>
          <w:p w14:paraId="64AC3551"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15,9%</w:t>
            </w:r>
          </w:p>
        </w:tc>
      </w:tr>
      <w:tr w:rsidR="00677AE1" w14:paraId="0554664C"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63ECB2E8"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Toledo</w:t>
            </w:r>
          </w:p>
        </w:tc>
        <w:tc>
          <w:tcPr>
            <w:tcW w:w="1843" w:type="dxa"/>
            <w:shd w:val="clear" w:color="auto" w:fill="DAE9F7"/>
          </w:tcPr>
          <w:p w14:paraId="0A984E1E"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Toledo capital</w:t>
            </w:r>
          </w:p>
        </w:tc>
        <w:tc>
          <w:tcPr>
            <w:tcW w:w="1417" w:type="dxa"/>
            <w:shd w:val="clear" w:color="auto" w:fill="DAE9F7"/>
          </w:tcPr>
          <w:p w14:paraId="0FF99497"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DAE9F7"/>
          </w:tcPr>
          <w:p w14:paraId="74C62777"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1.793 €</w:t>
            </w:r>
          </w:p>
        </w:tc>
        <w:tc>
          <w:tcPr>
            <w:tcW w:w="1275" w:type="dxa"/>
            <w:shd w:val="clear" w:color="auto" w:fill="DAE9F7"/>
          </w:tcPr>
          <w:p w14:paraId="70E4EC6D"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DAE9F7"/>
          </w:tcPr>
          <w:p w14:paraId="194EF687"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10,4%</w:t>
            </w:r>
          </w:p>
        </w:tc>
      </w:tr>
      <w:tr w:rsidR="00677AE1" w14:paraId="3A07DCDD"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11E52F81"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Barcelona</w:t>
            </w:r>
          </w:p>
        </w:tc>
        <w:tc>
          <w:tcPr>
            <w:tcW w:w="1843" w:type="dxa"/>
            <w:shd w:val="clear" w:color="auto" w:fill="A5C9EB"/>
          </w:tcPr>
          <w:p w14:paraId="205C1CB1"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Barcelona capital</w:t>
            </w:r>
          </w:p>
        </w:tc>
        <w:tc>
          <w:tcPr>
            <w:tcW w:w="1417" w:type="dxa"/>
            <w:shd w:val="clear" w:color="auto" w:fill="A5C9EB"/>
          </w:tcPr>
          <w:p w14:paraId="08C567F4"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A5C9EB"/>
          </w:tcPr>
          <w:p w14:paraId="1831B138"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4.892 €</w:t>
            </w:r>
          </w:p>
        </w:tc>
        <w:tc>
          <w:tcPr>
            <w:tcW w:w="1275" w:type="dxa"/>
            <w:shd w:val="clear" w:color="auto" w:fill="A5C9EB"/>
          </w:tcPr>
          <w:p w14:paraId="45685FF3"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A5C9EB"/>
          </w:tcPr>
          <w:p w14:paraId="5035C65E"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8,7%</w:t>
            </w:r>
          </w:p>
        </w:tc>
      </w:tr>
      <w:tr w:rsidR="00677AE1" w14:paraId="27AB5451"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5AB0E685"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Girona</w:t>
            </w:r>
          </w:p>
        </w:tc>
        <w:tc>
          <w:tcPr>
            <w:tcW w:w="1843" w:type="dxa"/>
            <w:shd w:val="clear" w:color="auto" w:fill="DAE9F7"/>
          </w:tcPr>
          <w:p w14:paraId="4F886D28"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Girona capital</w:t>
            </w:r>
          </w:p>
        </w:tc>
        <w:tc>
          <w:tcPr>
            <w:tcW w:w="1417" w:type="dxa"/>
            <w:shd w:val="clear" w:color="auto" w:fill="DAE9F7"/>
          </w:tcPr>
          <w:p w14:paraId="3FD08680"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2.519 €</w:t>
            </w:r>
          </w:p>
        </w:tc>
        <w:tc>
          <w:tcPr>
            <w:tcW w:w="1418" w:type="dxa"/>
            <w:shd w:val="clear" w:color="auto" w:fill="DAE9F7"/>
          </w:tcPr>
          <w:p w14:paraId="3DC4B6B7"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2.818 €</w:t>
            </w:r>
          </w:p>
        </w:tc>
        <w:tc>
          <w:tcPr>
            <w:tcW w:w="1275" w:type="dxa"/>
            <w:shd w:val="clear" w:color="auto" w:fill="DAE9F7"/>
          </w:tcPr>
          <w:p w14:paraId="3EA258A2"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12%</w:t>
            </w:r>
          </w:p>
        </w:tc>
        <w:tc>
          <w:tcPr>
            <w:tcW w:w="1418" w:type="dxa"/>
            <w:shd w:val="clear" w:color="auto" w:fill="DAE9F7"/>
          </w:tcPr>
          <w:p w14:paraId="752F03A2"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5,6%</w:t>
            </w:r>
          </w:p>
        </w:tc>
      </w:tr>
      <w:tr w:rsidR="00677AE1" w14:paraId="10B6E0CD"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72CE61A4"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Lleida</w:t>
            </w:r>
          </w:p>
        </w:tc>
        <w:tc>
          <w:tcPr>
            <w:tcW w:w="1843" w:type="dxa"/>
            <w:shd w:val="clear" w:color="auto" w:fill="A5C9EB"/>
          </w:tcPr>
          <w:p w14:paraId="7284D5F3"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Lleida capital</w:t>
            </w:r>
          </w:p>
        </w:tc>
        <w:tc>
          <w:tcPr>
            <w:tcW w:w="1417" w:type="dxa"/>
            <w:shd w:val="clear" w:color="auto" w:fill="A5C9EB"/>
          </w:tcPr>
          <w:p w14:paraId="6D10B167"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1.693 €</w:t>
            </w:r>
          </w:p>
        </w:tc>
        <w:tc>
          <w:tcPr>
            <w:tcW w:w="1418" w:type="dxa"/>
            <w:shd w:val="clear" w:color="auto" w:fill="A5C9EB"/>
          </w:tcPr>
          <w:p w14:paraId="3472AC70"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1.535 €</w:t>
            </w:r>
          </w:p>
        </w:tc>
        <w:tc>
          <w:tcPr>
            <w:tcW w:w="1275" w:type="dxa"/>
            <w:shd w:val="clear" w:color="auto" w:fill="A5C9EB"/>
          </w:tcPr>
          <w:p w14:paraId="2E4E0D72"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9C0006"/>
                <w:sz w:val="18"/>
                <w:szCs w:val="18"/>
              </w:rPr>
              <w:t>-9%</w:t>
            </w:r>
          </w:p>
        </w:tc>
        <w:tc>
          <w:tcPr>
            <w:tcW w:w="1418" w:type="dxa"/>
            <w:shd w:val="clear" w:color="auto" w:fill="A5C9EB"/>
          </w:tcPr>
          <w:p w14:paraId="03669035"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10,1%</w:t>
            </w:r>
          </w:p>
        </w:tc>
      </w:tr>
      <w:tr w:rsidR="00677AE1" w14:paraId="00AE4834"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52DADE01"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Tarragona</w:t>
            </w:r>
          </w:p>
        </w:tc>
        <w:tc>
          <w:tcPr>
            <w:tcW w:w="1843" w:type="dxa"/>
            <w:shd w:val="clear" w:color="auto" w:fill="DAE9F7"/>
          </w:tcPr>
          <w:p w14:paraId="3183BBC8"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Tarragona capital</w:t>
            </w:r>
          </w:p>
        </w:tc>
        <w:tc>
          <w:tcPr>
            <w:tcW w:w="1417" w:type="dxa"/>
            <w:shd w:val="clear" w:color="auto" w:fill="DAE9F7"/>
          </w:tcPr>
          <w:p w14:paraId="25C7C552"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1.923 €</w:t>
            </w:r>
          </w:p>
        </w:tc>
        <w:tc>
          <w:tcPr>
            <w:tcW w:w="1418" w:type="dxa"/>
            <w:shd w:val="clear" w:color="auto" w:fill="DAE9F7"/>
          </w:tcPr>
          <w:p w14:paraId="7BE99036"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1.734 €</w:t>
            </w:r>
          </w:p>
        </w:tc>
        <w:tc>
          <w:tcPr>
            <w:tcW w:w="1275" w:type="dxa"/>
            <w:shd w:val="clear" w:color="auto" w:fill="DAE9F7"/>
          </w:tcPr>
          <w:p w14:paraId="4A4E5503"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9C0006"/>
                <w:sz w:val="18"/>
                <w:szCs w:val="18"/>
              </w:rPr>
              <w:t>-10%</w:t>
            </w:r>
          </w:p>
        </w:tc>
        <w:tc>
          <w:tcPr>
            <w:tcW w:w="1418" w:type="dxa"/>
            <w:shd w:val="clear" w:color="auto" w:fill="DAE9F7"/>
          </w:tcPr>
          <w:p w14:paraId="3A20356C"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0,6%</w:t>
            </w:r>
          </w:p>
        </w:tc>
      </w:tr>
      <w:tr w:rsidR="00677AE1" w14:paraId="6730F26B"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3914AFCF"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Alicante</w:t>
            </w:r>
          </w:p>
        </w:tc>
        <w:tc>
          <w:tcPr>
            <w:tcW w:w="1843" w:type="dxa"/>
            <w:shd w:val="clear" w:color="auto" w:fill="A5C9EB"/>
          </w:tcPr>
          <w:p w14:paraId="69A96586"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Alicante / Alacant</w:t>
            </w:r>
          </w:p>
        </w:tc>
        <w:tc>
          <w:tcPr>
            <w:tcW w:w="1417" w:type="dxa"/>
            <w:shd w:val="clear" w:color="auto" w:fill="A5C9EB"/>
          </w:tcPr>
          <w:p w14:paraId="22A8BC5E"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1.756 €</w:t>
            </w:r>
          </w:p>
        </w:tc>
        <w:tc>
          <w:tcPr>
            <w:tcW w:w="1418" w:type="dxa"/>
            <w:shd w:val="clear" w:color="auto" w:fill="A5C9EB"/>
          </w:tcPr>
          <w:p w14:paraId="3E4F3133"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2.674 €</w:t>
            </w:r>
          </w:p>
        </w:tc>
        <w:tc>
          <w:tcPr>
            <w:tcW w:w="1275" w:type="dxa"/>
            <w:shd w:val="clear" w:color="auto" w:fill="A5C9EB"/>
          </w:tcPr>
          <w:p w14:paraId="7F1F3D34"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52%</w:t>
            </w:r>
          </w:p>
        </w:tc>
        <w:tc>
          <w:tcPr>
            <w:tcW w:w="1418" w:type="dxa"/>
            <w:shd w:val="clear" w:color="auto" w:fill="A5C9EB"/>
          </w:tcPr>
          <w:p w14:paraId="6C7BDF43"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18,3%</w:t>
            </w:r>
          </w:p>
        </w:tc>
      </w:tr>
      <w:tr w:rsidR="00677AE1" w14:paraId="56DAB900"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5BD0CE0F"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Castellón</w:t>
            </w:r>
          </w:p>
        </w:tc>
        <w:tc>
          <w:tcPr>
            <w:tcW w:w="1843" w:type="dxa"/>
            <w:shd w:val="clear" w:color="auto" w:fill="DAE9F7"/>
          </w:tcPr>
          <w:p w14:paraId="747DF175"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 xml:space="preserve">Castellón de la Plana </w:t>
            </w:r>
          </w:p>
        </w:tc>
        <w:tc>
          <w:tcPr>
            <w:tcW w:w="1417" w:type="dxa"/>
            <w:shd w:val="clear" w:color="auto" w:fill="DAE9F7"/>
          </w:tcPr>
          <w:p w14:paraId="1EA517CE"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1.803 €</w:t>
            </w:r>
          </w:p>
        </w:tc>
        <w:tc>
          <w:tcPr>
            <w:tcW w:w="1418" w:type="dxa"/>
            <w:shd w:val="clear" w:color="auto" w:fill="DAE9F7"/>
          </w:tcPr>
          <w:p w14:paraId="3E8F0EE1"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1.627 €</w:t>
            </w:r>
          </w:p>
        </w:tc>
        <w:tc>
          <w:tcPr>
            <w:tcW w:w="1275" w:type="dxa"/>
            <w:shd w:val="clear" w:color="auto" w:fill="DAE9F7"/>
          </w:tcPr>
          <w:p w14:paraId="113AADCD"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9C0006"/>
                <w:sz w:val="18"/>
                <w:szCs w:val="18"/>
              </w:rPr>
              <w:t>-10%</w:t>
            </w:r>
          </w:p>
        </w:tc>
        <w:tc>
          <w:tcPr>
            <w:tcW w:w="1418" w:type="dxa"/>
            <w:shd w:val="clear" w:color="auto" w:fill="DAE9F7"/>
          </w:tcPr>
          <w:p w14:paraId="132A3FB5"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15,4%</w:t>
            </w:r>
          </w:p>
        </w:tc>
      </w:tr>
      <w:tr w:rsidR="00677AE1" w14:paraId="61E15366"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1FF82253"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Valencia</w:t>
            </w:r>
          </w:p>
        </w:tc>
        <w:tc>
          <w:tcPr>
            <w:tcW w:w="1843" w:type="dxa"/>
            <w:shd w:val="clear" w:color="auto" w:fill="A5C9EB"/>
          </w:tcPr>
          <w:p w14:paraId="0D497E28"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Valencia capital</w:t>
            </w:r>
          </w:p>
        </w:tc>
        <w:tc>
          <w:tcPr>
            <w:tcW w:w="1417" w:type="dxa"/>
            <w:shd w:val="clear" w:color="auto" w:fill="A5C9EB"/>
          </w:tcPr>
          <w:p w14:paraId="57797A41"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2.092 €</w:t>
            </w:r>
          </w:p>
        </w:tc>
        <w:tc>
          <w:tcPr>
            <w:tcW w:w="1418" w:type="dxa"/>
            <w:shd w:val="clear" w:color="auto" w:fill="A5C9EB"/>
          </w:tcPr>
          <w:p w14:paraId="6A53F284"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3.101 €</w:t>
            </w:r>
          </w:p>
        </w:tc>
        <w:tc>
          <w:tcPr>
            <w:tcW w:w="1275" w:type="dxa"/>
            <w:shd w:val="clear" w:color="auto" w:fill="A5C9EB"/>
          </w:tcPr>
          <w:p w14:paraId="318BA92A"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48%</w:t>
            </w:r>
          </w:p>
        </w:tc>
        <w:tc>
          <w:tcPr>
            <w:tcW w:w="1418" w:type="dxa"/>
            <w:shd w:val="clear" w:color="auto" w:fill="A5C9EB"/>
          </w:tcPr>
          <w:p w14:paraId="55E589B9"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17,6%</w:t>
            </w:r>
          </w:p>
        </w:tc>
      </w:tr>
      <w:tr w:rsidR="00677AE1" w14:paraId="2FCC3929"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1C495E0D"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Badajoz</w:t>
            </w:r>
          </w:p>
        </w:tc>
        <w:tc>
          <w:tcPr>
            <w:tcW w:w="1843" w:type="dxa"/>
            <w:shd w:val="clear" w:color="auto" w:fill="DAE9F7"/>
          </w:tcPr>
          <w:p w14:paraId="45A9E513"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Badajoz capital</w:t>
            </w:r>
          </w:p>
        </w:tc>
        <w:tc>
          <w:tcPr>
            <w:tcW w:w="1417" w:type="dxa"/>
            <w:shd w:val="clear" w:color="auto" w:fill="DAE9F7"/>
          </w:tcPr>
          <w:p w14:paraId="21C5E744"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DAE9F7"/>
          </w:tcPr>
          <w:p w14:paraId="4045DB9E"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1.671 €</w:t>
            </w:r>
          </w:p>
        </w:tc>
        <w:tc>
          <w:tcPr>
            <w:tcW w:w="1275" w:type="dxa"/>
            <w:shd w:val="clear" w:color="auto" w:fill="DAE9F7"/>
          </w:tcPr>
          <w:p w14:paraId="530713EA"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DAE9F7"/>
          </w:tcPr>
          <w:p w14:paraId="5193D7D7"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7,2%</w:t>
            </w:r>
          </w:p>
        </w:tc>
      </w:tr>
      <w:tr w:rsidR="00677AE1" w14:paraId="4D89A5B9"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48B99C81"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Cáceres</w:t>
            </w:r>
          </w:p>
        </w:tc>
        <w:tc>
          <w:tcPr>
            <w:tcW w:w="1843" w:type="dxa"/>
            <w:shd w:val="clear" w:color="auto" w:fill="A5C9EB"/>
          </w:tcPr>
          <w:p w14:paraId="13B5ED10"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Cáceres capital</w:t>
            </w:r>
          </w:p>
        </w:tc>
        <w:tc>
          <w:tcPr>
            <w:tcW w:w="1417" w:type="dxa"/>
            <w:shd w:val="clear" w:color="auto" w:fill="A5C9EB"/>
          </w:tcPr>
          <w:p w14:paraId="45543D61"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A5C9EB"/>
          </w:tcPr>
          <w:p w14:paraId="4BC37F6A"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1.508 €</w:t>
            </w:r>
          </w:p>
        </w:tc>
        <w:tc>
          <w:tcPr>
            <w:tcW w:w="1275" w:type="dxa"/>
            <w:shd w:val="clear" w:color="auto" w:fill="A5C9EB"/>
          </w:tcPr>
          <w:p w14:paraId="25FBE2CC"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A5C9EB"/>
          </w:tcPr>
          <w:p w14:paraId="4B38650E"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8,6%</w:t>
            </w:r>
          </w:p>
        </w:tc>
      </w:tr>
      <w:tr w:rsidR="00677AE1" w14:paraId="24C8F901"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34A789AB"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A Coruña</w:t>
            </w:r>
          </w:p>
        </w:tc>
        <w:tc>
          <w:tcPr>
            <w:tcW w:w="1843" w:type="dxa"/>
            <w:shd w:val="clear" w:color="auto" w:fill="DAE9F7"/>
          </w:tcPr>
          <w:p w14:paraId="1A592856"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A Coruña capital</w:t>
            </w:r>
          </w:p>
        </w:tc>
        <w:tc>
          <w:tcPr>
            <w:tcW w:w="1417" w:type="dxa"/>
            <w:shd w:val="clear" w:color="auto" w:fill="DAE9F7"/>
          </w:tcPr>
          <w:p w14:paraId="696D1C18"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1.920 €</w:t>
            </w:r>
          </w:p>
        </w:tc>
        <w:tc>
          <w:tcPr>
            <w:tcW w:w="1418" w:type="dxa"/>
            <w:shd w:val="clear" w:color="auto" w:fill="DAE9F7"/>
          </w:tcPr>
          <w:p w14:paraId="19DBAF0B"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2.910 €</w:t>
            </w:r>
          </w:p>
        </w:tc>
        <w:tc>
          <w:tcPr>
            <w:tcW w:w="1275" w:type="dxa"/>
            <w:shd w:val="clear" w:color="auto" w:fill="DAE9F7"/>
          </w:tcPr>
          <w:p w14:paraId="1BD7092C"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52%</w:t>
            </w:r>
          </w:p>
        </w:tc>
        <w:tc>
          <w:tcPr>
            <w:tcW w:w="1418" w:type="dxa"/>
            <w:shd w:val="clear" w:color="auto" w:fill="DAE9F7"/>
          </w:tcPr>
          <w:p w14:paraId="23879E19"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11,3%</w:t>
            </w:r>
          </w:p>
        </w:tc>
      </w:tr>
      <w:tr w:rsidR="00677AE1" w14:paraId="7D446DB5"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4D055F9F"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Lugo</w:t>
            </w:r>
          </w:p>
        </w:tc>
        <w:tc>
          <w:tcPr>
            <w:tcW w:w="1843" w:type="dxa"/>
            <w:shd w:val="clear" w:color="auto" w:fill="A5C9EB"/>
          </w:tcPr>
          <w:p w14:paraId="623242CE"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Lugo capital</w:t>
            </w:r>
          </w:p>
        </w:tc>
        <w:tc>
          <w:tcPr>
            <w:tcW w:w="1417" w:type="dxa"/>
            <w:shd w:val="clear" w:color="auto" w:fill="A5C9EB"/>
          </w:tcPr>
          <w:p w14:paraId="3D39D631"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A5C9EB"/>
          </w:tcPr>
          <w:p w14:paraId="6EDAEB37"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1.589 €</w:t>
            </w:r>
          </w:p>
        </w:tc>
        <w:tc>
          <w:tcPr>
            <w:tcW w:w="1275" w:type="dxa"/>
            <w:shd w:val="clear" w:color="auto" w:fill="A5C9EB"/>
          </w:tcPr>
          <w:p w14:paraId="5F7E9FE1"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A5C9EB"/>
          </w:tcPr>
          <w:p w14:paraId="17C8612B"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14,9%</w:t>
            </w:r>
          </w:p>
        </w:tc>
      </w:tr>
      <w:tr w:rsidR="00677AE1" w14:paraId="0335FD73"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4531B6B5"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Ourense</w:t>
            </w:r>
          </w:p>
        </w:tc>
        <w:tc>
          <w:tcPr>
            <w:tcW w:w="1843" w:type="dxa"/>
            <w:shd w:val="clear" w:color="auto" w:fill="DAE9F7"/>
          </w:tcPr>
          <w:p w14:paraId="1F3B24A2"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Ourense capital</w:t>
            </w:r>
          </w:p>
        </w:tc>
        <w:tc>
          <w:tcPr>
            <w:tcW w:w="1417" w:type="dxa"/>
            <w:shd w:val="clear" w:color="auto" w:fill="DAE9F7"/>
          </w:tcPr>
          <w:p w14:paraId="3AF91D63"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DAE9F7"/>
          </w:tcPr>
          <w:p w14:paraId="01E94432"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1.696 €</w:t>
            </w:r>
          </w:p>
        </w:tc>
        <w:tc>
          <w:tcPr>
            <w:tcW w:w="1275" w:type="dxa"/>
            <w:shd w:val="clear" w:color="auto" w:fill="DAE9F7"/>
          </w:tcPr>
          <w:p w14:paraId="6CE9F4D9"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DAE9F7"/>
          </w:tcPr>
          <w:p w14:paraId="66631BFF"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6,9%</w:t>
            </w:r>
          </w:p>
        </w:tc>
      </w:tr>
      <w:tr w:rsidR="00677AE1" w14:paraId="3FB29FF0"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4948E943"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Pontevedra</w:t>
            </w:r>
          </w:p>
        </w:tc>
        <w:tc>
          <w:tcPr>
            <w:tcW w:w="1843" w:type="dxa"/>
            <w:shd w:val="clear" w:color="auto" w:fill="A5C9EB"/>
          </w:tcPr>
          <w:p w14:paraId="0D2989EF"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Pontevedra capital</w:t>
            </w:r>
          </w:p>
        </w:tc>
        <w:tc>
          <w:tcPr>
            <w:tcW w:w="1417" w:type="dxa"/>
            <w:shd w:val="clear" w:color="auto" w:fill="A5C9EB"/>
          </w:tcPr>
          <w:p w14:paraId="0D9D5119"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A5C9EB"/>
          </w:tcPr>
          <w:p w14:paraId="673CD331"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2.374 €</w:t>
            </w:r>
          </w:p>
        </w:tc>
        <w:tc>
          <w:tcPr>
            <w:tcW w:w="1275" w:type="dxa"/>
            <w:shd w:val="clear" w:color="auto" w:fill="A5C9EB"/>
          </w:tcPr>
          <w:p w14:paraId="237EF7F6"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A5C9EB"/>
          </w:tcPr>
          <w:p w14:paraId="58FB6731"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13,4%</w:t>
            </w:r>
          </w:p>
        </w:tc>
      </w:tr>
      <w:tr w:rsidR="00677AE1" w14:paraId="1CE5C55E"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42AE8B8F"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La Rioja</w:t>
            </w:r>
          </w:p>
        </w:tc>
        <w:tc>
          <w:tcPr>
            <w:tcW w:w="1843" w:type="dxa"/>
            <w:shd w:val="clear" w:color="auto" w:fill="DAE9F7"/>
          </w:tcPr>
          <w:p w14:paraId="3D2CD0D4"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Logroño</w:t>
            </w:r>
          </w:p>
        </w:tc>
        <w:tc>
          <w:tcPr>
            <w:tcW w:w="1417" w:type="dxa"/>
            <w:shd w:val="clear" w:color="auto" w:fill="DAE9F7"/>
          </w:tcPr>
          <w:p w14:paraId="7B5433B9"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DAE9F7"/>
          </w:tcPr>
          <w:p w14:paraId="685130D2"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2.074 €</w:t>
            </w:r>
          </w:p>
        </w:tc>
        <w:tc>
          <w:tcPr>
            <w:tcW w:w="1275" w:type="dxa"/>
            <w:shd w:val="clear" w:color="auto" w:fill="DAE9F7"/>
          </w:tcPr>
          <w:p w14:paraId="0DCAE8CB"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DAE9F7"/>
          </w:tcPr>
          <w:p w14:paraId="3C517AEE"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4,2%</w:t>
            </w:r>
          </w:p>
        </w:tc>
      </w:tr>
      <w:tr w:rsidR="00677AE1" w14:paraId="5D95DC19"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35D176E0"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Madrid</w:t>
            </w:r>
          </w:p>
        </w:tc>
        <w:tc>
          <w:tcPr>
            <w:tcW w:w="1843" w:type="dxa"/>
            <w:shd w:val="clear" w:color="auto" w:fill="A5C9EB"/>
          </w:tcPr>
          <w:p w14:paraId="3FCA2D0B"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Madrid capital</w:t>
            </w:r>
          </w:p>
        </w:tc>
        <w:tc>
          <w:tcPr>
            <w:tcW w:w="1417" w:type="dxa"/>
            <w:shd w:val="clear" w:color="auto" w:fill="A5C9EB"/>
          </w:tcPr>
          <w:p w14:paraId="4A2EC547"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18"/>
                <w:szCs w:val="18"/>
              </w:rPr>
            </w:pPr>
            <w:r>
              <w:rPr>
                <w:rFonts w:ascii="Open Sans" w:eastAsia="Open Sans" w:hAnsi="Open Sans" w:cs="Open Sans"/>
                <w:sz w:val="18"/>
                <w:szCs w:val="18"/>
              </w:rPr>
              <w:t>4.093 €</w:t>
            </w:r>
          </w:p>
        </w:tc>
        <w:tc>
          <w:tcPr>
            <w:tcW w:w="1418" w:type="dxa"/>
            <w:shd w:val="clear" w:color="auto" w:fill="A5C9EB"/>
          </w:tcPr>
          <w:p w14:paraId="7F531D2A"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5.599 €</w:t>
            </w:r>
          </w:p>
        </w:tc>
        <w:tc>
          <w:tcPr>
            <w:tcW w:w="1275" w:type="dxa"/>
            <w:shd w:val="clear" w:color="auto" w:fill="A5C9EB"/>
          </w:tcPr>
          <w:p w14:paraId="3292D56F"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37%</w:t>
            </w:r>
          </w:p>
        </w:tc>
        <w:tc>
          <w:tcPr>
            <w:tcW w:w="1418" w:type="dxa"/>
            <w:shd w:val="clear" w:color="auto" w:fill="A5C9EB"/>
          </w:tcPr>
          <w:p w14:paraId="4612E2DC"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13,0%</w:t>
            </w:r>
          </w:p>
        </w:tc>
      </w:tr>
      <w:tr w:rsidR="00677AE1" w14:paraId="1FB1847A"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5929A48A"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Navarra</w:t>
            </w:r>
          </w:p>
        </w:tc>
        <w:tc>
          <w:tcPr>
            <w:tcW w:w="1843" w:type="dxa"/>
            <w:shd w:val="clear" w:color="auto" w:fill="DAE9F7"/>
          </w:tcPr>
          <w:p w14:paraId="2D9A2CD5"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Pamplona / Iruña</w:t>
            </w:r>
          </w:p>
        </w:tc>
        <w:tc>
          <w:tcPr>
            <w:tcW w:w="1417" w:type="dxa"/>
            <w:shd w:val="clear" w:color="auto" w:fill="DAE9F7"/>
          </w:tcPr>
          <w:p w14:paraId="0EB6B409"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18"/>
                <w:szCs w:val="18"/>
              </w:rPr>
            </w:pPr>
            <w:r>
              <w:rPr>
                <w:rFonts w:ascii="Open Sans" w:eastAsia="Open Sans" w:hAnsi="Open Sans" w:cs="Open Sans"/>
                <w:sz w:val="18"/>
                <w:szCs w:val="18"/>
              </w:rPr>
              <w:t>-</w:t>
            </w:r>
          </w:p>
        </w:tc>
        <w:tc>
          <w:tcPr>
            <w:tcW w:w="1418" w:type="dxa"/>
            <w:shd w:val="clear" w:color="auto" w:fill="DAE9F7"/>
          </w:tcPr>
          <w:p w14:paraId="122569C8"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3.094 €</w:t>
            </w:r>
          </w:p>
        </w:tc>
        <w:tc>
          <w:tcPr>
            <w:tcW w:w="1275" w:type="dxa"/>
            <w:shd w:val="clear" w:color="auto" w:fill="DAE9F7"/>
          </w:tcPr>
          <w:p w14:paraId="4057CD16"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DAE9F7"/>
          </w:tcPr>
          <w:p w14:paraId="03639E03"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2,2%</w:t>
            </w:r>
          </w:p>
        </w:tc>
      </w:tr>
      <w:tr w:rsidR="00677AE1" w14:paraId="0CF81212"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7833F650"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Araba - Álava</w:t>
            </w:r>
          </w:p>
        </w:tc>
        <w:tc>
          <w:tcPr>
            <w:tcW w:w="1843" w:type="dxa"/>
            <w:shd w:val="clear" w:color="auto" w:fill="A5C9EB"/>
          </w:tcPr>
          <w:p w14:paraId="7C7D4B87"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Pr>
                <w:rFonts w:ascii="Open Sans" w:eastAsia="Open Sans" w:hAnsi="Open Sans" w:cs="Open Sans"/>
                <w:sz w:val="18"/>
                <w:szCs w:val="18"/>
              </w:rPr>
              <w:t>Vitoria - Gasteiz</w:t>
            </w:r>
          </w:p>
        </w:tc>
        <w:tc>
          <w:tcPr>
            <w:tcW w:w="1417" w:type="dxa"/>
            <w:shd w:val="clear" w:color="auto" w:fill="A5C9EB"/>
          </w:tcPr>
          <w:p w14:paraId="6DC76C9B"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18"/>
                <w:szCs w:val="18"/>
              </w:rPr>
            </w:pPr>
            <w:r>
              <w:rPr>
                <w:rFonts w:ascii="Open Sans" w:eastAsia="Open Sans" w:hAnsi="Open Sans" w:cs="Open Sans"/>
                <w:sz w:val="18"/>
                <w:szCs w:val="18"/>
              </w:rPr>
              <w:t>-</w:t>
            </w:r>
          </w:p>
        </w:tc>
        <w:tc>
          <w:tcPr>
            <w:tcW w:w="1418" w:type="dxa"/>
            <w:shd w:val="clear" w:color="auto" w:fill="A5C9EB"/>
          </w:tcPr>
          <w:p w14:paraId="169E6C2C"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2.940 €</w:t>
            </w:r>
          </w:p>
        </w:tc>
        <w:tc>
          <w:tcPr>
            <w:tcW w:w="1275" w:type="dxa"/>
            <w:shd w:val="clear" w:color="auto" w:fill="A5C9EB"/>
          </w:tcPr>
          <w:p w14:paraId="56A8A32F"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A5C9EB"/>
          </w:tcPr>
          <w:p w14:paraId="1E891BB1"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5,4%</w:t>
            </w:r>
          </w:p>
        </w:tc>
      </w:tr>
      <w:tr w:rsidR="00677AE1" w14:paraId="13161133"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23D9FBEE"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Bizkaia</w:t>
            </w:r>
          </w:p>
        </w:tc>
        <w:tc>
          <w:tcPr>
            <w:tcW w:w="1843" w:type="dxa"/>
            <w:shd w:val="clear" w:color="auto" w:fill="DAE9F7"/>
          </w:tcPr>
          <w:p w14:paraId="7CA2A68F"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Bilbao</w:t>
            </w:r>
          </w:p>
        </w:tc>
        <w:tc>
          <w:tcPr>
            <w:tcW w:w="1417" w:type="dxa"/>
            <w:shd w:val="clear" w:color="auto" w:fill="DAE9F7"/>
          </w:tcPr>
          <w:p w14:paraId="06DCB8A2"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3.725 €</w:t>
            </w:r>
          </w:p>
        </w:tc>
        <w:tc>
          <w:tcPr>
            <w:tcW w:w="1418" w:type="dxa"/>
            <w:shd w:val="clear" w:color="auto" w:fill="DAE9F7"/>
          </w:tcPr>
          <w:p w14:paraId="5CA3DBEB"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3.643 €</w:t>
            </w:r>
          </w:p>
        </w:tc>
        <w:tc>
          <w:tcPr>
            <w:tcW w:w="1275" w:type="dxa"/>
            <w:shd w:val="clear" w:color="auto" w:fill="DAE9F7"/>
          </w:tcPr>
          <w:p w14:paraId="1538A1A3"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9C0006"/>
                <w:sz w:val="18"/>
                <w:szCs w:val="18"/>
              </w:rPr>
              <w:t>-2%</w:t>
            </w:r>
          </w:p>
        </w:tc>
        <w:tc>
          <w:tcPr>
            <w:tcW w:w="1418" w:type="dxa"/>
            <w:shd w:val="clear" w:color="auto" w:fill="DAE9F7"/>
          </w:tcPr>
          <w:p w14:paraId="389DA6D5"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1,3%</w:t>
            </w:r>
          </w:p>
        </w:tc>
      </w:tr>
      <w:tr w:rsidR="00677AE1" w14:paraId="67531C47" w14:textId="77777777" w:rsidTr="00677AE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509E8082"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Gipuzkoa</w:t>
            </w:r>
          </w:p>
        </w:tc>
        <w:tc>
          <w:tcPr>
            <w:tcW w:w="1843" w:type="dxa"/>
            <w:shd w:val="clear" w:color="auto" w:fill="A5C9EB"/>
          </w:tcPr>
          <w:p w14:paraId="6BB4D0CB" w14:textId="77777777" w:rsidR="00677AE1"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Donostia - San Sebastián</w:t>
            </w:r>
          </w:p>
        </w:tc>
        <w:tc>
          <w:tcPr>
            <w:tcW w:w="1417" w:type="dxa"/>
            <w:shd w:val="clear" w:color="auto" w:fill="A5C9EB"/>
          </w:tcPr>
          <w:p w14:paraId="12BAE639"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A5C9EB"/>
          </w:tcPr>
          <w:p w14:paraId="271ED088"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6.605 €</w:t>
            </w:r>
          </w:p>
        </w:tc>
        <w:tc>
          <w:tcPr>
            <w:tcW w:w="1275" w:type="dxa"/>
            <w:shd w:val="clear" w:color="auto" w:fill="A5C9EB"/>
          </w:tcPr>
          <w:p w14:paraId="6432B13E"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w:t>
            </w:r>
          </w:p>
        </w:tc>
        <w:tc>
          <w:tcPr>
            <w:tcW w:w="1418" w:type="dxa"/>
            <w:shd w:val="clear" w:color="auto" w:fill="A5C9EB"/>
          </w:tcPr>
          <w:p w14:paraId="07C68E70" w14:textId="77777777" w:rsidR="00677AE1"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color w:val="000000"/>
                <w:sz w:val="18"/>
                <w:szCs w:val="18"/>
              </w:rPr>
              <w:t>9,0%</w:t>
            </w:r>
          </w:p>
        </w:tc>
      </w:tr>
      <w:tr w:rsidR="00677AE1" w14:paraId="372CA541" w14:textId="77777777" w:rsidTr="00677AE1">
        <w:trPr>
          <w:trHeight w:val="282"/>
        </w:trPr>
        <w:tc>
          <w:tcPr>
            <w:cnfStyle w:val="001000000000" w:firstRow="0" w:lastRow="0" w:firstColumn="1" w:lastColumn="0" w:oddVBand="0" w:evenVBand="0" w:oddHBand="0" w:evenHBand="0" w:firstRowFirstColumn="0" w:firstRowLastColumn="0" w:lastRowFirstColumn="0" w:lastRowLastColumn="0"/>
            <w:tcW w:w="1413" w:type="dxa"/>
            <w:shd w:val="clear" w:color="auto" w:fill="0070C0"/>
          </w:tcPr>
          <w:p w14:paraId="7A70B578" w14:textId="77777777" w:rsidR="00677AE1" w:rsidRDefault="00000000">
            <w:pPr>
              <w:spacing w:line="276" w:lineRule="auto"/>
              <w:ind w:right="283"/>
              <w:rPr>
                <w:rFonts w:ascii="Open Sans" w:eastAsia="Open Sans" w:hAnsi="Open Sans" w:cs="Open Sans"/>
                <w:sz w:val="18"/>
                <w:szCs w:val="18"/>
              </w:rPr>
            </w:pPr>
            <w:r>
              <w:rPr>
                <w:rFonts w:ascii="Open Sans" w:eastAsia="Open Sans" w:hAnsi="Open Sans" w:cs="Open Sans"/>
                <w:b w:val="0"/>
                <w:sz w:val="18"/>
                <w:szCs w:val="18"/>
              </w:rPr>
              <w:t>Murcia</w:t>
            </w:r>
          </w:p>
        </w:tc>
        <w:tc>
          <w:tcPr>
            <w:tcW w:w="1843" w:type="dxa"/>
            <w:shd w:val="clear" w:color="auto" w:fill="DAE9F7"/>
          </w:tcPr>
          <w:p w14:paraId="50EEA917" w14:textId="77777777" w:rsidR="00677AE1"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Murcia capital</w:t>
            </w:r>
          </w:p>
        </w:tc>
        <w:tc>
          <w:tcPr>
            <w:tcW w:w="1417" w:type="dxa"/>
            <w:shd w:val="clear" w:color="auto" w:fill="DAE9F7"/>
          </w:tcPr>
          <w:p w14:paraId="6ED9B1CB"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18"/>
                <w:szCs w:val="18"/>
              </w:rPr>
            </w:pPr>
            <w:r>
              <w:rPr>
                <w:rFonts w:ascii="Open Sans" w:eastAsia="Open Sans" w:hAnsi="Open Sans" w:cs="Open Sans"/>
                <w:sz w:val="18"/>
                <w:szCs w:val="18"/>
              </w:rPr>
              <w:t>2.071 €</w:t>
            </w:r>
          </w:p>
        </w:tc>
        <w:tc>
          <w:tcPr>
            <w:tcW w:w="1418" w:type="dxa"/>
            <w:shd w:val="clear" w:color="auto" w:fill="DAE9F7"/>
          </w:tcPr>
          <w:p w14:paraId="30869BCD"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18"/>
                <w:szCs w:val="18"/>
              </w:rPr>
            </w:pPr>
            <w:r>
              <w:rPr>
                <w:rFonts w:ascii="Open Sans" w:eastAsia="Open Sans" w:hAnsi="Open Sans" w:cs="Open Sans"/>
                <w:sz w:val="18"/>
                <w:szCs w:val="18"/>
              </w:rPr>
              <w:t>1.690 €</w:t>
            </w:r>
          </w:p>
        </w:tc>
        <w:tc>
          <w:tcPr>
            <w:tcW w:w="1275" w:type="dxa"/>
            <w:shd w:val="clear" w:color="auto" w:fill="DAE9F7"/>
          </w:tcPr>
          <w:p w14:paraId="3713E668"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18"/>
                <w:szCs w:val="18"/>
              </w:rPr>
            </w:pPr>
            <w:r>
              <w:rPr>
                <w:rFonts w:ascii="Open Sans" w:eastAsia="Open Sans" w:hAnsi="Open Sans" w:cs="Open Sans"/>
                <w:color w:val="9C0006"/>
                <w:sz w:val="18"/>
                <w:szCs w:val="18"/>
              </w:rPr>
              <w:t>-18%</w:t>
            </w:r>
          </w:p>
        </w:tc>
        <w:tc>
          <w:tcPr>
            <w:tcW w:w="1418" w:type="dxa"/>
            <w:shd w:val="clear" w:color="auto" w:fill="DAE9F7"/>
          </w:tcPr>
          <w:p w14:paraId="117B02F1" w14:textId="77777777" w:rsidR="00677AE1"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18"/>
                <w:szCs w:val="18"/>
              </w:rPr>
            </w:pPr>
            <w:r>
              <w:rPr>
                <w:rFonts w:ascii="Open Sans" w:eastAsia="Open Sans" w:hAnsi="Open Sans" w:cs="Open Sans"/>
                <w:color w:val="000000"/>
                <w:sz w:val="18"/>
                <w:szCs w:val="18"/>
              </w:rPr>
              <w:t>6,5%</w:t>
            </w:r>
          </w:p>
        </w:tc>
      </w:tr>
    </w:tbl>
    <w:p w14:paraId="46CC6FF3" w14:textId="77777777" w:rsidR="00677AE1" w:rsidRDefault="00677AE1">
      <w:pPr>
        <w:spacing w:line="276" w:lineRule="auto"/>
        <w:ind w:right="283"/>
        <w:rPr>
          <w:rFonts w:ascii="Open Sans" w:eastAsia="Open Sans" w:hAnsi="Open Sans" w:cs="Open Sans"/>
        </w:rPr>
      </w:pPr>
    </w:p>
    <w:p w14:paraId="6AFBBCD9" w14:textId="77777777" w:rsidR="0022282A" w:rsidRDefault="0022282A">
      <w:pPr>
        <w:spacing w:line="276" w:lineRule="auto"/>
        <w:jc w:val="both"/>
        <w:rPr>
          <w:rFonts w:ascii="Open Sans" w:eastAsia="Open Sans" w:hAnsi="Open Sans" w:cs="Open Sans"/>
          <w:sz w:val="22"/>
          <w:szCs w:val="22"/>
        </w:rPr>
      </w:pPr>
    </w:p>
    <w:p w14:paraId="55CE85CC" w14:textId="77777777" w:rsidR="0022282A" w:rsidRDefault="0022282A">
      <w:pPr>
        <w:spacing w:line="276" w:lineRule="auto"/>
        <w:jc w:val="both"/>
        <w:rPr>
          <w:rFonts w:ascii="Open Sans" w:eastAsia="Open Sans" w:hAnsi="Open Sans" w:cs="Open Sans"/>
          <w:sz w:val="22"/>
          <w:szCs w:val="22"/>
        </w:rPr>
      </w:pPr>
    </w:p>
    <w:p w14:paraId="2BEFA61B" w14:textId="5688B682" w:rsidR="00677AE1" w:rsidRDefault="00000000">
      <w:pPr>
        <w:spacing w:line="276" w:lineRule="auto"/>
        <w:jc w:val="both"/>
        <w:rPr>
          <w:rFonts w:ascii="Open Sans" w:eastAsia="Open Sans" w:hAnsi="Open Sans" w:cs="Open Sans"/>
        </w:rPr>
      </w:pPr>
      <w:r>
        <w:rPr>
          <w:rFonts w:ascii="Open Sans" w:eastAsia="Open Sans" w:hAnsi="Open Sans" w:cs="Open Sans"/>
          <w:sz w:val="22"/>
          <w:szCs w:val="22"/>
        </w:rPr>
        <w:lastRenderedPageBreak/>
        <w:t xml:space="preserve">“En Fotocasa estamos orgullosos de conmemorar 20 años de datos, con nuestro </w:t>
      </w:r>
      <w:r>
        <w:rPr>
          <w:rFonts w:ascii="Open Sans" w:eastAsia="Open Sans" w:hAnsi="Open Sans" w:cs="Open Sans"/>
          <w:b/>
          <w:sz w:val="22"/>
          <w:szCs w:val="22"/>
        </w:rPr>
        <w:t>Índice Inmobiliario</w:t>
      </w:r>
      <w:r>
        <w:rPr>
          <w:rFonts w:ascii="Open Sans" w:eastAsia="Open Sans" w:hAnsi="Open Sans" w:cs="Open Sans"/>
          <w:sz w:val="22"/>
          <w:szCs w:val="22"/>
        </w:rPr>
        <w:t xml:space="preserve">, una herramienta que se ha convertido en un referente en el análisis del precio de la vivienda en España. Durante estas dos décadas, hemos trabajado con rigor y compromiso para ofrecer datos precisos y actualizados, que no solo reflejan la evolución del mercado inmobiliario, sino que también sirven como guía para ciudadanos, profesionales y empresas del sector. Nuestro objetivo siempre ha sido aportar claridad en un mercado complejo, facilitando la toma de decisiones informadas y promoviendo la transparencia. Este aniversario refuerza nuestra vocación de seguir siendo útiles al público, consolidándonos como una fuente de confianza para entender los retos y dinámicas del sector en los próximos años”, </w:t>
      </w:r>
      <w:r>
        <w:rPr>
          <w:rFonts w:ascii="Open Sans" w:eastAsia="Open Sans" w:hAnsi="Open Sans" w:cs="Open Sans"/>
          <w:b/>
          <w:sz w:val="22"/>
          <w:szCs w:val="22"/>
        </w:rPr>
        <w:t xml:space="preserve">concluye María Matos, directora de Estudios de </w:t>
      </w:r>
      <w:hyperlink r:id="rId12">
        <w:r w:rsidR="00677AE1">
          <w:rPr>
            <w:rFonts w:ascii="Open Sans" w:eastAsia="Open Sans" w:hAnsi="Open Sans" w:cs="Open Sans"/>
            <w:b/>
            <w:color w:val="1155CC"/>
            <w:sz w:val="22"/>
            <w:szCs w:val="22"/>
            <w:u w:val="single"/>
          </w:rPr>
          <w:t>Fotocasa</w:t>
        </w:r>
      </w:hyperlink>
      <w:r>
        <w:rPr>
          <w:rFonts w:ascii="Open Sans" w:eastAsia="Open Sans" w:hAnsi="Open Sans" w:cs="Open Sans"/>
          <w:b/>
          <w:sz w:val="22"/>
          <w:szCs w:val="22"/>
        </w:rPr>
        <w:t>.</w:t>
      </w:r>
    </w:p>
    <w:p w14:paraId="23C411B5" w14:textId="77777777" w:rsidR="00677AE1" w:rsidRDefault="00677AE1">
      <w:pPr>
        <w:spacing w:line="276" w:lineRule="auto"/>
        <w:ind w:right="-142"/>
        <w:jc w:val="right"/>
        <w:rPr>
          <w:rFonts w:ascii="Open Sans Light" w:eastAsia="Open Sans Light" w:hAnsi="Open Sans Light" w:cs="Open Sans Light"/>
          <w:b/>
          <w:color w:val="303AB2"/>
        </w:rPr>
      </w:pPr>
    </w:p>
    <w:p w14:paraId="33E81390" w14:textId="77777777" w:rsidR="00677AE1" w:rsidRDefault="00677AE1">
      <w:pPr>
        <w:spacing w:line="276" w:lineRule="auto"/>
        <w:ind w:right="-142"/>
        <w:jc w:val="right"/>
        <w:rPr>
          <w:rFonts w:ascii="Open Sans Light" w:eastAsia="Open Sans Light" w:hAnsi="Open Sans Light" w:cs="Open Sans Light"/>
          <w:b/>
          <w:color w:val="303AB2"/>
        </w:rPr>
      </w:pPr>
      <w:bookmarkStart w:id="0" w:name="_heading=h.1fob9te" w:colFirst="0" w:colLast="0"/>
      <w:bookmarkEnd w:id="0"/>
    </w:p>
    <w:p w14:paraId="694347BD" w14:textId="77777777" w:rsidR="00677AE1" w:rsidRDefault="00000000">
      <w:pPr>
        <w:spacing w:line="276" w:lineRule="auto"/>
        <w:ind w:right="-142"/>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552401FD" w14:textId="77777777" w:rsidR="00677AE1" w:rsidRDefault="00000000">
      <w:pPr>
        <w:shd w:val="clear" w:color="auto" w:fill="FFFFFF"/>
        <w:spacing w:before="280" w:after="280" w:line="276" w:lineRule="auto"/>
        <w:ind w:right="-142"/>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sidR="00677AE1">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616D2911" w14:textId="77777777" w:rsidR="00677AE1" w:rsidRDefault="00000000">
      <w:pPr>
        <w:shd w:val="clear" w:color="auto" w:fill="FFFFFF"/>
        <w:spacing w:before="280" w:after="280" w:line="276" w:lineRule="auto"/>
        <w:ind w:right="-142"/>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4">
        <w:r w:rsidR="00677AE1">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33CD4911" w14:textId="77777777" w:rsidR="00677AE1" w:rsidRDefault="00000000">
      <w:pPr>
        <w:shd w:val="clear" w:color="auto" w:fill="FFFFFF"/>
        <w:spacing w:before="280" w:after="280" w:line="276" w:lineRule="auto"/>
        <w:ind w:right="-142"/>
        <w:jc w:val="both"/>
        <w:rPr>
          <w:rFonts w:ascii="Open Sans Light" w:eastAsia="Open Sans Light" w:hAnsi="Open Sans Light" w:cs="Open Sans Light"/>
          <w:b/>
          <w:color w:val="303AB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6578ED7C" w14:textId="77777777" w:rsidR="00677AE1" w:rsidRDefault="00000000">
      <w:pPr>
        <w:spacing w:line="276" w:lineRule="auto"/>
        <w:ind w:right="-142"/>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6B3BA5DB" w14:textId="77777777" w:rsidR="00677AE1" w:rsidRDefault="00000000">
      <w:pPr>
        <w:spacing w:before="143" w:after="200"/>
        <w:ind w:right="-142"/>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5">
        <w:r w:rsidR="00677AE1">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r w:rsidR="00677AE1">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7">
        <w:r w:rsidR="00677AE1">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sidR="00677AE1">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sidR="00677AE1">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0">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6A56AD67" w14:textId="77777777" w:rsidR="00677AE1" w:rsidRDefault="00000000">
      <w:pPr>
        <w:spacing w:before="143" w:after="200"/>
        <w:ind w:right="-142"/>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1A474986" w14:textId="77777777" w:rsidR="00677AE1" w:rsidRDefault="00000000">
      <w:pPr>
        <w:spacing w:before="143" w:after="200"/>
        <w:ind w:right="-142"/>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3BDC4BE2" w14:textId="77777777" w:rsidR="00677AE1" w:rsidRDefault="00000000">
      <w:pPr>
        <w:spacing w:before="143" w:after="200"/>
        <w:ind w:right="-142"/>
        <w:jc w:val="both"/>
      </w:pPr>
      <w:r>
        <w:rPr>
          <w:rFonts w:ascii="Open Sans" w:eastAsia="Open Sans" w:hAnsi="Open Sans" w:cs="Open Sans"/>
          <w:sz w:val="22"/>
          <w:szCs w:val="22"/>
        </w:rPr>
        <w:t xml:space="preserve">Más información en </w:t>
      </w:r>
      <w:hyperlink r:id="rId21">
        <w:r w:rsidR="00677AE1">
          <w:rPr>
            <w:rFonts w:ascii="Open Sans" w:eastAsia="Open Sans" w:hAnsi="Open Sans" w:cs="Open Sans"/>
            <w:color w:val="1155CC"/>
            <w:sz w:val="22"/>
            <w:szCs w:val="22"/>
            <w:u w:val="single"/>
          </w:rPr>
          <w:t>adevinta.es</w:t>
        </w:r>
      </w:hyperlink>
    </w:p>
    <w:p w14:paraId="00EEA125" w14:textId="77777777" w:rsidR="00677AE1" w:rsidRDefault="00000000">
      <w:pPr>
        <w:spacing w:line="276" w:lineRule="auto"/>
        <w:ind w:right="-142"/>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lastRenderedPageBreak/>
        <w:t>Departamento Comunicación Fotocasa</w:t>
      </w:r>
    </w:p>
    <w:p w14:paraId="5DA8A9EF" w14:textId="77777777" w:rsidR="00677AE1" w:rsidRDefault="00000000">
      <w:pPr>
        <w:shd w:val="clear" w:color="auto" w:fill="FFFFFF"/>
        <w:spacing w:line="276" w:lineRule="auto"/>
        <w:ind w:right="-142"/>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2A8C1715" w14:textId="77777777" w:rsidR="00677AE1" w:rsidRDefault="00677AE1">
      <w:pPr>
        <w:shd w:val="clear" w:color="auto" w:fill="FFFFFF"/>
        <w:spacing w:line="276" w:lineRule="auto"/>
        <w:ind w:right="-142"/>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5B5E5D17" w14:textId="77777777" w:rsidR="00677AE1" w:rsidRDefault="00000000">
      <w:pPr>
        <w:shd w:val="clear" w:color="auto" w:fill="FFFFFF"/>
        <w:spacing w:line="276" w:lineRule="auto"/>
        <w:ind w:right="-142"/>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677AE1">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D5E2C9B-450B-449E-A8CA-434B63C3862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A123716-896A-45B1-BE5E-3CF4D7F65DB7}"/>
    <w:embedBold r:id="rId3" w:fontKey="{1DA732E9-E536-4555-80F8-A969C35FF651}"/>
    <w:embedItalic r:id="rId4" w:fontKey="{FF3D6EE9-0C96-4D27-903B-26CA2F7A87B5}"/>
  </w:font>
  <w:font w:name="Aptos Display">
    <w:charset w:val="00"/>
    <w:family w:val="swiss"/>
    <w:pitch w:val="variable"/>
    <w:sig w:usb0="20000287" w:usb1="00000003" w:usb2="00000000" w:usb3="00000000" w:csb0="0000019F" w:csb1="00000000"/>
    <w:embedRegular r:id="rId5" w:fontKey="{54AC02A6-3805-4BD3-9D76-6D05A01C7688}"/>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8FD866D5-CAE3-49C1-9ED3-BAA2BD53742A}"/>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5D0D37C7-136A-487C-9ABE-52D4559DBFCE}"/>
    <w:embedBold r:id="rId8" w:fontKey="{13519CAC-A4CF-420F-BE2D-29599C06592E}"/>
  </w:font>
  <w:font w:name="Open Sans Light">
    <w:charset w:val="00"/>
    <w:family w:val="swiss"/>
    <w:pitch w:val="variable"/>
    <w:sig w:usb0="E00002EF" w:usb1="4000205B" w:usb2="00000028" w:usb3="00000000" w:csb0="0000019F" w:csb1="00000000"/>
    <w:embedRegular r:id="rId9" w:fontKey="{F7B5E20A-452E-44F5-A12A-AB1AE0D7E0D6}"/>
    <w:embedBold r:id="rId10" w:fontKey="{7E58BA47-E134-4782-B656-6BE346D033E3}"/>
  </w:font>
  <w:font w:name="Aptos">
    <w:charset w:val="00"/>
    <w:family w:val="swiss"/>
    <w:pitch w:val="variable"/>
    <w:sig w:usb0="20000287" w:usb1="00000003" w:usb2="00000000" w:usb3="00000000" w:csb0="0000019F" w:csb1="00000000"/>
    <w:embedRegular r:id="rId11" w:fontKey="{3043BAD1-92BC-4BD5-A5C1-A5FDC99F70C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B0CCC"/>
    <w:multiLevelType w:val="multilevel"/>
    <w:tmpl w:val="3E70B1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204432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AE1"/>
    <w:rsid w:val="0022282A"/>
    <w:rsid w:val="0039542C"/>
    <w:rsid w:val="004869F3"/>
    <w:rsid w:val="00677AE1"/>
    <w:rsid w:val="00996102"/>
    <w:rsid w:val="009E39D9"/>
    <w:rsid w:val="00D15863"/>
    <w:rsid w:val="00F421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1AD1C"/>
  <w15:docId w15:val="{F4319E68-F4FA-4F7F-84F8-1B5BAFA23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BA6"/>
  </w:style>
  <w:style w:type="paragraph" w:styleId="Ttulo1">
    <w:name w:val="heading 1"/>
    <w:basedOn w:val="Normal"/>
    <w:next w:val="Normal"/>
    <w:link w:val="Ttulo1Car"/>
    <w:uiPriority w:val="9"/>
    <w:qFormat/>
    <w:rsid w:val="00F35B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35B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35B0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35B0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35B0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35B0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35B0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35B0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35B0E"/>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F35B0E"/>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F35B0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35B0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35B0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35B0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35B0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35B0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35B0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35B0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35B0E"/>
    <w:rPr>
      <w:rFonts w:eastAsiaTheme="majorEastAsia" w:cstheme="majorBidi"/>
      <w:color w:val="272727" w:themeColor="text1" w:themeTint="D8"/>
    </w:rPr>
  </w:style>
  <w:style w:type="character" w:customStyle="1" w:styleId="TtuloCar">
    <w:name w:val="Título Car"/>
    <w:basedOn w:val="Fuentedeprrafopredeter"/>
    <w:link w:val="Ttulo"/>
    <w:uiPriority w:val="10"/>
    <w:rsid w:val="00F35B0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F35B0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35B0E"/>
    <w:pPr>
      <w:spacing w:before="160"/>
      <w:jc w:val="center"/>
    </w:pPr>
    <w:rPr>
      <w:i/>
      <w:iCs/>
      <w:color w:val="404040" w:themeColor="text1" w:themeTint="BF"/>
    </w:rPr>
  </w:style>
  <w:style w:type="character" w:customStyle="1" w:styleId="CitaCar">
    <w:name w:val="Cita Car"/>
    <w:basedOn w:val="Fuentedeprrafopredeter"/>
    <w:link w:val="Cita"/>
    <w:uiPriority w:val="29"/>
    <w:rsid w:val="00F35B0E"/>
    <w:rPr>
      <w:i/>
      <w:iCs/>
      <w:color w:val="404040" w:themeColor="text1" w:themeTint="BF"/>
    </w:rPr>
  </w:style>
  <w:style w:type="paragraph" w:styleId="Prrafodelista">
    <w:name w:val="List Paragraph"/>
    <w:basedOn w:val="Normal"/>
    <w:uiPriority w:val="34"/>
    <w:qFormat/>
    <w:rsid w:val="00F35B0E"/>
    <w:pPr>
      <w:ind w:left="720"/>
      <w:contextualSpacing/>
    </w:pPr>
  </w:style>
  <w:style w:type="character" w:styleId="nfasisintenso">
    <w:name w:val="Intense Emphasis"/>
    <w:basedOn w:val="Fuentedeprrafopredeter"/>
    <w:uiPriority w:val="21"/>
    <w:qFormat/>
    <w:rsid w:val="00F35B0E"/>
    <w:rPr>
      <w:i/>
      <w:iCs/>
      <w:color w:val="0F4761" w:themeColor="accent1" w:themeShade="BF"/>
    </w:rPr>
  </w:style>
  <w:style w:type="paragraph" w:styleId="Citadestacada">
    <w:name w:val="Intense Quote"/>
    <w:basedOn w:val="Normal"/>
    <w:next w:val="Normal"/>
    <w:link w:val="CitadestacadaCar"/>
    <w:uiPriority w:val="30"/>
    <w:qFormat/>
    <w:rsid w:val="00F35B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35B0E"/>
    <w:rPr>
      <w:i/>
      <w:iCs/>
      <w:color w:val="0F4761" w:themeColor="accent1" w:themeShade="BF"/>
    </w:rPr>
  </w:style>
  <w:style w:type="character" w:styleId="Referenciaintensa">
    <w:name w:val="Intense Reference"/>
    <w:basedOn w:val="Fuentedeprrafopredeter"/>
    <w:uiPriority w:val="32"/>
    <w:qFormat/>
    <w:rsid w:val="00F35B0E"/>
    <w:rPr>
      <w:b/>
      <w:bCs/>
      <w:smallCaps/>
      <w:color w:val="0F4761" w:themeColor="accent1" w:themeShade="BF"/>
      <w:spacing w:val="5"/>
    </w:rPr>
  </w:style>
  <w:style w:type="table" w:customStyle="1" w:styleId="TableNormal0">
    <w:name w:val="Table Normal"/>
    <w:rsid w:val="00F35B0E"/>
    <w:tblPr>
      <w:tblCellMar>
        <w:top w:w="0" w:type="dxa"/>
        <w:left w:w="0" w:type="dxa"/>
        <w:bottom w:w="0" w:type="dxa"/>
        <w:right w:w="0" w:type="dxa"/>
      </w:tblCellMar>
    </w:tblPr>
  </w:style>
  <w:style w:type="paragraph" w:styleId="NormalWeb">
    <w:name w:val="Normal (Web)"/>
    <w:basedOn w:val="Normal"/>
    <w:uiPriority w:val="99"/>
    <w:unhideWhenUsed/>
    <w:rsid w:val="00F35B0E"/>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F35B0E"/>
    <w:pPr>
      <w:tabs>
        <w:tab w:val="center" w:pos="4252"/>
        <w:tab w:val="right" w:pos="8504"/>
      </w:tabs>
    </w:pPr>
  </w:style>
  <w:style w:type="character" w:customStyle="1" w:styleId="EncabezadoCar">
    <w:name w:val="Encabezado Car"/>
    <w:basedOn w:val="Fuentedeprrafopredeter"/>
    <w:link w:val="Encabezado"/>
    <w:uiPriority w:val="99"/>
    <w:rsid w:val="00F35B0E"/>
    <w:rPr>
      <w:rFonts w:ascii="Calibri" w:eastAsia="Calibri" w:hAnsi="Calibri" w:cs="Calibri"/>
      <w:kern w:val="0"/>
      <w:lang w:val="es-ES_tradnl" w:eastAsia="es-ES"/>
    </w:rPr>
  </w:style>
  <w:style w:type="paragraph" w:styleId="Piedepgina">
    <w:name w:val="footer"/>
    <w:basedOn w:val="Normal"/>
    <w:link w:val="PiedepginaCar"/>
    <w:uiPriority w:val="99"/>
    <w:unhideWhenUsed/>
    <w:rsid w:val="00F35B0E"/>
    <w:pPr>
      <w:tabs>
        <w:tab w:val="center" w:pos="4252"/>
        <w:tab w:val="right" w:pos="8504"/>
      </w:tabs>
    </w:pPr>
  </w:style>
  <w:style w:type="character" w:customStyle="1" w:styleId="PiedepginaCar">
    <w:name w:val="Pie de página Car"/>
    <w:basedOn w:val="Fuentedeprrafopredeter"/>
    <w:link w:val="Piedepgina"/>
    <w:uiPriority w:val="99"/>
    <w:rsid w:val="00F35B0E"/>
    <w:rPr>
      <w:rFonts w:ascii="Calibri" w:eastAsia="Calibri" w:hAnsi="Calibri" w:cs="Calibri"/>
      <w:kern w:val="0"/>
      <w:lang w:val="es-ES_tradnl" w:eastAsia="es-ES"/>
    </w:rPr>
  </w:style>
  <w:style w:type="character" w:styleId="Hipervnculo">
    <w:name w:val="Hyperlink"/>
    <w:basedOn w:val="Fuentedeprrafopredeter"/>
    <w:uiPriority w:val="99"/>
    <w:unhideWhenUsed/>
    <w:rsid w:val="00F35B0E"/>
    <w:rPr>
      <w:color w:val="0000FF"/>
      <w:u w:val="single"/>
    </w:rPr>
  </w:style>
  <w:style w:type="table" w:customStyle="1" w:styleId="Tabladecuadrcula5oscura-nfasis11">
    <w:name w:val="Tabla de cuadrícula 5 oscura - Énfasis 11"/>
    <w:basedOn w:val="Tablanormal"/>
    <w:uiPriority w:val="50"/>
    <w:rsid w:val="00F35B0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paragraph" w:styleId="Textodeglobo">
    <w:name w:val="Balloon Text"/>
    <w:basedOn w:val="Normal"/>
    <w:link w:val="TextodegloboCar"/>
    <w:uiPriority w:val="99"/>
    <w:semiHidden/>
    <w:unhideWhenUsed/>
    <w:rsid w:val="00F35B0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B0E"/>
    <w:rPr>
      <w:rFonts w:ascii="Segoe UI" w:eastAsia="Calibri" w:hAnsi="Segoe UI" w:cs="Segoe UI"/>
      <w:kern w:val="0"/>
      <w:sz w:val="18"/>
      <w:szCs w:val="18"/>
      <w:lang w:val="es-ES_tradnl" w:eastAsia="es-ES"/>
    </w:rPr>
  </w:style>
  <w:style w:type="character" w:customStyle="1" w:styleId="m6445620330082090912gmail-msohyperlink">
    <w:name w:val="m_6445620330082090912gmail-msohyperlink"/>
    <w:basedOn w:val="Fuentedeprrafopredeter"/>
    <w:rsid w:val="00F35B0E"/>
  </w:style>
  <w:style w:type="table" w:styleId="Tablaconcuadrcula5oscura-nfasis3">
    <w:name w:val="Grid Table 5 Dark Accent 3"/>
    <w:basedOn w:val="Tablanormal"/>
    <w:uiPriority w:val="50"/>
    <w:rsid w:val="00F35B0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paragraph" w:styleId="Sinespaciado">
    <w:name w:val="No Spacing"/>
    <w:uiPriority w:val="1"/>
    <w:qFormat/>
    <w:rsid w:val="00F35B0E"/>
  </w:style>
  <w:style w:type="character" w:styleId="Mencinsinresolver">
    <w:name w:val="Unresolved Mention"/>
    <w:basedOn w:val="Fuentedeprrafopredeter"/>
    <w:uiPriority w:val="99"/>
    <w:semiHidden/>
    <w:unhideWhenUsed/>
    <w:rsid w:val="00F35B0E"/>
    <w:rPr>
      <w:color w:val="605E5C"/>
      <w:shd w:val="clear" w:color="auto" w:fill="E1DFDD"/>
    </w:rPr>
  </w:style>
  <w:style w:type="paragraph" w:styleId="Textocomentario">
    <w:name w:val="annotation text"/>
    <w:basedOn w:val="Normal"/>
    <w:link w:val="TextocomentarioCar"/>
    <w:uiPriority w:val="99"/>
    <w:semiHidden/>
    <w:unhideWhenUsed/>
    <w:rsid w:val="00F35B0E"/>
    <w:rPr>
      <w:sz w:val="20"/>
      <w:szCs w:val="20"/>
    </w:rPr>
  </w:style>
  <w:style w:type="character" w:customStyle="1" w:styleId="TextocomentarioCar">
    <w:name w:val="Texto comentario Car"/>
    <w:basedOn w:val="Fuentedeprrafopredeter"/>
    <w:link w:val="Textocomentario"/>
    <w:uiPriority w:val="99"/>
    <w:semiHidden/>
    <w:rsid w:val="00F35B0E"/>
    <w:rPr>
      <w:rFonts w:ascii="Calibri" w:eastAsia="Calibri" w:hAnsi="Calibri" w:cs="Calibri"/>
      <w:kern w:val="0"/>
      <w:sz w:val="20"/>
      <w:szCs w:val="20"/>
      <w:lang w:val="es-ES_tradnl" w:eastAsia="es-ES"/>
    </w:rPr>
  </w:style>
  <w:style w:type="character" w:styleId="Refdecomentario">
    <w:name w:val="annotation reference"/>
    <w:basedOn w:val="Fuentedeprrafopredeter"/>
    <w:uiPriority w:val="99"/>
    <w:semiHidden/>
    <w:unhideWhenUsed/>
    <w:rsid w:val="00F35B0E"/>
    <w:rPr>
      <w:sz w:val="16"/>
      <w:szCs w:val="16"/>
    </w:rPr>
  </w:style>
  <w:style w:type="table" w:customStyle="1" w:styleId="a">
    <w:basedOn w:val="TableNormal0"/>
    <w:tblPr>
      <w:tblStyleRowBandSize w:val="1"/>
      <w:tblStyleColBandSize w:val="1"/>
      <w:tblCellMar>
        <w:left w:w="115" w:type="dxa"/>
        <w:right w:w="115" w:type="dxa"/>
      </w:tblCellMar>
    </w:tblPr>
    <w:tcPr>
      <w:shd w:val="clear" w:color="auto" w:fill="C1E4F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15608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15608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15608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156082"/>
      </w:tcPr>
    </w:tblStylePr>
    <w:tblStylePr w:type="band1Vert">
      <w:tblPr/>
      <w:tcPr>
        <w:shd w:val="clear" w:color="auto" w:fill="83CAEB"/>
      </w:tcPr>
    </w:tblStylePr>
    <w:tblStylePr w:type="band1Horz">
      <w:tblPr/>
      <w:tcPr>
        <w:shd w:val="clear" w:color="auto" w:fill="83CAEB"/>
      </w:tcPr>
    </w:tblStylePr>
  </w:style>
  <w:style w:type="table" w:customStyle="1" w:styleId="a0">
    <w:basedOn w:val="TableNormal0"/>
    <w:tblPr>
      <w:tblStyleRowBandSize w:val="1"/>
      <w:tblStyleColBandSize w:val="1"/>
      <w:tblCellMar>
        <w:left w:w="115" w:type="dxa"/>
        <w:right w:w="115" w:type="dxa"/>
      </w:tblCellMar>
    </w:tblPr>
    <w:tcPr>
      <w:shd w:val="clear" w:color="auto" w:fill="C1E4F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15608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15608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15608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156082"/>
      </w:tcPr>
    </w:tblStylePr>
    <w:tblStylePr w:type="band1Vert">
      <w:tblPr/>
      <w:tcPr>
        <w:shd w:val="clear" w:color="auto" w:fill="83CAEB"/>
      </w:tcPr>
    </w:tblStylePr>
    <w:tblStylePr w:type="band1Horz">
      <w:tblPr/>
      <w:tcPr>
        <w:shd w:val="clear" w:color="auto" w:fill="83CAEB"/>
      </w:tcPr>
    </w:tblStylePr>
  </w:style>
  <w:style w:type="table" w:customStyle="1" w:styleId="a1">
    <w:basedOn w:val="TableNormal0"/>
    <w:tblPr>
      <w:tblStyleRowBandSize w:val="1"/>
      <w:tblStyleColBandSize w:val="1"/>
      <w:tblCellMar>
        <w:left w:w="115" w:type="dxa"/>
        <w:right w:w="115" w:type="dxa"/>
      </w:tblCellMar>
    </w:tblPr>
    <w:tcPr>
      <w:shd w:val="clear" w:color="auto" w:fill="C1E4F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15608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15608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15608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156082"/>
      </w:tcPr>
    </w:tblStylePr>
    <w:tblStylePr w:type="band1Vert">
      <w:tblPr/>
      <w:tcPr>
        <w:shd w:val="clear" w:color="auto" w:fill="83CAEB"/>
      </w:tcPr>
    </w:tblStylePr>
    <w:tblStylePr w:type="band1Horz">
      <w:tblPr/>
      <w:tcPr>
        <w:shd w:val="clear" w:color="auto" w:fill="83CAE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www.fotocasa.es/indice/" TargetMode="External"/><Relationship Id="rId18"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http://adevinta.es" TargetMode="External"/><Relationship Id="rId7" Type="http://schemas.openxmlformats.org/officeDocument/2006/relationships/hyperlink" Target="https://youtu.be/nlHqAW45x5s" TargetMode="External"/><Relationship Id="rId12" Type="http://schemas.openxmlformats.org/officeDocument/2006/relationships/hyperlink" Target="https://www.fotocasa.es/es/" TargetMode="External"/><Relationship Id="rId17" Type="http://schemas.openxmlformats.org/officeDocument/2006/relationships/hyperlink" Target="https://www.infojobs.net/" TargetMode="Externa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s://www.milanuncios.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fontTable" Target="fontTable.xml"/><Relationship Id="rId10" Type="http://schemas.openxmlformats.org/officeDocument/2006/relationships/hyperlink" Target="https://youtu.be/nlHqAW45x5s" TargetMode="External"/><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s://www.fotocasa.es/es/" TargetMode="External"/><Relationship Id="rId14" Type="http://schemas.openxmlformats.org/officeDocument/2006/relationships/hyperlink" Target="http://prensa.fotocasa.es"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I:\Mi%20unidad\01-SCHIBSTED\03-NOTAS%20DE%20PRENSA\01-VENTA\01-NOTAS%20DE%20PRENSA\2025\01-ENERO\PRENSA%20VENTA%20enero2025.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1"/>
                </c:manualLayout>
              </c15:layout>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946614470988752"/>
                </c:manualLayout>
              </c15:layout>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4"/>
                </c:manualLayout>
              </c15:layout>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633539009941996"/>
                </c:manualLayout>
              </c15:layout>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9132221471931705E-2"/>
                  <c:h val="0.11579751872236264"/>
                </c:manualLayout>
              </c15:layout>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8.3122831284244206E-2"/>
                  <c:h val="0.13317993013091828"/>
                </c:manualLayout>
              </c15:layout>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7136916565775454E-2"/>
                  <c:h val="0.12970344784920718"/>
                </c:manualLayout>
              </c15:layout>
            </c:ext>
          </c:extLst>
        </c:dLbl>
      </c:pivotFmt>
    </c:pivotFmts>
    <c:plotArea>
      <c:layout>
        <c:manualLayout>
          <c:layoutTarget val="inner"/>
          <c:xMode val="edge"/>
          <c:yMode val="edge"/>
          <c:x val="4.605375202992458E-2"/>
          <c:y val="5.7971167309232172E-2"/>
          <c:w val="0.9302750421385988"/>
          <c:h val="0.8127080203932131"/>
        </c:manualLayout>
      </c:layout>
      <c:barChart>
        <c:barDir val="col"/>
        <c:grouping val="clustered"/>
        <c:varyColors val="0"/>
        <c:ser>
          <c:idx val="0"/>
          <c:order val="0"/>
          <c:tx>
            <c:strRef>
              <c:f>gráfica!$D$30</c:f>
              <c:strCache>
                <c:ptCount val="1"/>
                <c:pt idx="0">
                  <c:v> % interanual </c:v>
                </c:pt>
              </c:strCache>
            </c:strRef>
          </c:tx>
          <c:spPr>
            <a:solidFill>
              <a:srgbClr val="5B9BD5">
                <a:lumMod val="75000"/>
              </a:srgbClr>
            </a:solidFill>
            <a:ln>
              <a:noFill/>
            </a:ln>
            <a:effectLst/>
          </c:spPr>
          <c:invertIfNegative val="0"/>
          <c:dPt>
            <c:idx val="3"/>
            <c:invertIfNegative val="0"/>
            <c:bubble3D val="0"/>
            <c:spPr>
              <a:solidFill>
                <a:srgbClr val="FFFFFF">
                  <a:lumMod val="65000"/>
                </a:srgbClr>
              </a:solidFill>
              <a:ln>
                <a:noFill/>
              </a:ln>
              <a:effectLst/>
            </c:spPr>
            <c:extLst>
              <c:ext xmlns:c16="http://schemas.microsoft.com/office/drawing/2014/chart" uri="{C3380CC4-5D6E-409C-BE32-E72D297353CC}">
                <c16:uniqueId val="{00000001-60ED-4032-B2F6-1C6EB916A410}"/>
              </c:ext>
            </c:extLst>
          </c:dPt>
          <c:dPt>
            <c:idx val="4"/>
            <c:invertIfNegative val="0"/>
            <c:bubble3D val="0"/>
            <c:spPr>
              <a:solidFill>
                <a:srgbClr val="FFFFFF">
                  <a:lumMod val="65000"/>
                </a:srgbClr>
              </a:solidFill>
              <a:ln>
                <a:noFill/>
              </a:ln>
              <a:effectLst/>
            </c:spPr>
            <c:extLst>
              <c:ext xmlns:c16="http://schemas.microsoft.com/office/drawing/2014/chart" uri="{C3380CC4-5D6E-409C-BE32-E72D297353CC}">
                <c16:uniqueId val="{00000003-60ED-4032-B2F6-1C6EB916A410}"/>
              </c:ext>
            </c:extLst>
          </c:dPt>
          <c:dPt>
            <c:idx val="5"/>
            <c:invertIfNegative val="0"/>
            <c:bubble3D val="0"/>
            <c:spPr>
              <a:solidFill>
                <a:srgbClr val="FFFFFF">
                  <a:lumMod val="65000"/>
                </a:srgbClr>
              </a:solidFill>
              <a:ln>
                <a:noFill/>
              </a:ln>
              <a:effectLst/>
            </c:spPr>
            <c:extLst>
              <c:ext xmlns:c16="http://schemas.microsoft.com/office/drawing/2014/chart" uri="{C3380CC4-5D6E-409C-BE32-E72D297353CC}">
                <c16:uniqueId val="{00000005-60ED-4032-B2F6-1C6EB916A410}"/>
              </c:ext>
            </c:extLst>
          </c:dPt>
          <c:dPt>
            <c:idx val="6"/>
            <c:invertIfNegative val="0"/>
            <c:bubble3D val="0"/>
            <c:spPr>
              <a:solidFill>
                <a:srgbClr val="FFFFFF">
                  <a:lumMod val="65000"/>
                </a:srgbClr>
              </a:solidFill>
              <a:ln>
                <a:noFill/>
              </a:ln>
              <a:effectLst/>
            </c:spPr>
            <c:extLst>
              <c:ext xmlns:c16="http://schemas.microsoft.com/office/drawing/2014/chart" uri="{C3380CC4-5D6E-409C-BE32-E72D297353CC}">
                <c16:uniqueId val="{00000007-60ED-4032-B2F6-1C6EB916A410}"/>
              </c:ext>
            </c:extLst>
          </c:dPt>
          <c:dPt>
            <c:idx val="7"/>
            <c:invertIfNegative val="0"/>
            <c:bubble3D val="0"/>
            <c:spPr>
              <a:solidFill>
                <a:srgbClr val="FFFFFF">
                  <a:lumMod val="65000"/>
                </a:srgbClr>
              </a:solidFill>
              <a:ln>
                <a:noFill/>
              </a:ln>
              <a:effectLst/>
            </c:spPr>
            <c:extLst>
              <c:ext xmlns:c16="http://schemas.microsoft.com/office/drawing/2014/chart" uri="{C3380CC4-5D6E-409C-BE32-E72D297353CC}">
                <c16:uniqueId val="{00000009-60ED-4032-B2F6-1C6EB916A410}"/>
              </c:ext>
            </c:extLst>
          </c:dPt>
          <c:dPt>
            <c:idx val="8"/>
            <c:invertIfNegative val="0"/>
            <c:bubble3D val="0"/>
            <c:spPr>
              <a:solidFill>
                <a:srgbClr val="FFFFFF">
                  <a:lumMod val="65000"/>
                </a:srgbClr>
              </a:solidFill>
              <a:ln>
                <a:noFill/>
              </a:ln>
              <a:effectLst/>
            </c:spPr>
            <c:extLst>
              <c:ext xmlns:c16="http://schemas.microsoft.com/office/drawing/2014/chart" uri="{C3380CC4-5D6E-409C-BE32-E72D297353CC}">
                <c16:uniqueId val="{0000000B-60ED-4032-B2F6-1C6EB916A410}"/>
              </c:ext>
            </c:extLst>
          </c:dPt>
          <c:dPt>
            <c:idx val="9"/>
            <c:invertIfNegative val="0"/>
            <c:bubble3D val="0"/>
            <c:spPr>
              <a:solidFill>
                <a:srgbClr val="FFFFFF">
                  <a:lumMod val="65000"/>
                </a:srgbClr>
              </a:solidFill>
              <a:ln>
                <a:noFill/>
              </a:ln>
              <a:effectLst/>
            </c:spPr>
            <c:extLst>
              <c:ext xmlns:c16="http://schemas.microsoft.com/office/drawing/2014/chart" uri="{C3380CC4-5D6E-409C-BE32-E72D297353CC}">
                <c16:uniqueId val="{0000000D-60ED-4032-B2F6-1C6EB916A410}"/>
              </c:ext>
            </c:extLst>
          </c:dPt>
          <c:dPt>
            <c:idx val="10"/>
            <c:invertIfNegative val="0"/>
            <c:bubble3D val="0"/>
            <c:spPr>
              <a:solidFill>
                <a:srgbClr val="FFFFFF">
                  <a:lumMod val="65000"/>
                </a:srgbClr>
              </a:solidFill>
              <a:ln>
                <a:noFill/>
              </a:ln>
              <a:effectLst/>
            </c:spPr>
            <c:extLst>
              <c:ext xmlns:c16="http://schemas.microsoft.com/office/drawing/2014/chart" uri="{C3380CC4-5D6E-409C-BE32-E72D297353CC}">
                <c16:uniqueId val="{0000000F-60ED-4032-B2F6-1C6EB916A410}"/>
              </c:ext>
            </c:extLst>
          </c:dPt>
          <c:dPt>
            <c:idx val="14"/>
            <c:invertIfNegative val="0"/>
            <c:bubble3D val="0"/>
            <c:spPr>
              <a:solidFill>
                <a:srgbClr val="FFFFFF">
                  <a:lumMod val="65000"/>
                </a:srgbClr>
              </a:solidFill>
              <a:ln>
                <a:noFill/>
              </a:ln>
              <a:effectLst/>
            </c:spPr>
            <c:extLst>
              <c:ext xmlns:c16="http://schemas.microsoft.com/office/drawing/2014/chart" uri="{C3380CC4-5D6E-409C-BE32-E72D297353CC}">
                <c16:uniqueId val="{00000011-60ED-4032-B2F6-1C6EB916A410}"/>
              </c:ext>
            </c:extLst>
          </c:dPt>
          <c:dLbls>
            <c:dLbl>
              <c:idx val="5"/>
              <c:layout>
                <c:manualLayout>
                  <c:x val="6.782645755229802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ED-4032-B2F6-1C6EB916A410}"/>
                </c:ext>
              </c:extLst>
            </c:dLbl>
            <c:dLbl>
              <c:idx val="9"/>
              <c:layout>
                <c:manualLayout>
                  <c:x val="-1.8832023099033309E-3"/>
                  <c:y val="5.96734914765040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0ED-4032-B2F6-1C6EB916A410}"/>
                </c:ext>
              </c:extLst>
            </c:dLbl>
            <c:numFmt formatCode="#,##0.0&quot;%&quot;"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gráfica!$A$31:$A$51</c:f>
              <c:numCache>
                <c:formatCode>0</c:formatCode>
                <c:ptCount val="21"/>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numCache>
            </c:numRef>
          </c:cat>
          <c:val>
            <c:numRef>
              <c:f>gráfica!$D$32:$D$51</c:f>
              <c:numCache>
                <c:formatCode>#,##0.0"%"</c:formatCode>
                <c:ptCount val="20"/>
                <c:pt idx="0">
                  <c:v>12.224203564376278</c:v>
                </c:pt>
                <c:pt idx="1">
                  <c:v>7.7116946884179693</c:v>
                </c:pt>
                <c:pt idx="2">
                  <c:v>-2.656758013580407</c:v>
                </c:pt>
                <c:pt idx="3">
                  <c:v>-10.013443501873276</c:v>
                </c:pt>
                <c:pt idx="4">
                  <c:v>-6.888884036332021</c:v>
                </c:pt>
                <c:pt idx="5">
                  <c:v>-4.7008364149859538</c:v>
                </c:pt>
                <c:pt idx="6">
                  <c:v>-6.9372597186955982</c:v>
                </c:pt>
                <c:pt idx="7">
                  <c:v>-9.9235045608598966</c:v>
                </c:pt>
                <c:pt idx="8">
                  <c:v>-8.2617026951717687</c:v>
                </c:pt>
                <c:pt idx="9">
                  <c:v>-6.0704375550370004</c:v>
                </c:pt>
                <c:pt idx="10">
                  <c:v>-0.30737228017349016</c:v>
                </c:pt>
                <c:pt idx="11">
                  <c:v>1.5934690074247859</c:v>
                </c:pt>
                <c:pt idx="12">
                  <c:v>5.6126905513428804</c:v>
                </c:pt>
                <c:pt idx="13">
                  <c:v>7.685483785783398</c:v>
                </c:pt>
                <c:pt idx="14">
                  <c:v>-1.8605254430531404</c:v>
                </c:pt>
                <c:pt idx="15">
                  <c:v>1.7768494720995509</c:v>
                </c:pt>
                <c:pt idx="16">
                  <c:v>0.95532971709209047</c:v>
                </c:pt>
                <c:pt idx="17">
                  <c:v>8.997430664960838</c:v>
                </c:pt>
                <c:pt idx="18">
                  <c:v>7.45199419904643</c:v>
                </c:pt>
                <c:pt idx="19">
                  <c:v>8.5777996452059959</c:v>
                </c:pt>
              </c:numCache>
            </c:numRef>
          </c:val>
          <c:extLst>
            <c:ext xmlns:c16="http://schemas.microsoft.com/office/drawing/2014/chart" uri="{C3380CC4-5D6E-409C-BE32-E72D297353CC}">
              <c16:uniqueId val="{00000012-60ED-4032-B2F6-1C6EB916A410}"/>
            </c:ext>
          </c:extLst>
        </c:ser>
        <c:dLbls>
          <c:showLegendKey val="0"/>
          <c:showVal val="0"/>
          <c:showCatName val="0"/>
          <c:showSerName val="0"/>
          <c:showPercent val="0"/>
          <c:showBubbleSize val="0"/>
        </c:dLbls>
        <c:gapWidth val="100"/>
        <c:overlap val="-14"/>
        <c:axId val="714532111"/>
        <c:axId val="1020150815"/>
      </c:barChart>
      <c:catAx>
        <c:axId val="714532111"/>
        <c:scaling>
          <c:orientation val="minMax"/>
        </c:scaling>
        <c:delete val="0"/>
        <c:axPos val="b"/>
        <c:numFmt formatCode="0" sourceLinked="1"/>
        <c:majorTickMark val="cross"/>
        <c:minorTickMark val="out"/>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quot;%&quot;" sourceLinked="1"/>
        <c:majorTickMark val="none"/>
        <c:minorTickMark val="none"/>
        <c:tickLblPos val="nextTo"/>
        <c:crossAx val="714532111"/>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1000" b="0">
          <a:latin typeface="Open Sans"/>
        </a:defRPr>
      </a:pPr>
      <a:endParaRPr lang="es-ES"/>
    </a:p>
  </c:txPr>
  <c:externalData r:id="rId4">
    <c:autoUpdate val="0"/>
  </c:externalData>
  <c:userShapes r:id="rId5"/>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0.05659</cdr:x>
      <cdr:y>0.45757</cdr:y>
    </cdr:from>
    <cdr:to>
      <cdr:x>0.96361</cdr:x>
      <cdr:y>0.45791</cdr:y>
    </cdr:to>
    <cdr:cxnSp macro="">
      <cdr:nvCxnSpPr>
        <cdr:cNvPr id="6" name="Conector recto 5">
          <a:extLst xmlns:a="http://schemas.openxmlformats.org/drawingml/2006/main">
            <a:ext uri="{FF2B5EF4-FFF2-40B4-BE49-F238E27FC236}">
              <a16:creationId xmlns:a16="http://schemas.microsoft.com/office/drawing/2014/main" id="{95FDED51-2779-4F3D-84FE-1C764C29DBAA}"/>
            </a:ext>
          </a:extLst>
        </cdr:cNvPr>
        <cdr:cNvCxnSpPr/>
      </cdr:nvCxnSpPr>
      <cdr:spPr>
        <a:xfrm xmlns:a="http://schemas.openxmlformats.org/drawingml/2006/main" flipV="1">
          <a:off x="328277" y="1176766"/>
          <a:ext cx="5261374" cy="874"/>
        </a:xfrm>
        <a:prstGeom xmlns:a="http://schemas.openxmlformats.org/drawingml/2006/main" prst="line">
          <a:avLst/>
        </a:prstGeom>
        <a:ln xmlns:a="http://schemas.openxmlformats.org/drawingml/2006/main" w="12700"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LMuahaRusDagl1TOhl+Me7RboA==">CgMxLjAyCWguMWZvYjl0ZTIJaC4yczhleW8xOAByITFCSzduM0tzOTdXNW9UeWZZdGQwVW5QQWRsZHRTRWtPdw==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9</Pages>
  <Words>2070</Words>
  <Characters>11385</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6</cp:revision>
  <cp:lastPrinted>2025-01-31T08:56:00Z</cp:lastPrinted>
  <dcterms:created xsi:type="dcterms:W3CDTF">2025-01-27T15:09:00Z</dcterms:created>
  <dcterms:modified xsi:type="dcterms:W3CDTF">2025-02-03T09:40:00Z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2025-01-27T15:47:17Z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06f6b9ff-0fe2-42fa-9190-03cd4f8921fa</vt:lpwstr>
  </property>
  <property fmtid="{D5CDD505-2E9C-101B-9397-08002B2CF9AE}" pid="8" name="MSIP_Label_defa4170-0d19-0005-0004-bc88714345d2_ContentBits">
    <vt:lpwstr>0</vt:lpwstr>
  </property>
</Properties>
</file>