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CFD6E" w14:textId="77777777" w:rsidR="00D23A6D" w:rsidRDefault="00000000">
      <w:r>
        <w:rPr>
          <w:noProof/>
        </w:rPr>
        <w:drawing>
          <wp:anchor distT="0" distB="0" distL="114300" distR="114300" simplePos="0" relativeHeight="251658240" behindDoc="0" locked="0" layoutInCell="1" hidden="0" allowOverlap="1" wp14:anchorId="13C5D7E7" wp14:editId="27F8783C">
            <wp:simplePos x="0" y="0"/>
            <wp:positionH relativeFrom="column">
              <wp:posOffset>-1080119</wp:posOffset>
            </wp:positionH>
            <wp:positionV relativeFrom="paragraph">
              <wp:posOffset>-654669</wp:posOffset>
            </wp:positionV>
            <wp:extent cx="7581265" cy="1019175"/>
            <wp:effectExtent l="0" t="0" r="0" b="0"/>
            <wp:wrapNone/>
            <wp:docPr id="2066816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1E346BF" w14:textId="77777777" w:rsidR="00D23A6D" w:rsidRDefault="00D23A6D">
      <w:pPr>
        <w:jc w:val="right"/>
        <w:rPr>
          <w:rFonts w:ascii="National" w:eastAsia="National" w:hAnsi="National" w:cs="National"/>
          <w:color w:val="303AB2"/>
          <w:sz w:val="36"/>
          <w:szCs w:val="36"/>
        </w:rPr>
      </w:pPr>
    </w:p>
    <w:p w14:paraId="571DC26F" w14:textId="77777777" w:rsidR="00D23A6D" w:rsidRDefault="00D23A6D">
      <w:pPr>
        <w:rPr>
          <w:rFonts w:ascii="National" w:eastAsia="National" w:hAnsi="National" w:cs="National"/>
          <w:color w:val="303AB2"/>
          <w:sz w:val="18"/>
          <w:szCs w:val="18"/>
        </w:rPr>
      </w:pPr>
    </w:p>
    <w:p w14:paraId="74830FFE" w14:textId="77777777" w:rsidR="007A3BB9" w:rsidRDefault="007A3BB9" w:rsidP="007A3BB9">
      <w:pPr>
        <w:spacing w:line="276" w:lineRule="auto"/>
        <w:jc w:val="center"/>
        <w:rPr>
          <w:rFonts w:ascii="National" w:eastAsia="National" w:hAnsi="National" w:cs="National"/>
          <w:b/>
          <w:color w:val="1DBDC5"/>
          <w:sz w:val="42"/>
          <w:szCs w:val="42"/>
        </w:rPr>
      </w:pPr>
      <w:r>
        <w:rPr>
          <w:rFonts w:ascii="National" w:eastAsia="National" w:hAnsi="National" w:cs="National"/>
          <w:b/>
          <w:color w:val="1DBDC5"/>
          <w:sz w:val="42"/>
          <w:szCs w:val="42"/>
        </w:rPr>
        <w:t>INFORME EXPERIENCIA EN COMPRAVENTA</w:t>
      </w:r>
    </w:p>
    <w:p w14:paraId="5FD83C2C" w14:textId="67228F7C" w:rsidR="00D23A6D" w:rsidRPr="00510A79" w:rsidRDefault="00CC74F6">
      <w:pPr>
        <w:jc w:val="center"/>
        <w:rPr>
          <w:rFonts w:ascii="National" w:eastAsia="National" w:hAnsi="National" w:cs="National"/>
          <w:b/>
          <w:color w:val="303AB2"/>
          <w:sz w:val="46"/>
          <w:szCs w:val="46"/>
        </w:rPr>
      </w:pPr>
      <w:r>
        <w:rPr>
          <w:rFonts w:ascii="National" w:eastAsia="National" w:hAnsi="National" w:cs="National"/>
          <w:b/>
          <w:color w:val="303AB2"/>
          <w:sz w:val="46"/>
          <w:szCs w:val="46"/>
        </w:rPr>
        <w:t>Uno de cada cuatro ofertantes pone en ven</w:t>
      </w:r>
      <w:r w:rsidR="00AA7E14">
        <w:rPr>
          <w:rFonts w:ascii="National" w:eastAsia="National" w:hAnsi="National" w:cs="National"/>
          <w:b/>
          <w:color w:val="303AB2"/>
          <w:sz w:val="46"/>
          <w:szCs w:val="46"/>
        </w:rPr>
        <w:t>t</w:t>
      </w:r>
      <w:r>
        <w:rPr>
          <w:rFonts w:ascii="National" w:eastAsia="National" w:hAnsi="National" w:cs="National"/>
          <w:b/>
          <w:color w:val="303AB2"/>
          <w:sz w:val="46"/>
          <w:szCs w:val="46"/>
        </w:rPr>
        <w:t>a una vivienda para poder comprarse otra</w:t>
      </w:r>
    </w:p>
    <w:p w14:paraId="058958F4" w14:textId="77777777" w:rsidR="00D23A6D" w:rsidRDefault="00D23A6D">
      <w:pPr>
        <w:jc w:val="center"/>
        <w:rPr>
          <w:rFonts w:ascii="Open Sans" w:eastAsia="Open Sans" w:hAnsi="Open Sans" w:cs="Open Sans"/>
          <w:color w:val="303AB2"/>
        </w:rPr>
      </w:pPr>
    </w:p>
    <w:p w14:paraId="0D5C5063" w14:textId="6A03EE06" w:rsidR="0030339F" w:rsidRDefault="00342B44" w:rsidP="0030339F">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Aunque representan una parte notable de los ofertantes, se reduce el porcentaje de quienes venden para evitar problemas con el pago del alquiler o con los inquilinos</w:t>
      </w:r>
    </w:p>
    <w:p w14:paraId="414F28D2" w14:textId="4F73206E" w:rsidR="00806778" w:rsidRDefault="00342B44" w:rsidP="000625A6">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La venta tras una herencia sigue siendo la principal motivación personal de los vendedores, seguida del deseo de mejorar la vivienda actual </w:t>
      </w:r>
    </w:p>
    <w:p w14:paraId="33F13E89" w14:textId="77777777" w:rsidR="000625A6" w:rsidRPr="000625A6" w:rsidRDefault="000625A6" w:rsidP="000625A6">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418EFDA0" w14:textId="4C7BA125" w:rsidR="00D23A6D"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AA7E14">
        <w:rPr>
          <w:rFonts w:ascii="Open Sans Light" w:eastAsia="Open Sans Light" w:hAnsi="Open Sans Light" w:cs="Open Sans Light"/>
          <w:b/>
          <w:color w:val="303AB2"/>
        </w:rPr>
        <w:t>28 de febrero</w:t>
      </w:r>
      <w:r>
        <w:rPr>
          <w:rFonts w:ascii="Open Sans Light" w:eastAsia="Open Sans Light" w:hAnsi="Open Sans Light" w:cs="Open Sans Light"/>
          <w:b/>
          <w:color w:val="303AB2"/>
        </w:rPr>
        <w:t xml:space="preserve"> de 202</w:t>
      </w:r>
      <w:r w:rsidR="007A3BB9">
        <w:rPr>
          <w:rFonts w:ascii="Open Sans Light" w:eastAsia="Open Sans Light" w:hAnsi="Open Sans Light" w:cs="Open Sans Light"/>
          <w:b/>
          <w:color w:val="303AB2"/>
        </w:rPr>
        <w:t>5</w:t>
      </w:r>
    </w:p>
    <w:p w14:paraId="25A4B7FC" w14:textId="77777777" w:rsidR="00D23A6D" w:rsidRDefault="00D23A6D">
      <w:pPr>
        <w:pBdr>
          <w:top w:val="nil"/>
          <w:left w:val="nil"/>
          <w:bottom w:val="nil"/>
          <w:right w:val="nil"/>
          <w:between w:val="nil"/>
        </w:pBdr>
        <w:spacing w:line="276" w:lineRule="auto"/>
        <w:jc w:val="both"/>
        <w:rPr>
          <w:rFonts w:ascii="Open Sans" w:eastAsia="Open Sans" w:hAnsi="Open Sans" w:cs="Open Sans"/>
        </w:rPr>
      </w:pPr>
    </w:p>
    <w:p w14:paraId="1DB4716C" w14:textId="40E0E763" w:rsidR="00BE6315" w:rsidRDefault="00CC74F6" w:rsidP="00CC74F6">
      <w:pPr>
        <w:spacing w:line="276" w:lineRule="auto"/>
        <w:jc w:val="both"/>
        <w:rPr>
          <w:rFonts w:ascii="Open Sans" w:eastAsia="Open Sans" w:hAnsi="Open Sans" w:cs="Open Sans"/>
        </w:rPr>
      </w:pPr>
      <w:r>
        <w:rPr>
          <w:rFonts w:ascii="Open Sans" w:eastAsia="Open Sans" w:hAnsi="Open Sans" w:cs="Open Sans"/>
        </w:rPr>
        <w:t xml:space="preserve">El 25% de los ofertantes de vivienda en propiedad prefiere poner en venda un inmueble </w:t>
      </w:r>
      <w:r w:rsidR="00342B44">
        <w:rPr>
          <w:rFonts w:ascii="Open Sans" w:eastAsia="Open Sans" w:hAnsi="Open Sans" w:cs="Open Sans"/>
        </w:rPr>
        <w:t>-</w:t>
      </w:r>
      <w:r>
        <w:rPr>
          <w:rFonts w:ascii="Open Sans" w:eastAsia="Open Sans" w:hAnsi="Open Sans" w:cs="Open Sans"/>
        </w:rPr>
        <w:t>en lugar de alquilarlo</w:t>
      </w:r>
      <w:r w:rsidR="00342B44">
        <w:rPr>
          <w:rFonts w:ascii="Open Sans" w:eastAsia="Open Sans" w:hAnsi="Open Sans" w:cs="Open Sans"/>
        </w:rPr>
        <w:t>-</w:t>
      </w:r>
      <w:r>
        <w:rPr>
          <w:rFonts w:ascii="Open Sans" w:eastAsia="Open Sans" w:hAnsi="Open Sans" w:cs="Open Sans"/>
        </w:rPr>
        <w:t xml:space="preserve"> como vía para poder comprarse otro</w:t>
      </w:r>
      <w:r w:rsidR="002405FC">
        <w:rPr>
          <w:rFonts w:ascii="Open Sans" w:eastAsia="Open Sans" w:hAnsi="Open Sans" w:cs="Open Sans"/>
        </w:rPr>
        <w:t>.</w:t>
      </w:r>
      <w:r>
        <w:rPr>
          <w:rFonts w:ascii="Open Sans" w:eastAsia="Open Sans" w:hAnsi="Open Sans" w:cs="Open Sans"/>
        </w:rPr>
        <w:t xml:space="preserve"> Este po</w:t>
      </w:r>
      <w:r w:rsidRPr="00CC74F6">
        <w:rPr>
          <w:rFonts w:ascii="Open Sans" w:eastAsia="Open Sans" w:hAnsi="Open Sans" w:cs="Open Sans"/>
        </w:rPr>
        <w:t xml:space="preserve">rcentaje </w:t>
      </w:r>
      <w:r>
        <w:rPr>
          <w:rFonts w:ascii="Open Sans" w:eastAsia="Open Sans" w:hAnsi="Open Sans" w:cs="Open Sans"/>
        </w:rPr>
        <w:t xml:space="preserve">ha sido en 2024 inferior a los años precedentes: </w:t>
      </w:r>
      <w:r w:rsidRPr="00CC74F6">
        <w:rPr>
          <w:rFonts w:ascii="Open Sans" w:eastAsia="Open Sans" w:hAnsi="Open Sans" w:cs="Open Sans"/>
        </w:rPr>
        <w:t xml:space="preserve">desciende </w:t>
      </w:r>
      <w:r>
        <w:rPr>
          <w:rFonts w:ascii="Open Sans" w:eastAsia="Open Sans" w:hAnsi="Open Sans" w:cs="Open Sans"/>
        </w:rPr>
        <w:t xml:space="preserve">cuatro puntos con relación a </w:t>
      </w:r>
      <w:r w:rsidRPr="00CC74F6">
        <w:rPr>
          <w:rFonts w:ascii="Open Sans" w:eastAsia="Open Sans" w:hAnsi="Open Sans" w:cs="Open Sans"/>
        </w:rPr>
        <w:t>2023</w:t>
      </w:r>
      <w:r>
        <w:rPr>
          <w:rFonts w:ascii="Open Sans" w:eastAsia="Open Sans" w:hAnsi="Open Sans" w:cs="Open Sans"/>
        </w:rPr>
        <w:t xml:space="preserve"> (29%)</w:t>
      </w:r>
      <w:r w:rsidRPr="00CC74F6">
        <w:rPr>
          <w:rFonts w:ascii="Open Sans" w:eastAsia="Open Sans" w:hAnsi="Open Sans" w:cs="Open Sans"/>
        </w:rPr>
        <w:t xml:space="preserve">, </w:t>
      </w:r>
      <w:r>
        <w:rPr>
          <w:rFonts w:ascii="Open Sans" w:eastAsia="Open Sans" w:hAnsi="Open Sans" w:cs="Open Sans"/>
        </w:rPr>
        <w:t>y seis puntos en comparación con 2022 (</w:t>
      </w:r>
      <w:r w:rsidRPr="00CC74F6">
        <w:rPr>
          <w:rFonts w:ascii="Open Sans" w:eastAsia="Open Sans" w:hAnsi="Open Sans" w:cs="Open Sans"/>
        </w:rPr>
        <w:t>31%</w:t>
      </w:r>
      <w:r>
        <w:rPr>
          <w:rFonts w:ascii="Open Sans" w:eastAsia="Open Sans" w:hAnsi="Open Sans" w:cs="Open Sans"/>
        </w:rPr>
        <w:t>). Con todo</w:t>
      </w:r>
      <w:r w:rsidRPr="00CC74F6">
        <w:rPr>
          <w:rFonts w:ascii="Open Sans" w:eastAsia="Open Sans" w:hAnsi="Open Sans" w:cs="Open Sans"/>
        </w:rPr>
        <w:t xml:space="preserve">, </w:t>
      </w:r>
      <w:r w:rsidR="009C2FE7">
        <w:rPr>
          <w:rFonts w:ascii="Open Sans" w:eastAsia="Open Sans" w:hAnsi="Open Sans" w:cs="Open Sans"/>
        </w:rPr>
        <w:t>la venta por reposición es la segunda causa más señalada por los encuestados a la hora de vender un inmueble en lugar de alquilarlo, solo superada por las motivaciones personales, que representan el 34% de los casos</w:t>
      </w:r>
      <w:r w:rsidR="000B54EC">
        <w:rPr>
          <w:rFonts w:ascii="Open Sans" w:eastAsia="Open Sans" w:hAnsi="Open Sans" w:cs="Open Sans"/>
        </w:rPr>
        <w:t>. Esta motivación personal es, además, mayoritaria entre todos los grupos de edad</w:t>
      </w:r>
      <w:r w:rsidRPr="00CC74F6">
        <w:rPr>
          <w:rFonts w:ascii="Open Sans" w:eastAsia="Open Sans" w:hAnsi="Open Sans" w:cs="Open Sans"/>
        </w:rPr>
        <w:t>.</w:t>
      </w:r>
      <w:r w:rsidR="0030339F">
        <w:rPr>
          <w:rFonts w:ascii="Open Sans" w:eastAsia="Open Sans" w:hAnsi="Open Sans" w:cs="Open Sans"/>
        </w:rPr>
        <w:t xml:space="preserve"> </w:t>
      </w:r>
      <w:r w:rsidR="00BE6315" w:rsidRPr="004C410A">
        <w:rPr>
          <w:rFonts w:ascii="Open Sans" w:eastAsia="Open Sans" w:hAnsi="Open Sans" w:cs="Open Sans"/>
          <w:b/>
          <w:bCs/>
        </w:rPr>
        <w:t>Esta</w:t>
      </w:r>
      <w:r w:rsidR="00FF2337" w:rsidRPr="004C410A">
        <w:rPr>
          <w:rFonts w:ascii="Open Sans" w:eastAsia="Open Sans" w:hAnsi="Open Sans" w:cs="Open Sans"/>
          <w:b/>
          <w:bCs/>
        </w:rPr>
        <w:t>s</w:t>
      </w:r>
      <w:r w:rsidR="00BE6315" w:rsidRPr="004C410A">
        <w:rPr>
          <w:rFonts w:ascii="Open Sans" w:eastAsia="Open Sans" w:hAnsi="Open Sans" w:cs="Open Sans"/>
          <w:b/>
          <w:bCs/>
        </w:rPr>
        <w:t xml:space="preserve"> s</w:t>
      </w:r>
      <w:r w:rsidR="00FF2337" w:rsidRPr="004C410A">
        <w:rPr>
          <w:rFonts w:ascii="Open Sans" w:eastAsia="Open Sans" w:hAnsi="Open Sans" w:cs="Open Sans"/>
          <w:b/>
          <w:bCs/>
        </w:rPr>
        <w:t>on</w:t>
      </w:r>
      <w:r w:rsidR="00BE6315" w:rsidRPr="004C410A">
        <w:rPr>
          <w:rFonts w:ascii="Open Sans" w:eastAsia="Open Sans" w:hAnsi="Open Sans" w:cs="Open Sans"/>
          <w:b/>
          <w:bCs/>
        </w:rPr>
        <w:t xml:space="preserve"> </w:t>
      </w:r>
      <w:r w:rsidR="00FF2337" w:rsidRPr="004C410A">
        <w:rPr>
          <w:rFonts w:ascii="Open Sans" w:eastAsia="Open Sans" w:hAnsi="Open Sans" w:cs="Open Sans"/>
          <w:b/>
          <w:bCs/>
        </w:rPr>
        <w:t>alg</w:t>
      </w:r>
      <w:r w:rsidR="00BE6315" w:rsidRPr="004C410A">
        <w:rPr>
          <w:rFonts w:ascii="Open Sans" w:eastAsia="Open Sans" w:hAnsi="Open Sans" w:cs="Open Sans"/>
          <w:b/>
          <w:bCs/>
        </w:rPr>
        <w:t>una</w:t>
      </w:r>
      <w:r w:rsidR="00FF2337" w:rsidRPr="004C410A">
        <w:rPr>
          <w:rFonts w:ascii="Open Sans" w:eastAsia="Open Sans" w:hAnsi="Open Sans" w:cs="Open Sans"/>
          <w:b/>
          <w:bCs/>
        </w:rPr>
        <w:t>s</w:t>
      </w:r>
      <w:r w:rsidR="00BE6315" w:rsidRPr="004C410A">
        <w:rPr>
          <w:rFonts w:ascii="Open Sans" w:eastAsia="Open Sans" w:hAnsi="Open Sans" w:cs="Open Sans"/>
          <w:b/>
          <w:bCs/>
        </w:rPr>
        <w:t xml:space="preserve"> de las principales conclusiones que se extraen del </w:t>
      </w:r>
      <w:r w:rsidR="007503B9" w:rsidRPr="004C410A">
        <w:rPr>
          <w:rFonts w:ascii="Open Sans" w:eastAsia="Open Sans" w:hAnsi="Open Sans" w:cs="Open Sans"/>
          <w:b/>
          <w:bCs/>
        </w:rPr>
        <w:t>informe “</w:t>
      </w:r>
      <w:hyperlink r:id="rId9" w:history="1">
        <w:r w:rsidR="007503B9" w:rsidRPr="006444D1">
          <w:rPr>
            <w:rStyle w:val="Hipervnculo"/>
            <w:rFonts w:ascii="Open Sans" w:eastAsia="Open Sans" w:hAnsi="Open Sans" w:cs="Open Sans"/>
            <w:b/>
            <w:bCs/>
            <w:i/>
            <w:iCs/>
          </w:rPr>
          <w:t>Experiencia en compraventa en 2024</w:t>
        </w:r>
      </w:hyperlink>
      <w:r w:rsidR="007503B9" w:rsidRPr="00FF2337">
        <w:rPr>
          <w:rFonts w:ascii="Open Sans" w:eastAsia="Open Sans" w:hAnsi="Open Sans" w:cs="Open Sans"/>
          <w:b/>
          <w:bCs/>
        </w:rPr>
        <w:t>”</w:t>
      </w:r>
      <w:r w:rsidR="00FF2337" w:rsidRPr="00FF2337">
        <w:rPr>
          <w:rFonts w:ascii="Open Sans" w:eastAsia="Open Sans" w:hAnsi="Open Sans" w:cs="Open Sans"/>
        </w:rPr>
        <w:t xml:space="preserve"> en el que se analiza el comportamiento del mercado de compra y venta y de los actores que conforman el mismo.</w:t>
      </w:r>
    </w:p>
    <w:p w14:paraId="22BF612F" w14:textId="77777777" w:rsidR="00EA046E" w:rsidRDefault="00EA046E" w:rsidP="00BE6315">
      <w:pPr>
        <w:spacing w:line="276" w:lineRule="auto"/>
        <w:jc w:val="both"/>
        <w:rPr>
          <w:rFonts w:ascii="Open Sans" w:eastAsia="Open Sans" w:hAnsi="Open Sans" w:cs="Open Sans"/>
        </w:rPr>
      </w:pPr>
    </w:p>
    <w:p w14:paraId="27679FCB" w14:textId="7478911C" w:rsidR="009C2FE7" w:rsidRDefault="009C2FE7" w:rsidP="00BE6315">
      <w:pPr>
        <w:spacing w:line="276" w:lineRule="auto"/>
        <w:jc w:val="both"/>
        <w:rPr>
          <w:rFonts w:ascii="Open Sans" w:eastAsia="Open Sans" w:hAnsi="Open Sans" w:cs="Open Sans"/>
        </w:rPr>
      </w:pPr>
      <w:r>
        <w:rPr>
          <w:rFonts w:ascii="Open Sans" w:eastAsia="Open Sans" w:hAnsi="Open Sans" w:cs="Open Sans"/>
        </w:rPr>
        <w:t xml:space="preserve">A continuación, los ofertantes que prefieren vender su vivienda antes que alquilarla indican motivaciones relacionadas con efectos negativos </w:t>
      </w:r>
      <w:r w:rsidR="00342B44">
        <w:rPr>
          <w:rFonts w:ascii="Open Sans" w:eastAsia="Open Sans" w:hAnsi="Open Sans" w:cs="Open Sans"/>
        </w:rPr>
        <w:t>vinculados a algunos</w:t>
      </w:r>
      <w:r>
        <w:rPr>
          <w:rFonts w:ascii="Open Sans" w:eastAsia="Open Sans" w:hAnsi="Open Sans" w:cs="Open Sans"/>
        </w:rPr>
        <w:t xml:space="preserve"> inquilinos. </w:t>
      </w:r>
      <w:r w:rsidRPr="009C2FE7">
        <w:rPr>
          <w:rFonts w:ascii="Open Sans" w:eastAsia="Open Sans" w:hAnsi="Open Sans" w:cs="Open Sans"/>
          <w:b/>
          <w:bCs/>
        </w:rPr>
        <w:t>Un 16% se decanta por la opción de venta porque no quieren inquilinos que puedan estropear un inmueble, mientras que el 15% no desea tener problemas con el pago del alquiler</w:t>
      </w:r>
      <w:r>
        <w:rPr>
          <w:rFonts w:ascii="Open Sans" w:eastAsia="Open Sans" w:hAnsi="Open Sans" w:cs="Open Sans"/>
        </w:rPr>
        <w:t>. En este mismo bloque, un 11% asegura preferir esta alternativa ya que ha tenido malas experiencias con antiguos inquilinos. No obstante, estas percepciones se sitúan ligeramente por debajo de las registradas en años anteriores, y decrecen entre uno y tres puntos porcentuales.</w:t>
      </w:r>
    </w:p>
    <w:p w14:paraId="34FBB9F5" w14:textId="36E27CCD" w:rsidR="009C2FE7" w:rsidRDefault="009C2FE7" w:rsidP="00BE6315">
      <w:pPr>
        <w:spacing w:line="276" w:lineRule="auto"/>
        <w:jc w:val="both"/>
        <w:rPr>
          <w:rFonts w:ascii="Open Sans" w:eastAsia="Open Sans" w:hAnsi="Open Sans" w:cs="Open Sans"/>
        </w:rPr>
      </w:pPr>
      <w:r>
        <w:rPr>
          <w:rFonts w:ascii="Open Sans" w:eastAsia="Open Sans" w:hAnsi="Open Sans" w:cs="Open Sans"/>
        </w:rPr>
        <w:lastRenderedPageBreak/>
        <w:t xml:space="preserve">Otras consideraciones económicas impulsan a muchos ofertantes a preferir la venta de una vivienda antes de la opción de alquilarla. Un 12% de estos apunta que no puede asumir los costes que implica mantener un inmueble, mientras que </w:t>
      </w:r>
      <w:r w:rsidRPr="000B54EC">
        <w:rPr>
          <w:rFonts w:ascii="Open Sans" w:eastAsia="Open Sans" w:hAnsi="Open Sans" w:cs="Open Sans"/>
          <w:b/>
          <w:bCs/>
        </w:rPr>
        <w:t>el 10% lamenta que no hay beneficios fiscales para el alquiler que compense</w:t>
      </w:r>
      <w:r w:rsidR="000E12C5">
        <w:rPr>
          <w:rFonts w:ascii="Open Sans" w:eastAsia="Open Sans" w:hAnsi="Open Sans" w:cs="Open Sans"/>
          <w:b/>
          <w:bCs/>
        </w:rPr>
        <w:t>n</w:t>
      </w:r>
      <w:r w:rsidRPr="000B54EC">
        <w:rPr>
          <w:rFonts w:ascii="Open Sans" w:eastAsia="Open Sans" w:hAnsi="Open Sans" w:cs="Open Sans"/>
          <w:b/>
          <w:bCs/>
        </w:rPr>
        <w:t xml:space="preserve"> los riesgos asociados a esta modalidad</w:t>
      </w:r>
      <w:r w:rsidR="000B54EC">
        <w:rPr>
          <w:rFonts w:ascii="Open Sans" w:eastAsia="Open Sans" w:hAnsi="Open Sans" w:cs="Open Sans"/>
        </w:rPr>
        <w:t>, una opción que tiene especial relevancia entre los menores de 45 años</w:t>
      </w:r>
      <w:r>
        <w:rPr>
          <w:rFonts w:ascii="Open Sans" w:eastAsia="Open Sans" w:hAnsi="Open Sans" w:cs="Open Sans"/>
        </w:rPr>
        <w:t xml:space="preserve">. </w:t>
      </w:r>
      <w:r w:rsidR="000B54EC">
        <w:rPr>
          <w:rFonts w:ascii="Open Sans" w:eastAsia="Open Sans" w:hAnsi="Open Sans" w:cs="Open Sans"/>
        </w:rPr>
        <w:t>Además, un 8% considera que el alquiler no supone suficiente rentabilidad, el 6% cree que es un buen momento para vender, ya que los precios están subiendo, y un 4% afirma que el mercado se está reactivando y quiere desprenderse de su vivienda ahora.</w:t>
      </w:r>
    </w:p>
    <w:p w14:paraId="5C7E3833" w14:textId="77777777" w:rsidR="000B54EC" w:rsidRDefault="000B54EC" w:rsidP="00BE6315">
      <w:pPr>
        <w:spacing w:line="276" w:lineRule="auto"/>
        <w:jc w:val="both"/>
        <w:rPr>
          <w:rFonts w:ascii="Open Sans" w:eastAsia="Open Sans" w:hAnsi="Open Sans" w:cs="Open Sans"/>
        </w:rPr>
      </w:pPr>
    </w:p>
    <w:p w14:paraId="17922DB2" w14:textId="75368A94" w:rsidR="000B54EC" w:rsidRDefault="00342B44" w:rsidP="00BE6315">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486F4674" wp14:editId="6FEE9F30">
            <wp:extent cx="5753100" cy="3429000"/>
            <wp:effectExtent l="0" t="0" r="0" b="0"/>
            <wp:docPr id="1859572561"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72561" name="Imagen 1" descr="Gráfico, Gráfico de barras&#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429000"/>
                    </a:xfrm>
                    <a:prstGeom prst="rect">
                      <a:avLst/>
                    </a:prstGeom>
                    <a:noFill/>
                    <a:ln>
                      <a:noFill/>
                    </a:ln>
                  </pic:spPr>
                </pic:pic>
              </a:graphicData>
            </a:graphic>
          </wp:inline>
        </w:drawing>
      </w:r>
    </w:p>
    <w:p w14:paraId="748C09E2" w14:textId="77777777" w:rsidR="000B54EC" w:rsidRDefault="000B54EC" w:rsidP="000B54EC">
      <w:pPr>
        <w:spacing w:line="276" w:lineRule="auto"/>
        <w:jc w:val="both"/>
        <w:rPr>
          <w:rFonts w:ascii="Open Sans" w:eastAsia="Open Sans" w:hAnsi="Open Sans" w:cs="Open Sans"/>
          <w:b/>
          <w:color w:val="303AB2"/>
          <w:sz w:val="28"/>
          <w:szCs w:val="28"/>
        </w:rPr>
      </w:pPr>
    </w:p>
    <w:p w14:paraId="5E2CC0FF" w14:textId="54199593" w:rsidR="000B54EC" w:rsidRDefault="000B54EC" w:rsidP="000B54EC">
      <w:pPr>
        <w:spacing w:line="276" w:lineRule="auto"/>
        <w:jc w:val="both"/>
        <w:rPr>
          <w:rFonts w:ascii="Open Sans" w:eastAsia="Open Sans" w:hAnsi="Open Sans" w:cs="Open Sans"/>
          <w:b/>
          <w:color w:val="303AB2"/>
          <w:sz w:val="28"/>
          <w:szCs w:val="28"/>
        </w:rPr>
      </w:pPr>
      <w:r>
        <w:rPr>
          <w:rFonts w:ascii="Open Sans" w:eastAsia="Open Sans" w:hAnsi="Open Sans" w:cs="Open Sans"/>
          <w:b/>
          <w:color w:val="303AB2"/>
          <w:sz w:val="28"/>
          <w:szCs w:val="28"/>
        </w:rPr>
        <w:t>La venta de una vivienda tras una herencia predomina entre las razones personales</w:t>
      </w:r>
    </w:p>
    <w:p w14:paraId="7B18BF86" w14:textId="77777777" w:rsidR="009C2FE7" w:rsidRDefault="009C2FE7" w:rsidP="00BE6315">
      <w:pPr>
        <w:spacing w:line="276" w:lineRule="auto"/>
        <w:jc w:val="both"/>
        <w:rPr>
          <w:rFonts w:ascii="Open Sans" w:eastAsia="Open Sans" w:hAnsi="Open Sans" w:cs="Open Sans"/>
        </w:rPr>
      </w:pPr>
    </w:p>
    <w:p w14:paraId="6E041A3B" w14:textId="351CD42A" w:rsidR="00335D52" w:rsidRDefault="00335D52" w:rsidP="00BE6315">
      <w:pPr>
        <w:spacing w:line="276" w:lineRule="auto"/>
        <w:jc w:val="both"/>
        <w:rPr>
          <w:rFonts w:ascii="Open Sans" w:eastAsia="Open Sans" w:hAnsi="Open Sans" w:cs="Open Sans"/>
        </w:rPr>
      </w:pPr>
      <w:r>
        <w:rPr>
          <w:rFonts w:ascii="Open Sans" w:eastAsia="Open Sans" w:hAnsi="Open Sans" w:cs="Open Sans"/>
        </w:rPr>
        <w:t xml:space="preserve">Si se atiende a las razones personales que hay tras la venta de una vivienda, la motivación principal de los encuestados es la herencia. </w:t>
      </w:r>
      <w:r w:rsidRPr="00342B44">
        <w:rPr>
          <w:rFonts w:ascii="Open Sans" w:eastAsia="Open Sans" w:hAnsi="Open Sans" w:cs="Open Sans"/>
          <w:b/>
          <w:bCs/>
        </w:rPr>
        <w:t>Un 27% de los españoles que han ofertado un inmueble en 2024 lo hacen porque lo han heredado (tres puntos porcentuales menos que la tasa registrada el año anterior).</w:t>
      </w:r>
      <w:r>
        <w:rPr>
          <w:rFonts w:ascii="Open Sans" w:eastAsia="Open Sans" w:hAnsi="Open Sans" w:cs="Open Sans"/>
        </w:rPr>
        <w:t xml:space="preserve"> Esta opción se sitúa ligeramente por delante de quienes venden un inmueble para mejorar su vivienda actual, una motivación que comparte un 25% de los ofertantes (cinco puntos porcentuales menos que en 2023). Seguidamente, un 14% indica que se desprende de este activo inmobiliario porque tiene una necesidad </w:t>
      </w:r>
      <w:r>
        <w:rPr>
          <w:rFonts w:ascii="Open Sans" w:eastAsia="Open Sans" w:hAnsi="Open Sans" w:cs="Open Sans"/>
        </w:rPr>
        <w:lastRenderedPageBreak/>
        <w:t xml:space="preserve">económica urgente (tres puntos más que en 2023), y un 10% argumenta que lo hace por un cambio de lugar de trabajo de estudios. Otras motivaciones de carácter personal son la separación o el divorcio (9%), </w:t>
      </w:r>
      <w:r w:rsidR="00342B44">
        <w:rPr>
          <w:rFonts w:ascii="Open Sans" w:eastAsia="Open Sans" w:hAnsi="Open Sans" w:cs="Open Sans"/>
        </w:rPr>
        <w:t>la reducción de la familia que vive en un determinado inmueble (7%), o la percepción que invertir en una vivienda no ofrece la rentabilidad de otros productos financieros (6%).</w:t>
      </w:r>
    </w:p>
    <w:p w14:paraId="1D5FC1D8" w14:textId="77777777" w:rsidR="00342B44" w:rsidRDefault="00342B44" w:rsidP="00BE6315">
      <w:pPr>
        <w:spacing w:line="276" w:lineRule="auto"/>
        <w:jc w:val="both"/>
        <w:rPr>
          <w:rFonts w:ascii="Open Sans" w:eastAsia="Open Sans" w:hAnsi="Open Sans" w:cs="Open Sans"/>
        </w:rPr>
      </w:pPr>
    </w:p>
    <w:p w14:paraId="24A99D7F" w14:textId="4B559FEF" w:rsidR="00342B44" w:rsidRDefault="00342B44" w:rsidP="00BE6315">
      <w:pPr>
        <w:spacing w:line="276" w:lineRule="auto"/>
        <w:jc w:val="both"/>
        <w:rPr>
          <w:rFonts w:ascii="Open Sans" w:eastAsia="Open Sans" w:hAnsi="Open Sans" w:cs="Open Sans"/>
        </w:rPr>
      </w:pPr>
      <w:r>
        <w:rPr>
          <w:rFonts w:ascii="Open Sans Light" w:eastAsia="Open Sans Light" w:hAnsi="Open Sans Light" w:cs="Open Sans Light"/>
          <w:b/>
          <w:noProof/>
          <w:color w:val="303AB2"/>
        </w:rPr>
        <w:drawing>
          <wp:inline distT="0" distB="0" distL="0" distR="0" wp14:anchorId="2EE575AF" wp14:editId="1D3A97D5">
            <wp:extent cx="5760720" cy="3285039"/>
            <wp:effectExtent l="0" t="0" r="0" b="0"/>
            <wp:docPr id="7423129" name="Imagen 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129" name="Imagen 2" descr="Gráfic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85039"/>
                    </a:xfrm>
                    <a:prstGeom prst="rect">
                      <a:avLst/>
                    </a:prstGeom>
                    <a:noFill/>
                    <a:ln>
                      <a:noFill/>
                    </a:ln>
                  </pic:spPr>
                </pic:pic>
              </a:graphicData>
            </a:graphic>
          </wp:inline>
        </w:drawing>
      </w:r>
    </w:p>
    <w:p w14:paraId="6B3A4AF3" w14:textId="7F035873" w:rsidR="0001593B" w:rsidRDefault="0001593B" w:rsidP="00BE6315">
      <w:pPr>
        <w:spacing w:line="276" w:lineRule="auto"/>
        <w:jc w:val="both"/>
        <w:rPr>
          <w:rFonts w:ascii="Open Sans" w:eastAsia="Open Sans" w:hAnsi="Open Sans" w:cs="Open Sans"/>
        </w:rPr>
      </w:pPr>
    </w:p>
    <w:p w14:paraId="74D8F95D" w14:textId="77777777" w:rsidR="00342B44" w:rsidRDefault="00342B44" w:rsidP="0001593B">
      <w:pPr>
        <w:spacing w:line="276" w:lineRule="auto"/>
        <w:jc w:val="both"/>
        <w:rPr>
          <w:rFonts w:ascii="Open Sans" w:eastAsia="Open Sans" w:hAnsi="Open Sans" w:cs="Open Sans"/>
        </w:rPr>
      </w:pPr>
    </w:p>
    <w:p w14:paraId="7F18067B" w14:textId="77777777" w:rsidR="00AD3E1C" w:rsidRDefault="00AD3E1C" w:rsidP="00AD3E1C">
      <w:pPr>
        <w:spacing w:line="276" w:lineRule="auto"/>
        <w:jc w:val="right"/>
        <w:rPr>
          <w:rFonts w:ascii="Open Sans Light" w:eastAsia="Open Sans Light" w:hAnsi="Open Sans Light" w:cs="Open Sans Light"/>
          <w:b/>
          <w:color w:val="303AB2"/>
        </w:rPr>
      </w:pPr>
    </w:p>
    <w:p w14:paraId="50593209" w14:textId="77777777" w:rsidR="00AD3E1C" w:rsidRDefault="00AD3E1C" w:rsidP="00AD3E1C">
      <w:pPr>
        <w:spacing w:line="276" w:lineRule="auto"/>
        <w:jc w:val="right"/>
        <w:rPr>
          <w:rFonts w:ascii="Open Sans Light" w:eastAsia="Open Sans Light" w:hAnsi="Open Sans Light" w:cs="Open Sans Light"/>
          <w:b/>
          <w:color w:val="303AB2"/>
        </w:rPr>
      </w:pPr>
    </w:p>
    <w:p w14:paraId="57BDA547" w14:textId="77777777" w:rsidR="00AD3E1C" w:rsidRDefault="00AD3E1C" w:rsidP="00AD3E1C">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17A73BB" w14:textId="77777777" w:rsidR="00AD3E1C" w:rsidRDefault="00AD3E1C" w:rsidP="00AD3E1C">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71B685BA" w14:textId="77777777" w:rsidR="00AD3E1C" w:rsidRDefault="00AD3E1C" w:rsidP="00AD3E1C">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023524A3" w14:textId="77777777" w:rsidR="00AD3E1C" w:rsidRDefault="00AD3E1C" w:rsidP="00AD3E1C">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4A4D5ADE" w14:textId="77777777" w:rsidR="00AD3E1C" w:rsidRDefault="00AD3E1C" w:rsidP="00AD3E1C">
      <w:pPr>
        <w:shd w:val="clear" w:color="auto" w:fill="FFFFFF"/>
        <w:spacing w:before="280" w:after="280" w:line="276" w:lineRule="auto"/>
        <w:jc w:val="both"/>
        <w:rPr>
          <w:rFonts w:ascii="Open Sans" w:eastAsia="Open Sans" w:hAnsi="Open Sans" w:cs="Open Sans"/>
          <w:sz w:val="22"/>
          <w:szCs w:val="22"/>
        </w:rPr>
      </w:pPr>
    </w:p>
    <w:p w14:paraId="4BCB42A0" w14:textId="77777777" w:rsidR="00AD3E1C" w:rsidRDefault="00AD3E1C" w:rsidP="00AD3E1C">
      <w:pPr>
        <w:spacing w:line="276" w:lineRule="auto"/>
        <w:jc w:val="right"/>
        <w:rPr>
          <w:rFonts w:ascii="Open Sans Light" w:eastAsia="Open Sans Light" w:hAnsi="Open Sans Light" w:cs="Open Sans Light"/>
          <w:b/>
          <w:color w:val="303AB2"/>
        </w:rPr>
      </w:pPr>
    </w:p>
    <w:p w14:paraId="4FC7E3EB" w14:textId="77777777" w:rsidR="00AD3E1C" w:rsidRDefault="00AD3E1C" w:rsidP="00AD3E1C">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427F9F83" w14:textId="77777777" w:rsidR="00AD3E1C" w:rsidRDefault="00AD3E1C" w:rsidP="00AD3E1C">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35174912" w14:textId="77777777" w:rsidR="00AD3E1C" w:rsidRDefault="00AD3E1C" w:rsidP="00AD3E1C">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595B0144" w14:textId="77777777" w:rsidR="00AD3E1C" w:rsidRDefault="00AD3E1C" w:rsidP="00AD3E1C">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134C83B8" w14:textId="77777777" w:rsidR="00AD3E1C" w:rsidRDefault="00AD3E1C" w:rsidP="00AD3E1C">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19">
        <w:r>
          <w:rPr>
            <w:rFonts w:ascii="Open Sans" w:eastAsia="Open Sans" w:hAnsi="Open Sans" w:cs="Open Sans"/>
            <w:color w:val="1155CC"/>
            <w:sz w:val="22"/>
            <w:szCs w:val="22"/>
            <w:u w:val="single"/>
          </w:rPr>
          <w:t>adevinta.es</w:t>
        </w:r>
      </w:hyperlink>
    </w:p>
    <w:p w14:paraId="7965E08A" w14:textId="77777777" w:rsidR="00AD3E1C" w:rsidRDefault="00AD3E1C" w:rsidP="00AD3E1C">
      <w:pPr>
        <w:spacing w:line="276" w:lineRule="auto"/>
        <w:jc w:val="right"/>
        <w:rPr>
          <w:rFonts w:ascii="Open Sans" w:eastAsia="Open Sans" w:hAnsi="Open Sans" w:cs="Open Sans"/>
        </w:rPr>
      </w:pPr>
    </w:p>
    <w:p w14:paraId="5463FEE6" w14:textId="77777777" w:rsidR="00AD3E1C" w:rsidRDefault="00AD3E1C" w:rsidP="00AD3E1C">
      <w:pPr>
        <w:spacing w:line="276" w:lineRule="auto"/>
        <w:jc w:val="right"/>
        <w:rPr>
          <w:rFonts w:ascii="Open Sans" w:eastAsia="Open Sans" w:hAnsi="Open Sans" w:cs="Open Sans"/>
        </w:rPr>
      </w:pPr>
    </w:p>
    <w:p w14:paraId="1B36A5A2" w14:textId="77777777" w:rsidR="00AD3E1C" w:rsidRDefault="00AD3E1C" w:rsidP="00AD3E1C">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A7CF6CB" w14:textId="77777777" w:rsidR="00AD3E1C" w:rsidRDefault="00AD3E1C" w:rsidP="00AD3E1C">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47149367" w14:textId="77777777" w:rsidR="00AD3E1C" w:rsidRDefault="00AD3E1C" w:rsidP="00AD3E1C">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7B679F18" w14:textId="77777777" w:rsidR="00AD3E1C" w:rsidRDefault="00AD3E1C" w:rsidP="00AD3E1C">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14B609B" w14:textId="7B762936" w:rsidR="00D23A6D" w:rsidRDefault="00D23A6D" w:rsidP="00AD3E1C">
      <w:pPr>
        <w:spacing w:line="276" w:lineRule="auto"/>
        <w:jc w:val="right"/>
        <w:rPr>
          <w:rFonts w:ascii="Open Sans" w:eastAsia="Open Sans" w:hAnsi="Open Sans" w:cs="Open Sans"/>
          <w:color w:val="000000"/>
          <w:sz w:val="22"/>
          <w:szCs w:val="22"/>
        </w:rPr>
      </w:pPr>
    </w:p>
    <w:sectPr w:rsidR="00D23A6D">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536AC" w14:textId="77777777" w:rsidR="00616D8A" w:rsidRDefault="00616D8A">
      <w:r>
        <w:separator/>
      </w:r>
    </w:p>
  </w:endnote>
  <w:endnote w:type="continuationSeparator" w:id="0">
    <w:p w14:paraId="732CC807" w14:textId="77777777" w:rsidR="00616D8A" w:rsidRDefault="00616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80F9AA9-B473-4333-BDA7-F5019E5FE33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093CC1F-1662-4B20-A2FE-3D936DF1039D}"/>
    <w:embedBold r:id="rId3" w:fontKey="{FAB92C56-B0D9-429E-BFC6-BDA91F48AEB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24699A7-A0A3-43C9-B185-FAAF838A1632}"/>
    <w:embedItalic r:id="rId5" w:fontKey="{34D1DC0F-78F9-4A02-B514-A463E2530853}"/>
  </w:font>
  <w:font w:name="Cambria">
    <w:panose1 w:val="02040503050406030204"/>
    <w:charset w:val="00"/>
    <w:family w:val="roman"/>
    <w:pitch w:val="variable"/>
    <w:sig w:usb0="E00006FF" w:usb1="420024FF" w:usb2="02000000" w:usb3="00000000" w:csb0="0000019F" w:csb1="00000000"/>
    <w:embedRegular r:id="rId6" w:fontKey="{DC88A47B-5F0A-4469-ABD3-7CD41065B1E2}"/>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45A98996-D3E8-4670-90B4-7BF96B37A9F8}"/>
    <w:embedBold r:id="rId8" w:fontKey="{EADFC450-B02B-43B8-A2D4-C46477FD823F}"/>
    <w:embedBoldItalic r:id="rId9" w:fontKey="{0B5632CA-0F76-4FAF-A6C8-8270036F49A7}"/>
  </w:font>
  <w:font w:name="Open Sans Light">
    <w:charset w:val="00"/>
    <w:family w:val="swiss"/>
    <w:pitch w:val="variable"/>
    <w:sig w:usb0="E00002EF" w:usb1="4000205B" w:usb2="00000028" w:usb3="00000000" w:csb0="0000019F" w:csb1="00000000"/>
    <w:embedRegular r:id="rId10" w:fontKey="{655F4906-1902-41A1-B68B-CD0EBA279DFD}"/>
    <w:embedBold r:id="rId11" w:fontKey="{176162F5-AFA2-4E8F-8E58-F5FFEEC732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0C8B" w14:textId="77777777" w:rsidR="00D23A6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A50753C" wp14:editId="2BAE600E">
          <wp:simplePos x="0" y="0"/>
          <wp:positionH relativeFrom="column">
            <wp:posOffset>-1068044</wp:posOffset>
          </wp:positionH>
          <wp:positionV relativeFrom="paragraph">
            <wp:posOffset>174608</wp:posOffset>
          </wp:positionV>
          <wp:extent cx="7670550" cy="451315"/>
          <wp:effectExtent l="0" t="0" r="0" b="0"/>
          <wp:wrapNone/>
          <wp:docPr id="20668166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2C05C" w14:textId="77777777" w:rsidR="00616D8A" w:rsidRDefault="00616D8A">
      <w:r>
        <w:separator/>
      </w:r>
    </w:p>
  </w:footnote>
  <w:footnote w:type="continuationSeparator" w:id="0">
    <w:p w14:paraId="79FA8427" w14:textId="77777777" w:rsidR="00616D8A" w:rsidRDefault="00616D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F12D6"/>
    <w:multiLevelType w:val="multilevel"/>
    <w:tmpl w:val="B0C27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8746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A6D"/>
    <w:rsid w:val="00005B6F"/>
    <w:rsid w:val="000141C3"/>
    <w:rsid w:val="0001593B"/>
    <w:rsid w:val="00040FA3"/>
    <w:rsid w:val="000625A6"/>
    <w:rsid w:val="00075EA8"/>
    <w:rsid w:val="000952E4"/>
    <w:rsid w:val="00097A2D"/>
    <w:rsid w:val="000A6809"/>
    <w:rsid w:val="000B54EC"/>
    <w:rsid w:val="000E12C5"/>
    <w:rsid w:val="000F7350"/>
    <w:rsid w:val="0010128A"/>
    <w:rsid w:val="0011337A"/>
    <w:rsid w:val="00131ECF"/>
    <w:rsid w:val="00143082"/>
    <w:rsid w:val="0018112E"/>
    <w:rsid w:val="001C0E6A"/>
    <w:rsid w:val="001D6116"/>
    <w:rsid w:val="00201C5C"/>
    <w:rsid w:val="00216759"/>
    <w:rsid w:val="002405FC"/>
    <w:rsid w:val="00265AAF"/>
    <w:rsid w:val="002841AF"/>
    <w:rsid w:val="002D18BF"/>
    <w:rsid w:val="002D2380"/>
    <w:rsid w:val="002F7F87"/>
    <w:rsid w:val="0030339F"/>
    <w:rsid w:val="00313446"/>
    <w:rsid w:val="00335D52"/>
    <w:rsid w:val="00342B44"/>
    <w:rsid w:val="00360687"/>
    <w:rsid w:val="003908E1"/>
    <w:rsid w:val="003B23FD"/>
    <w:rsid w:val="003F356E"/>
    <w:rsid w:val="0041646A"/>
    <w:rsid w:val="0042460A"/>
    <w:rsid w:val="0047318F"/>
    <w:rsid w:val="00486816"/>
    <w:rsid w:val="004A405B"/>
    <w:rsid w:val="004B3FA8"/>
    <w:rsid w:val="004C410A"/>
    <w:rsid w:val="004D5FE2"/>
    <w:rsid w:val="004E4E86"/>
    <w:rsid w:val="00501561"/>
    <w:rsid w:val="00510A79"/>
    <w:rsid w:val="005518CB"/>
    <w:rsid w:val="005714E7"/>
    <w:rsid w:val="005727EF"/>
    <w:rsid w:val="00581D12"/>
    <w:rsid w:val="005B7CA2"/>
    <w:rsid w:val="005E58A4"/>
    <w:rsid w:val="005F68B8"/>
    <w:rsid w:val="00612B80"/>
    <w:rsid w:val="00616D8A"/>
    <w:rsid w:val="0063764A"/>
    <w:rsid w:val="00665C21"/>
    <w:rsid w:val="006C0EFA"/>
    <w:rsid w:val="006F3F44"/>
    <w:rsid w:val="007207AF"/>
    <w:rsid w:val="007248E5"/>
    <w:rsid w:val="007503B9"/>
    <w:rsid w:val="007940CE"/>
    <w:rsid w:val="007A3BB9"/>
    <w:rsid w:val="007C55AB"/>
    <w:rsid w:val="007E76EB"/>
    <w:rsid w:val="00806778"/>
    <w:rsid w:val="00813B4D"/>
    <w:rsid w:val="00832151"/>
    <w:rsid w:val="00840549"/>
    <w:rsid w:val="0088601D"/>
    <w:rsid w:val="008C50D8"/>
    <w:rsid w:val="008C65C3"/>
    <w:rsid w:val="008D5952"/>
    <w:rsid w:val="008E0871"/>
    <w:rsid w:val="008F7BE6"/>
    <w:rsid w:val="00961F54"/>
    <w:rsid w:val="0096673D"/>
    <w:rsid w:val="0096755A"/>
    <w:rsid w:val="00985BC2"/>
    <w:rsid w:val="009935BC"/>
    <w:rsid w:val="009C2D3D"/>
    <w:rsid w:val="009C2FE7"/>
    <w:rsid w:val="009C4CAB"/>
    <w:rsid w:val="009D4D36"/>
    <w:rsid w:val="009E415C"/>
    <w:rsid w:val="00A169D6"/>
    <w:rsid w:val="00A2469E"/>
    <w:rsid w:val="00A24F66"/>
    <w:rsid w:val="00A35ACE"/>
    <w:rsid w:val="00A44B0B"/>
    <w:rsid w:val="00AA7E14"/>
    <w:rsid w:val="00AB5E2A"/>
    <w:rsid w:val="00AB7A98"/>
    <w:rsid w:val="00AC7A76"/>
    <w:rsid w:val="00AD25DE"/>
    <w:rsid w:val="00AD3E1C"/>
    <w:rsid w:val="00AE3524"/>
    <w:rsid w:val="00B21AD2"/>
    <w:rsid w:val="00B77683"/>
    <w:rsid w:val="00B84FBC"/>
    <w:rsid w:val="00BE6315"/>
    <w:rsid w:val="00C31561"/>
    <w:rsid w:val="00C429F3"/>
    <w:rsid w:val="00C44F78"/>
    <w:rsid w:val="00CA1D16"/>
    <w:rsid w:val="00CC74F6"/>
    <w:rsid w:val="00D102E9"/>
    <w:rsid w:val="00D13F35"/>
    <w:rsid w:val="00D23A6D"/>
    <w:rsid w:val="00D35795"/>
    <w:rsid w:val="00D50BED"/>
    <w:rsid w:val="00DA4838"/>
    <w:rsid w:val="00DB7B0E"/>
    <w:rsid w:val="00E31864"/>
    <w:rsid w:val="00E32F6E"/>
    <w:rsid w:val="00E37111"/>
    <w:rsid w:val="00E65259"/>
    <w:rsid w:val="00EA046E"/>
    <w:rsid w:val="00EB11CA"/>
    <w:rsid w:val="00EE258A"/>
    <w:rsid w:val="00EE6CC7"/>
    <w:rsid w:val="00F01F38"/>
    <w:rsid w:val="00F03789"/>
    <w:rsid w:val="00F10C13"/>
    <w:rsid w:val="00F31CD9"/>
    <w:rsid w:val="00F47756"/>
    <w:rsid w:val="00F7300D"/>
    <w:rsid w:val="00F74212"/>
    <w:rsid w:val="00F95D23"/>
    <w:rsid w:val="00FC62A9"/>
    <w:rsid w:val="00FD6694"/>
    <w:rsid w:val="00FF2337"/>
    <w:rsid w:val="00FF6C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6F08"/>
  <w15:docId w15:val="{3A1BEFDC-1E2B-4638-98DF-D024111A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hyperlink" Target="https://s36360.pcdn.co/wp-content/uploads/2025/01/Informe-Experiencia-en-compraventa-en-2024.pdf" TargetMode="External"/><Relationship Id="rId14" Type="http://schemas.openxmlformats.org/officeDocument/2006/relationships/hyperlink" Target="https://www.fotocasa.es/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oUA0qfZ+aXkD+u2b+Hk1pMCMw==">CgMxLjAyCWguMnM4ZXlvMTgAciExY0o1VnVEVzhUeVp3eUJFTDMxU08yZHdicU9pYWJVal8=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4</Pages>
  <Words>906</Words>
  <Characters>4984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43</cp:revision>
  <cp:lastPrinted>2024-12-10T10:08:00Z</cp:lastPrinted>
  <dcterms:created xsi:type="dcterms:W3CDTF">2024-02-06T13:46:00Z</dcterms:created>
  <dcterms:modified xsi:type="dcterms:W3CDTF">2025-02-10T12:32:00Z</dcterms:modified>
</cp:coreProperties>
</file>