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FD6E" w14:textId="77777777" w:rsidR="00D23A6D" w:rsidRDefault="00000000">
      <w:r>
        <w:rPr>
          <w:noProof/>
        </w:rPr>
        <w:drawing>
          <wp:anchor distT="0" distB="0" distL="114300" distR="114300" simplePos="0" relativeHeight="251658240" behindDoc="0" locked="0" layoutInCell="1" hidden="0" allowOverlap="1" wp14:anchorId="13C5D7E7" wp14:editId="27F8783C">
            <wp:simplePos x="0" y="0"/>
            <wp:positionH relativeFrom="column">
              <wp:posOffset>-1080119</wp:posOffset>
            </wp:positionH>
            <wp:positionV relativeFrom="paragraph">
              <wp:posOffset>-654669</wp:posOffset>
            </wp:positionV>
            <wp:extent cx="7581265" cy="1019175"/>
            <wp:effectExtent l="0" t="0" r="0" b="0"/>
            <wp:wrapNone/>
            <wp:docPr id="2066816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1E346BF" w14:textId="77777777" w:rsidR="00D23A6D" w:rsidRDefault="00D23A6D">
      <w:pPr>
        <w:jc w:val="right"/>
        <w:rPr>
          <w:rFonts w:ascii="National" w:eastAsia="National" w:hAnsi="National" w:cs="National"/>
          <w:color w:val="303AB2"/>
          <w:sz w:val="36"/>
          <w:szCs w:val="36"/>
        </w:rPr>
      </w:pPr>
    </w:p>
    <w:p w14:paraId="571DC26F" w14:textId="77777777" w:rsidR="00D23A6D" w:rsidRDefault="00D23A6D">
      <w:pPr>
        <w:rPr>
          <w:rFonts w:ascii="National" w:eastAsia="National" w:hAnsi="National" w:cs="National"/>
          <w:color w:val="303AB2"/>
          <w:sz w:val="18"/>
          <w:szCs w:val="18"/>
        </w:rPr>
      </w:pPr>
    </w:p>
    <w:p w14:paraId="74830FFE" w14:textId="77777777" w:rsidR="007A3BB9" w:rsidRDefault="007A3BB9" w:rsidP="007A3BB9">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INFORME EXPERIENCIA EN COMPRAVENTA</w:t>
      </w:r>
    </w:p>
    <w:p w14:paraId="11D50203" w14:textId="242CA209" w:rsidR="00F74905" w:rsidRDefault="00362952">
      <w:pPr>
        <w:jc w:val="center"/>
        <w:rPr>
          <w:rFonts w:ascii="National" w:eastAsia="National" w:hAnsi="National" w:cs="National"/>
          <w:b/>
          <w:color w:val="303AB2"/>
          <w:sz w:val="46"/>
          <w:szCs w:val="46"/>
        </w:rPr>
      </w:pPr>
      <w:r>
        <w:rPr>
          <w:rFonts w:ascii="National" w:eastAsia="National" w:hAnsi="National" w:cs="National"/>
          <w:b/>
          <w:color w:val="303AB2"/>
          <w:sz w:val="46"/>
          <w:szCs w:val="46"/>
        </w:rPr>
        <w:t>Aumentan</w:t>
      </w:r>
      <w:r w:rsidR="00F74905">
        <w:rPr>
          <w:rFonts w:ascii="National" w:eastAsia="National" w:hAnsi="National" w:cs="National"/>
          <w:b/>
          <w:color w:val="303AB2"/>
          <w:sz w:val="46"/>
          <w:szCs w:val="46"/>
        </w:rPr>
        <w:t xml:space="preserve"> los nuevos propietarios: el 39% de los demandantes de vivienda de compra no son propietarios de ningún inmueble</w:t>
      </w:r>
    </w:p>
    <w:p w14:paraId="058958F4" w14:textId="77777777" w:rsidR="00D23A6D" w:rsidRDefault="00D23A6D">
      <w:pPr>
        <w:jc w:val="center"/>
        <w:rPr>
          <w:rFonts w:ascii="Open Sans" w:eastAsia="Open Sans" w:hAnsi="Open Sans" w:cs="Open Sans"/>
          <w:color w:val="303AB2"/>
        </w:rPr>
      </w:pPr>
    </w:p>
    <w:p w14:paraId="0D5C5063" w14:textId="7F51B6E4" w:rsidR="0030339F" w:rsidRDefault="00E37111" w:rsidP="0030339F">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Esta</w:t>
      </w:r>
      <w:r w:rsidR="00EA046E">
        <w:rPr>
          <w:rFonts w:ascii="Open Sans Light" w:eastAsia="Open Sans Light" w:hAnsi="Open Sans Light" w:cs="Open Sans Light"/>
          <w:b/>
          <w:color w:val="303AB2"/>
        </w:rPr>
        <w:t xml:space="preserve"> cifra aumenta ocho puntos porcentuales</w:t>
      </w:r>
      <w:r w:rsidR="002A5315">
        <w:rPr>
          <w:rFonts w:ascii="Open Sans Light" w:eastAsia="Open Sans Light" w:hAnsi="Open Sans Light" w:cs="Open Sans Light"/>
          <w:b/>
          <w:color w:val="303AB2"/>
        </w:rPr>
        <w:t xml:space="preserve"> en 2024</w:t>
      </w:r>
      <w:r w:rsidR="00EA046E">
        <w:rPr>
          <w:rFonts w:ascii="Open Sans Light" w:eastAsia="Open Sans Light" w:hAnsi="Open Sans Light" w:cs="Open Sans Light"/>
          <w:b/>
          <w:color w:val="303AB2"/>
        </w:rPr>
        <w:t xml:space="preserve"> en relación con el mismo periodo del año anterior</w:t>
      </w:r>
    </w:p>
    <w:p w14:paraId="414F28D2" w14:textId="5CE8259F" w:rsidR="00806778" w:rsidRDefault="00806778" w:rsidP="000625A6">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w:t>
      </w:r>
      <w:r w:rsidRPr="00806778">
        <w:rPr>
          <w:rFonts w:ascii="Open Sans Light" w:eastAsia="Open Sans Light" w:hAnsi="Open Sans Light" w:cs="Open Sans Light"/>
          <w:b/>
          <w:color w:val="303AB2"/>
        </w:rPr>
        <w:t xml:space="preserve">n 47% de los </w:t>
      </w:r>
      <w:r w:rsidR="004D5FE2">
        <w:rPr>
          <w:rFonts w:ascii="Open Sans Light" w:eastAsia="Open Sans Light" w:hAnsi="Open Sans Light" w:cs="Open Sans Light"/>
          <w:b/>
          <w:color w:val="303AB2"/>
        </w:rPr>
        <w:t>demandantes</w:t>
      </w:r>
      <w:r w:rsidRPr="00806778">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t xml:space="preserve">ya </w:t>
      </w:r>
      <w:r w:rsidRPr="00806778">
        <w:rPr>
          <w:rFonts w:ascii="Open Sans Light" w:eastAsia="Open Sans Light" w:hAnsi="Open Sans Light" w:cs="Open Sans Light"/>
          <w:b/>
          <w:color w:val="303AB2"/>
        </w:rPr>
        <w:t>posee una vivienda</w:t>
      </w:r>
      <w:r>
        <w:rPr>
          <w:rFonts w:ascii="Open Sans Light" w:eastAsia="Open Sans Light" w:hAnsi="Open Sans Light" w:cs="Open Sans Light"/>
          <w:b/>
          <w:color w:val="303AB2"/>
        </w:rPr>
        <w:t xml:space="preserve"> en propiedad, mientras que el 14% tiene dos o más inmuebles</w:t>
      </w:r>
    </w:p>
    <w:p w14:paraId="0742BE82" w14:textId="59B542EC" w:rsidR="0030339F" w:rsidRDefault="004D5FE2" w:rsidP="000625A6">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 mayoría de los compradores quiere destinar la vivienda a ser su primera residencia (79%), aunque también a </w:t>
      </w:r>
      <w:r w:rsidR="00E37111">
        <w:rPr>
          <w:rFonts w:ascii="Open Sans Light" w:eastAsia="Open Sans Light" w:hAnsi="Open Sans Light" w:cs="Open Sans Light"/>
          <w:b/>
          <w:color w:val="303AB2"/>
        </w:rPr>
        <w:t xml:space="preserve">un </w:t>
      </w:r>
      <w:r>
        <w:rPr>
          <w:rFonts w:ascii="Open Sans Light" w:eastAsia="Open Sans Light" w:hAnsi="Open Sans Light" w:cs="Open Sans Light"/>
          <w:b/>
          <w:color w:val="303AB2"/>
        </w:rPr>
        <w:t>uso vacacional (10%) o inversor (10%)</w:t>
      </w:r>
    </w:p>
    <w:p w14:paraId="33F13E89" w14:textId="77777777" w:rsidR="000625A6" w:rsidRPr="000625A6" w:rsidRDefault="000625A6" w:rsidP="000625A6">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418EFDA0" w14:textId="580BD8DA" w:rsidR="00D23A6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F74905">
        <w:rPr>
          <w:rFonts w:ascii="Open Sans Light" w:eastAsia="Open Sans Light" w:hAnsi="Open Sans Light" w:cs="Open Sans Light"/>
          <w:b/>
          <w:color w:val="303AB2"/>
        </w:rPr>
        <w:t>1</w:t>
      </w:r>
      <w:r w:rsidR="00634603">
        <w:rPr>
          <w:rFonts w:ascii="Open Sans Light" w:eastAsia="Open Sans Light" w:hAnsi="Open Sans Light" w:cs="Open Sans Light"/>
          <w:b/>
          <w:color w:val="303AB2"/>
        </w:rPr>
        <w:t>9</w:t>
      </w:r>
      <w:r w:rsidR="00F74905">
        <w:rPr>
          <w:rFonts w:ascii="Open Sans Light" w:eastAsia="Open Sans Light" w:hAnsi="Open Sans Light" w:cs="Open Sans Light"/>
          <w:b/>
          <w:color w:val="303AB2"/>
        </w:rPr>
        <w:t xml:space="preserve"> de marzo</w:t>
      </w:r>
      <w:r>
        <w:rPr>
          <w:rFonts w:ascii="Open Sans Light" w:eastAsia="Open Sans Light" w:hAnsi="Open Sans Light" w:cs="Open Sans Light"/>
          <w:b/>
          <w:color w:val="303AB2"/>
        </w:rPr>
        <w:t xml:space="preserve"> de 202</w:t>
      </w:r>
      <w:r w:rsidR="007A3BB9">
        <w:rPr>
          <w:rFonts w:ascii="Open Sans Light" w:eastAsia="Open Sans Light" w:hAnsi="Open Sans Light" w:cs="Open Sans Light"/>
          <w:b/>
          <w:color w:val="303AB2"/>
        </w:rPr>
        <w:t>5</w:t>
      </w:r>
    </w:p>
    <w:p w14:paraId="25A4B7FC" w14:textId="77777777" w:rsidR="00D23A6D" w:rsidRDefault="00D23A6D">
      <w:pPr>
        <w:pBdr>
          <w:top w:val="nil"/>
          <w:left w:val="nil"/>
          <w:bottom w:val="nil"/>
          <w:right w:val="nil"/>
          <w:between w:val="nil"/>
        </w:pBdr>
        <w:spacing w:line="276" w:lineRule="auto"/>
        <w:jc w:val="both"/>
        <w:rPr>
          <w:rFonts w:ascii="Open Sans" w:eastAsia="Open Sans" w:hAnsi="Open Sans" w:cs="Open Sans"/>
        </w:rPr>
      </w:pPr>
    </w:p>
    <w:p w14:paraId="1DB4716C" w14:textId="1E002B51" w:rsidR="00BE6315" w:rsidRDefault="000F7350" w:rsidP="00BE6315">
      <w:pPr>
        <w:spacing w:line="276" w:lineRule="auto"/>
        <w:jc w:val="both"/>
        <w:rPr>
          <w:rFonts w:ascii="Open Sans" w:eastAsia="Open Sans" w:hAnsi="Open Sans" w:cs="Open Sans"/>
        </w:rPr>
      </w:pPr>
      <w:r>
        <w:rPr>
          <w:rFonts w:ascii="Open Sans" w:eastAsia="Open Sans" w:hAnsi="Open Sans" w:cs="Open Sans"/>
        </w:rPr>
        <w:t xml:space="preserve">El </w:t>
      </w:r>
      <w:r w:rsidR="00EA046E">
        <w:rPr>
          <w:rFonts w:ascii="Open Sans" w:eastAsia="Open Sans" w:hAnsi="Open Sans" w:cs="Open Sans"/>
        </w:rPr>
        <w:t>porcentaje de demandantes de vivienda de compra que no son propietarios de ningún inmueble creció hasta el 39% en 2024, ocho puntos porcentuales por encima de la tasa registrada en el año anterior (31%). Por el contrario, los demandantes que ya son propietarios de al menos un inmueble caen del 69% al 61% en el mismo periodo. Entre este colectivo, un 47% de los potenciales compradores posee una vivienda propia, mientras que el 10% tiene dos inmuebles en propiedad, y el 4% dispone de tres o más.</w:t>
      </w:r>
      <w:r w:rsidR="0030339F">
        <w:rPr>
          <w:rFonts w:ascii="Open Sans" w:eastAsia="Open Sans" w:hAnsi="Open Sans" w:cs="Open Sans"/>
        </w:rPr>
        <w:t xml:space="preserve"> </w:t>
      </w:r>
      <w:r w:rsidR="00BE6315" w:rsidRPr="004C410A">
        <w:rPr>
          <w:rFonts w:ascii="Open Sans" w:eastAsia="Open Sans" w:hAnsi="Open Sans" w:cs="Open Sans"/>
          <w:b/>
          <w:bCs/>
        </w:rPr>
        <w:t>Esta</w:t>
      </w:r>
      <w:r w:rsidR="00FF2337" w:rsidRPr="004C410A">
        <w:rPr>
          <w:rFonts w:ascii="Open Sans" w:eastAsia="Open Sans" w:hAnsi="Open Sans" w:cs="Open Sans"/>
          <w:b/>
          <w:bCs/>
        </w:rPr>
        <w:t>s</w:t>
      </w:r>
      <w:r w:rsidR="00BE6315" w:rsidRPr="004C410A">
        <w:rPr>
          <w:rFonts w:ascii="Open Sans" w:eastAsia="Open Sans" w:hAnsi="Open Sans" w:cs="Open Sans"/>
          <w:b/>
          <w:bCs/>
        </w:rPr>
        <w:t xml:space="preserve"> s</w:t>
      </w:r>
      <w:r w:rsidR="00FF2337" w:rsidRPr="004C410A">
        <w:rPr>
          <w:rFonts w:ascii="Open Sans" w:eastAsia="Open Sans" w:hAnsi="Open Sans" w:cs="Open Sans"/>
          <w:b/>
          <w:bCs/>
        </w:rPr>
        <w:t>on</w:t>
      </w:r>
      <w:r w:rsidR="00BE6315" w:rsidRPr="004C410A">
        <w:rPr>
          <w:rFonts w:ascii="Open Sans" w:eastAsia="Open Sans" w:hAnsi="Open Sans" w:cs="Open Sans"/>
          <w:b/>
          <w:bCs/>
        </w:rPr>
        <w:t xml:space="preserve"> </w:t>
      </w:r>
      <w:r w:rsidR="00FF2337" w:rsidRPr="004C410A">
        <w:rPr>
          <w:rFonts w:ascii="Open Sans" w:eastAsia="Open Sans" w:hAnsi="Open Sans" w:cs="Open Sans"/>
          <w:b/>
          <w:bCs/>
        </w:rPr>
        <w:t>alg</w:t>
      </w:r>
      <w:r w:rsidR="00BE6315" w:rsidRPr="004C410A">
        <w:rPr>
          <w:rFonts w:ascii="Open Sans" w:eastAsia="Open Sans" w:hAnsi="Open Sans" w:cs="Open Sans"/>
          <w:b/>
          <w:bCs/>
        </w:rPr>
        <w:t>una</w:t>
      </w:r>
      <w:r w:rsidR="00FF2337" w:rsidRPr="004C410A">
        <w:rPr>
          <w:rFonts w:ascii="Open Sans" w:eastAsia="Open Sans" w:hAnsi="Open Sans" w:cs="Open Sans"/>
          <w:b/>
          <w:bCs/>
        </w:rPr>
        <w:t>s</w:t>
      </w:r>
      <w:r w:rsidR="00BE6315" w:rsidRPr="004C410A">
        <w:rPr>
          <w:rFonts w:ascii="Open Sans" w:eastAsia="Open Sans" w:hAnsi="Open Sans" w:cs="Open Sans"/>
          <w:b/>
          <w:bCs/>
        </w:rPr>
        <w:t xml:space="preserve"> de las principales conclusiones que se extraen del informe </w:t>
      </w:r>
      <w:r w:rsidR="00FF2337" w:rsidRPr="004C410A">
        <w:rPr>
          <w:rFonts w:ascii="Open Sans" w:eastAsia="Open Sans" w:hAnsi="Open Sans" w:cs="Open Sans"/>
          <w:b/>
          <w:bCs/>
        </w:rPr>
        <w:t>“</w:t>
      </w:r>
      <w:hyperlink r:id="rId9" w:history="1">
        <w:r w:rsidR="002A5315" w:rsidRPr="006444D1">
          <w:rPr>
            <w:rStyle w:val="Hipervnculo"/>
            <w:rFonts w:ascii="Open Sans" w:eastAsia="Open Sans" w:hAnsi="Open Sans" w:cs="Open Sans"/>
            <w:b/>
            <w:bCs/>
            <w:i/>
            <w:iCs/>
          </w:rPr>
          <w:t>Experiencia en compraventa en 2024</w:t>
        </w:r>
      </w:hyperlink>
      <w:r w:rsidR="00FF2337" w:rsidRPr="00FF2337">
        <w:rPr>
          <w:rFonts w:ascii="Open Sans" w:eastAsia="Open Sans" w:hAnsi="Open Sans" w:cs="Open Sans"/>
          <w:b/>
          <w:bCs/>
        </w:rPr>
        <w:t>”</w:t>
      </w:r>
      <w:r w:rsidR="007F4898">
        <w:rPr>
          <w:rFonts w:ascii="Open Sans" w:eastAsia="Open Sans" w:hAnsi="Open Sans" w:cs="Open Sans"/>
        </w:rPr>
        <w:t xml:space="preserve"> </w:t>
      </w:r>
      <w:r w:rsidR="007F4898" w:rsidRPr="007F4898">
        <w:rPr>
          <w:rFonts w:ascii="Open Sans" w:eastAsia="Open Sans" w:hAnsi="Open Sans" w:cs="Open Sans"/>
          <w:b/>
          <w:bCs/>
        </w:rPr>
        <w:t>elaborado por Fotocasa Research</w:t>
      </w:r>
      <w:r w:rsidR="007F4898">
        <w:rPr>
          <w:rFonts w:ascii="Open Sans" w:eastAsia="Open Sans" w:hAnsi="Open Sans" w:cs="Open Sans"/>
        </w:rPr>
        <w:t xml:space="preserve">, </w:t>
      </w:r>
      <w:r w:rsidR="00FF2337" w:rsidRPr="00FF2337">
        <w:rPr>
          <w:rFonts w:ascii="Open Sans" w:eastAsia="Open Sans" w:hAnsi="Open Sans" w:cs="Open Sans"/>
        </w:rPr>
        <w:t>en el que se analiza el comportamiento del mercado de compra y venta y de los actores que conforman el mismo.</w:t>
      </w:r>
    </w:p>
    <w:p w14:paraId="22BF612F" w14:textId="77777777" w:rsidR="00EA046E" w:rsidRDefault="00EA046E" w:rsidP="00BE6315">
      <w:pPr>
        <w:spacing w:line="276" w:lineRule="auto"/>
        <w:jc w:val="both"/>
        <w:rPr>
          <w:rFonts w:ascii="Open Sans" w:eastAsia="Open Sans" w:hAnsi="Open Sans" w:cs="Open Sans"/>
        </w:rPr>
      </w:pPr>
    </w:p>
    <w:p w14:paraId="51A15F0C" w14:textId="601D7707" w:rsidR="00EA046E" w:rsidRDefault="00806778" w:rsidP="00BE6315">
      <w:pPr>
        <w:spacing w:line="276" w:lineRule="auto"/>
        <w:jc w:val="both"/>
        <w:rPr>
          <w:rFonts w:ascii="Open Sans" w:eastAsia="Open Sans" w:hAnsi="Open Sans" w:cs="Open Sans"/>
        </w:rPr>
      </w:pPr>
      <w:r w:rsidRPr="00806778">
        <w:rPr>
          <w:rFonts w:ascii="Open Sans" w:eastAsia="Open Sans" w:hAnsi="Open Sans" w:cs="Open Sans"/>
          <w:b/>
          <w:bCs/>
        </w:rPr>
        <w:t>La caída en el porcentaje de demandantes de vivienda de compra que no son propietarios se manifiesta en casi todos los tramos de edad</w:t>
      </w:r>
      <w:r w:rsidRPr="00806778">
        <w:rPr>
          <w:rFonts w:ascii="Open Sans" w:eastAsia="Open Sans" w:hAnsi="Open Sans" w:cs="Open Sans"/>
        </w:rPr>
        <w:t xml:space="preserve">, siendo más pronunciada en </w:t>
      </w:r>
      <w:r w:rsidR="00E37111" w:rsidRPr="00806778">
        <w:rPr>
          <w:rFonts w:ascii="Open Sans" w:eastAsia="Open Sans" w:hAnsi="Open Sans" w:cs="Open Sans"/>
        </w:rPr>
        <w:t>las cohortes</w:t>
      </w:r>
      <w:r w:rsidRPr="00806778">
        <w:rPr>
          <w:rFonts w:ascii="Open Sans" w:eastAsia="Open Sans" w:hAnsi="Open Sans" w:cs="Open Sans"/>
        </w:rPr>
        <w:t xml:space="preserve"> de 25</w:t>
      </w:r>
      <w:r>
        <w:rPr>
          <w:rFonts w:ascii="Open Sans" w:eastAsia="Open Sans" w:hAnsi="Open Sans" w:cs="Open Sans"/>
        </w:rPr>
        <w:t xml:space="preserve"> a </w:t>
      </w:r>
      <w:r w:rsidRPr="00806778">
        <w:rPr>
          <w:rFonts w:ascii="Open Sans" w:eastAsia="Open Sans" w:hAnsi="Open Sans" w:cs="Open Sans"/>
        </w:rPr>
        <w:t>34 años (del 49% en 2023 al 35% en 2024) y de 35</w:t>
      </w:r>
      <w:r>
        <w:rPr>
          <w:rFonts w:ascii="Open Sans" w:eastAsia="Open Sans" w:hAnsi="Open Sans" w:cs="Open Sans"/>
        </w:rPr>
        <w:t xml:space="preserve"> a </w:t>
      </w:r>
      <w:r w:rsidRPr="00806778">
        <w:rPr>
          <w:rFonts w:ascii="Open Sans" w:eastAsia="Open Sans" w:hAnsi="Open Sans" w:cs="Open Sans"/>
        </w:rPr>
        <w:t>44 años (del 68% al 59%). En cambio, los jóvenes de 18</w:t>
      </w:r>
      <w:r>
        <w:rPr>
          <w:rFonts w:ascii="Open Sans" w:eastAsia="Open Sans" w:hAnsi="Open Sans" w:cs="Open Sans"/>
        </w:rPr>
        <w:t xml:space="preserve"> a </w:t>
      </w:r>
      <w:r w:rsidRPr="00806778">
        <w:rPr>
          <w:rFonts w:ascii="Open Sans" w:eastAsia="Open Sans" w:hAnsi="Open Sans" w:cs="Open Sans"/>
        </w:rPr>
        <w:t xml:space="preserve">24 años aumentan ligeramente su porcentaje de propietarios (del 22% al 24%). Los mayores de 55 </w:t>
      </w:r>
      <w:r w:rsidRPr="00806778">
        <w:rPr>
          <w:rFonts w:ascii="Open Sans" w:eastAsia="Open Sans" w:hAnsi="Open Sans" w:cs="Open Sans"/>
        </w:rPr>
        <w:lastRenderedPageBreak/>
        <w:t xml:space="preserve">años mantienen su tasa en un 87%, </w:t>
      </w:r>
      <w:r>
        <w:rPr>
          <w:rFonts w:ascii="Open Sans" w:eastAsia="Open Sans" w:hAnsi="Open Sans" w:cs="Open Sans"/>
        </w:rPr>
        <w:t>la misma que en 2023</w:t>
      </w:r>
      <w:r w:rsidR="00E37111">
        <w:rPr>
          <w:rFonts w:ascii="Open Sans" w:eastAsia="Open Sans" w:hAnsi="Open Sans" w:cs="Open Sans"/>
        </w:rPr>
        <w:t>,</w:t>
      </w:r>
      <w:r>
        <w:rPr>
          <w:rFonts w:ascii="Open Sans" w:eastAsia="Open Sans" w:hAnsi="Open Sans" w:cs="Open Sans"/>
        </w:rPr>
        <w:t xml:space="preserve"> pero </w:t>
      </w:r>
      <w:r w:rsidRPr="00806778">
        <w:rPr>
          <w:rFonts w:ascii="Open Sans" w:eastAsia="Open Sans" w:hAnsi="Open Sans" w:cs="Open Sans"/>
        </w:rPr>
        <w:t>diez puntos por encima del 77% de 2022.</w:t>
      </w:r>
    </w:p>
    <w:p w14:paraId="3ABA141B" w14:textId="77777777" w:rsidR="00D03696" w:rsidRDefault="00D03696" w:rsidP="00BE6315">
      <w:pPr>
        <w:spacing w:line="276" w:lineRule="auto"/>
        <w:jc w:val="both"/>
        <w:rPr>
          <w:rFonts w:ascii="Open Sans" w:eastAsia="Open Sans" w:hAnsi="Open Sans" w:cs="Open Sans"/>
        </w:rPr>
      </w:pPr>
    </w:p>
    <w:p w14:paraId="03FDB057" w14:textId="62BD53C4" w:rsidR="000625A6" w:rsidRDefault="00806778" w:rsidP="00BE6315">
      <w:pPr>
        <w:spacing w:line="276" w:lineRule="auto"/>
        <w:jc w:val="both"/>
        <w:rPr>
          <w:rFonts w:ascii="Open Sans" w:eastAsia="Open Sans" w:hAnsi="Open Sans" w:cs="Open Sans"/>
        </w:rPr>
      </w:pPr>
      <w:r w:rsidRPr="00E37111">
        <w:rPr>
          <w:rFonts w:ascii="Open Sans" w:eastAsia="Open Sans" w:hAnsi="Open Sans" w:cs="Open Sans"/>
          <w:b/>
          <w:bCs/>
        </w:rPr>
        <w:t>En referencia a los vendedores, estas proporciones son muy distintas.</w:t>
      </w:r>
      <w:r w:rsidRPr="000A6809">
        <w:rPr>
          <w:rFonts w:ascii="Open Sans" w:eastAsia="Open Sans" w:hAnsi="Open Sans" w:cs="Open Sans"/>
        </w:rPr>
        <w:t xml:space="preserve"> Entre quienes ofertan una vivienda para vender en el mercado, un 9% n</w:t>
      </w:r>
      <w:r w:rsidR="000A6809">
        <w:rPr>
          <w:rFonts w:ascii="Open Sans" w:eastAsia="Open Sans" w:hAnsi="Open Sans" w:cs="Open Sans"/>
        </w:rPr>
        <w:t>o son propietarios de ninguna vivienda (suelen ser potenciales herederos o bien personas que están vendiendo una propiedad familiar), mientras que un 54% tienen un solo inmueble en propiedad, un 27% disponen de dos, y un 9% de tres o más.</w:t>
      </w:r>
    </w:p>
    <w:p w14:paraId="7038B2F8" w14:textId="77777777" w:rsidR="00F03789" w:rsidRDefault="00F03789" w:rsidP="00BE6315">
      <w:pPr>
        <w:spacing w:line="276" w:lineRule="auto"/>
        <w:jc w:val="both"/>
        <w:rPr>
          <w:rFonts w:ascii="Open Sans" w:eastAsia="Open Sans" w:hAnsi="Open Sans" w:cs="Open Sans"/>
        </w:rPr>
      </w:pPr>
    </w:p>
    <w:p w14:paraId="29EE4060" w14:textId="0F90A83A" w:rsidR="006F3F44" w:rsidRDefault="00F03789" w:rsidP="00BE6315">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3B9261D5" wp14:editId="550DFC6E">
            <wp:extent cx="5753100" cy="2505075"/>
            <wp:effectExtent l="0" t="0" r="0" b="9525"/>
            <wp:docPr id="1221659173"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59173" name="Imagen 1" descr="Gráfico, Gráfico de barr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505075"/>
                    </a:xfrm>
                    <a:prstGeom prst="rect">
                      <a:avLst/>
                    </a:prstGeom>
                    <a:noFill/>
                    <a:ln>
                      <a:noFill/>
                    </a:ln>
                  </pic:spPr>
                </pic:pic>
              </a:graphicData>
            </a:graphic>
          </wp:inline>
        </w:drawing>
      </w:r>
    </w:p>
    <w:p w14:paraId="300EAC50" w14:textId="77777777" w:rsidR="00F03789" w:rsidRDefault="00F03789" w:rsidP="006F3F44">
      <w:pPr>
        <w:spacing w:line="276" w:lineRule="auto"/>
        <w:jc w:val="both"/>
        <w:rPr>
          <w:rFonts w:ascii="Open Sans" w:eastAsia="Open Sans" w:hAnsi="Open Sans" w:cs="Open Sans"/>
        </w:rPr>
      </w:pPr>
    </w:p>
    <w:p w14:paraId="39FD0D65" w14:textId="3DF53F7F" w:rsidR="000625A6" w:rsidRDefault="000625A6" w:rsidP="000625A6">
      <w:pPr>
        <w:spacing w:line="276" w:lineRule="auto"/>
        <w:jc w:val="both"/>
        <w:rPr>
          <w:rFonts w:ascii="Open Sans" w:eastAsia="Open Sans" w:hAnsi="Open Sans" w:cs="Open Sans"/>
          <w:b/>
          <w:color w:val="303AB2"/>
          <w:sz w:val="28"/>
          <w:szCs w:val="28"/>
        </w:rPr>
      </w:pPr>
      <w:r>
        <w:rPr>
          <w:rFonts w:ascii="Open Sans" w:eastAsia="Open Sans" w:hAnsi="Open Sans" w:cs="Open Sans"/>
          <w:b/>
          <w:color w:val="303AB2"/>
          <w:sz w:val="28"/>
          <w:szCs w:val="28"/>
        </w:rPr>
        <w:t xml:space="preserve">La </w:t>
      </w:r>
      <w:r w:rsidR="004D5FE2">
        <w:rPr>
          <w:rFonts w:ascii="Open Sans" w:eastAsia="Open Sans" w:hAnsi="Open Sans" w:cs="Open Sans"/>
          <w:b/>
          <w:color w:val="303AB2"/>
          <w:sz w:val="28"/>
          <w:szCs w:val="28"/>
        </w:rPr>
        <w:t>mayoría de los compradores adquiere una vivienda para convertirla en su primera residencia</w:t>
      </w:r>
    </w:p>
    <w:p w14:paraId="33B3F3BF" w14:textId="77777777" w:rsidR="007248E5" w:rsidRDefault="007248E5" w:rsidP="00BE6315">
      <w:pPr>
        <w:spacing w:line="276" w:lineRule="auto"/>
        <w:jc w:val="both"/>
        <w:rPr>
          <w:rFonts w:ascii="Open Sans" w:eastAsia="Open Sans" w:hAnsi="Open Sans" w:cs="Open Sans"/>
        </w:rPr>
      </w:pPr>
    </w:p>
    <w:p w14:paraId="458D2500" w14:textId="2D698957" w:rsidR="00F47756" w:rsidRDefault="00F47756" w:rsidP="00F47756">
      <w:pPr>
        <w:spacing w:line="276" w:lineRule="auto"/>
        <w:jc w:val="both"/>
        <w:rPr>
          <w:rFonts w:ascii="Open Sans" w:eastAsia="Open Sans" w:hAnsi="Open Sans" w:cs="Open Sans"/>
        </w:rPr>
      </w:pPr>
      <w:r>
        <w:rPr>
          <w:rFonts w:ascii="Open Sans" w:eastAsia="Open Sans" w:hAnsi="Open Sans" w:cs="Open Sans"/>
        </w:rPr>
        <w:t xml:space="preserve">Casi cuatro de cada cinco compradores efectivos (79%) quiere destinar la vivienda a ser su primera residencia. </w:t>
      </w:r>
      <w:r w:rsidRPr="00F47756">
        <w:rPr>
          <w:rFonts w:ascii="Open Sans" w:eastAsia="Open Sans" w:hAnsi="Open Sans" w:cs="Open Sans"/>
        </w:rPr>
        <w:t>Se recupera de este modo la cifra que se había registrado en 2022, después de que en el 2023 descendiera de modo abrupto hasta el 72%.</w:t>
      </w:r>
      <w:r>
        <w:rPr>
          <w:rFonts w:ascii="Open Sans" w:eastAsia="Open Sans" w:hAnsi="Open Sans" w:cs="Open Sans"/>
        </w:rPr>
        <w:t xml:space="preserve"> </w:t>
      </w:r>
      <w:r w:rsidRPr="00E37111">
        <w:rPr>
          <w:rFonts w:ascii="Open Sans" w:eastAsia="Open Sans" w:hAnsi="Open Sans" w:cs="Open Sans"/>
          <w:b/>
          <w:bCs/>
        </w:rPr>
        <w:t>Esta opción de compra para vivienda habitual todavía es más mayoritaria entre grupos de edad media y joven</w:t>
      </w:r>
      <w:r>
        <w:rPr>
          <w:rFonts w:ascii="Open Sans" w:eastAsia="Open Sans" w:hAnsi="Open Sans" w:cs="Open Sans"/>
        </w:rPr>
        <w:t>, como el caso de los colectivos entre 25 y 34 años (86%) y entre 35 y 44 años (83%).</w:t>
      </w:r>
    </w:p>
    <w:p w14:paraId="440576B3" w14:textId="77777777" w:rsidR="00F47756" w:rsidRDefault="00F47756" w:rsidP="00BE6315">
      <w:pPr>
        <w:spacing w:line="276" w:lineRule="auto"/>
        <w:jc w:val="both"/>
        <w:rPr>
          <w:rFonts w:ascii="Open Sans" w:eastAsia="Open Sans" w:hAnsi="Open Sans" w:cs="Open Sans"/>
        </w:rPr>
      </w:pPr>
    </w:p>
    <w:p w14:paraId="5CE506C0" w14:textId="12434E11" w:rsidR="007248E5" w:rsidRDefault="00B84FBC" w:rsidP="00BE6315">
      <w:pPr>
        <w:spacing w:line="276" w:lineRule="auto"/>
        <w:jc w:val="both"/>
        <w:rPr>
          <w:rFonts w:ascii="Open Sans" w:eastAsia="Open Sans" w:hAnsi="Open Sans" w:cs="Open Sans"/>
        </w:rPr>
      </w:pPr>
      <w:r>
        <w:rPr>
          <w:rFonts w:ascii="Open Sans" w:eastAsia="Open Sans" w:hAnsi="Open Sans" w:cs="Open Sans"/>
        </w:rPr>
        <w:t xml:space="preserve">Por </w:t>
      </w:r>
      <w:r w:rsidR="00F47756">
        <w:rPr>
          <w:rFonts w:ascii="Open Sans" w:eastAsia="Open Sans" w:hAnsi="Open Sans" w:cs="Open Sans"/>
        </w:rPr>
        <w:t xml:space="preserve">el contrario, </w:t>
      </w:r>
      <w:r w:rsidR="00F47756" w:rsidRPr="00E37111">
        <w:rPr>
          <w:rFonts w:ascii="Open Sans" w:eastAsia="Open Sans" w:hAnsi="Open Sans" w:cs="Open Sans"/>
          <w:b/>
          <w:bCs/>
        </w:rPr>
        <w:t>un 10% de los compradores de vivienda quiere destinar el activo a ser su segunda residencia, mientras que otro 10% ha realizado la operación como inversión</w:t>
      </w:r>
      <w:r w:rsidR="00F47756">
        <w:rPr>
          <w:rFonts w:ascii="Open Sans" w:eastAsia="Open Sans" w:hAnsi="Open Sans" w:cs="Open Sans"/>
        </w:rPr>
        <w:t xml:space="preserve">. Ambas opciones tienen un mayor porcentaje de compradores entre los tramos de mayor edad. Así, el 14% de compradores en el colectivo entre 55 y 75 años quiere destinar el inmueble a ser una segunda </w:t>
      </w:r>
      <w:r w:rsidR="00F47756">
        <w:rPr>
          <w:rFonts w:ascii="Open Sans" w:eastAsia="Open Sans" w:hAnsi="Open Sans" w:cs="Open Sans"/>
        </w:rPr>
        <w:lastRenderedPageBreak/>
        <w:t>residencia, el mismo porcentaje que tiene pensado utilizar el activo como una inversión. Igualmente, los compradores entre 45 y 54 años van a dar un uso vacacional a su nueva vivienda en el 11% de los casos, la misma tasa que quienes l</w:t>
      </w:r>
      <w:r w:rsidR="000A6809">
        <w:rPr>
          <w:rFonts w:ascii="Open Sans" w:eastAsia="Open Sans" w:hAnsi="Open Sans" w:cs="Open Sans"/>
        </w:rPr>
        <w:t>a destinarán a inversión.</w:t>
      </w:r>
    </w:p>
    <w:p w14:paraId="78F34A37" w14:textId="77777777" w:rsidR="000A6809" w:rsidRDefault="000A6809" w:rsidP="00BE6315">
      <w:pPr>
        <w:spacing w:line="276" w:lineRule="auto"/>
        <w:jc w:val="both"/>
        <w:rPr>
          <w:rFonts w:ascii="Open Sans" w:eastAsia="Open Sans" w:hAnsi="Open Sans" w:cs="Open Sans"/>
        </w:rPr>
      </w:pPr>
    </w:p>
    <w:p w14:paraId="629848FA" w14:textId="5DF54626" w:rsidR="000A6809" w:rsidRDefault="000A6809" w:rsidP="00BE6315">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6C6A1138" wp14:editId="1424AC5E">
            <wp:extent cx="5753100" cy="3648075"/>
            <wp:effectExtent l="0" t="0" r="0" b="9525"/>
            <wp:docPr id="19724692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648075"/>
                    </a:xfrm>
                    <a:prstGeom prst="rect">
                      <a:avLst/>
                    </a:prstGeom>
                    <a:noFill/>
                    <a:ln>
                      <a:noFill/>
                    </a:ln>
                  </pic:spPr>
                </pic:pic>
              </a:graphicData>
            </a:graphic>
          </wp:inline>
        </w:drawing>
      </w:r>
    </w:p>
    <w:p w14:paraId="6D1EB1D6" w14:textId="77777777" w:rsidR="000A6809" w:rsidRDefault="000A6809" w:rsidP="00BE6315">
      <w:pPr>
        <w:spacing w:line="276" w:lineRule="auto"/>
        <w:jc w:val="both"/>
        <w:rPr>
          <w:rFonts w:ascii="Open Sans" w:eastAsia="Open Sans" w:hAnsi="Open Sans" w:cs="Open Sans"/>
        </w:rPr>
      </w:pPr>
    </w:p>
    <w:p w14:paraId="0E77CBB3" w14:textId="2D052262" w:rsidR="000A6809" w:rsidRDefault="000A6809" w:rsidP="00BE6315">
      <w:pPr>
        <w:spacing w:line="276" w:lineRule="auto"/>
        <w:jc w:val="both"/>
        <w:rPr>
          <w:rFonts w:ascii="Open Sans" w:eastAsia="Open Sans" w:hAnsi="Open Sans" w:cs="Open Sans"/>
        </w:rPr>
      </w:pPr>
      <w:r>
        <w:rPr>
          <w:rFonts w:ascii="Open Sans" w:eastAsia="Open Sans" w:hAnsi="Open Sans" w:cs="Open Sans"/>
          <w:b/>
          <w:color w:val="303AB2"/>
          <w:sz w:val="28"/>
          <w:szCs w:val="28"/>
        </w:rPr>
        <w:t>L</w:t>
      </w:r>
      <w:r w:rsidR="00131ECF">
        <w:rPr>
          <w:rFonts w:ascii="Open Sans" w:eastAsia="Open Sans" w:hAnsi="Open Sans" w:cs="Open Sans"/>
          <w:b/>
          <w:color w:val="303AB2"/>
          <w:sz w:val="28"/>
          <w:szCs w:val="28"/>
        </w:rPr>
        <w:t>os compradores de vivienda no habitual destinarán de forma mayoritaria los inmuebles al alquiler</w:t>
      </w:r>
    </w:p>
    <w:p w14:paraId="7C4FC63F" w14:textId="77777777" w:rsidR="00FF6C69" w:rsidRDefault="00FF6C69" w:rsidP="00BE6315">
      <w:pPr>
        <w:spacing w:line="276" w:lineRule="auto"/>
        <w:jc w:val="both"/>
        <w:rPr>
          <w:rFonts w:ascii="Open Sans" w:eastAsia="Open Sans" w:hAnsi="Open Sans" w:cs="Open Sans"/>
        </w:rPr>
      </w:pPr>
    </w:p>
    <w:p w14:paraId="461C3CBC" w14:textId="335D4456" w:rsidR="000A6809" w:rsidRDefault="000A6809" w:rsidP="00FC62A9">
      <w:pPr>
        <w:spacing w:line="276" w:lineRule="auto"/>
        <w:jc w:val="both"/>
        <w:rPr>
          <w:rFonts w:ascii="Open Sans" w:eastAsia="Open Sans" w:hAnsi="Open Sans" w:cs="Open Sans"/>
        </w:rPr>
      </w:pPr>
      <w:r>
        <w:rPr>
          <w:rFonts w:ascii="Open Sans" w:eastAsia="Open Sans" w:hAnsi="Open Sans" w:cs="Open Sans"/>
        </w:rPr>
        <w:t xml:space="preserve">Por consiguiente, existe un 20% de potenciales compradores que no quieren dar a la vivienda que compren un uso </w:t>
      </w:r>
      <w:r w:rsidR="008D5952">
        <w:rPr>
          <w:rFonts w:ascii="Open Sans" w:eastAsia="Open Sans" w:hAnsi="Open Sans" w:cs="Open Sans"/>
        </w:rPr>
        <w:t>como</w:t>
      </w:r>
      <w:r>
        <w:rPr>
          <w:rFonts w:ascii="Open Sans" w:eastAsia="Open Sans" w:hAnsi="Open Sans" w:cs="Open Sans"/>
        </w:rPr>
        <w:t xml:space="preserve"> primera residencia. Como se ha mencionado, un 10% quiere destinar el activo a un uso vacacional o de segunda residencia, y otro 10% ha comprado el inmueble como inversión. </w:t>
      </w:r>
      <w:r w:rsidR="007E76EB">
        <w:rPr>
          <w:rFonts w:ascii="Open Sans" w:eastAsia="Open Sans" w:hAnsi="Open Sans" w:cs="Open Sans"/>
        </w:rPr>
        <w:t xml:space="preserve">Entre todos ellos, el 43% no tienen pensado alquilar estas viviendas. Por el contrario, </w:t>
      </w:r>
      <w:r w:rsidR="007E76EB" w:rsidRPr="008D5952">
        <w:rPr>
          <w:rFonts w:ascii="Open Sans" w:eastAsia="Open Sans" w:hAnsi="Open Sans" w:cs="Open Sans"/>
          <w:b/>
          <w:bCs/>
        </w:rPr>
        <w:t>un 57% sí pretende poner el activo en régimen de alquiler (desglosado entre un 41% que destinarán el piso a un alquiler de larga duración y el 17% a estancias cortas o vacacionales)</w:t>
      </w:r>
      <w:r w:rsidR="007E76EB">
        <w:rPr>
          <w:rFonts w:ascii="Open Sans" w:eastAsia="Open Sans" w:hAnsi="Open Sans" w:cs="Open Sans"/>
        </w:rPr>
        <w:t xml:space="preserve">. Los principales motivos para decantarse por el alquiler son la rentabilidad (en el 68% de los casos), </w:t>
      </w:r>
      <w:r w:rsidR="008D5952">
        <w:rPr>
          <w:rFonts w:ascii="Open Sans" w:eastAsia="Open Sans" w:hAnsi="Open Sans" w:cs="Open Sans"/>
        </w:rPr>
        <w:t xml:space="preserve">así como </w:t>
      </w:r>
      <w:r w:rsidR="007E76EB">
        <w:rPr>
          <w:rFonts w:ascii="Open Sans" w:eastAsia="Open Sans" w:hAnsi="Open Sans" w:cs="Open Sans"/>
        </w:rPr>
        <w:t>generar recursos para afrontar una hipoteca (29%)</w:t>
      </w:r>
      <w:r w:rsidR="008D5952">
        <w:rPr>
          <w:rFonts w:ascii="Open Sans" w:eastAsia="Open Sans" w:hAnsi="Open Sans" w:cs="Open Sans"/>
        </w:rPr>
        <w:t>, o</w:t>
      </w:r>
      <w:r w:rsidR="007E76EB">
        <w:rPr>
          <w:rFonts w:ascii="Open Sans" w:eastAsia="Open Sans" w:hAnsi="Open Sans" w:cs="Open Sans"/>
        </w:rPr>
        <w:t xml:space="preserve"> esperar que aumente de precio para venderla posteriormente (9%).</w:t>
      </w:r>
    </w:p>
    <w:p w14:paraId="06EC2D99" w14:textId="77777777" w:rsidR="00F03789" w:rsidRDefault="00F03789" w:rsidP="00FC62A9">
      <w:pPr>
        <w:spacing w:line="276" w:lineRule="auto"/>
        <w:jc w:val="both"/>
        <w:rPr>
          <w:rFonts w:ascii="Open Sans" w:eastAsia="Open Sans" w:hAnsi="Open Sans" w:cs="Open Sans"/>
        </w:rPr>
      </w:pPr>
    </w:p>
    <w:p w14:paraId="2C2868CD" w14:textId="77777777" w:rsidR="00F03789" w:rsidRDefault="00F03789" w:rsidP="00FC62A9">
      <w:pPr>
        <w:spacing w:line="276" w:lineRule="auto"/>
        <w:jc w:val="both"/>
        <w:rPr>
          <w:rFonts w:ascii="Open Sans" w:eastAsia="Open Sans" w:hAnsi="Open Sans" w:cs="Open Sans"/>
          <w:b/>
          <w:color w:val="303AB2"/>
          <w:sz w:val="28"/>
          <w:szCs w:val="28"/>
        </w:rPr>
      </w:pPr>
    </w:p>
    <w:p w14:paraId="61B607A4" w14:textId="22E7A818" w:rsidR="006F3F44" w:rsidRDefault="006F3F44" w:rsidP="00FC62A9">
      <w:pPr>
        <w:spacing w:line="276" w:lineRule="auto"/>
        <w:jc w:val="both"/>
        <w:rPr>
          <w:rFonts w:ascii="Open Sans" w:eastAsia="Open Sans" w:hAnsi="Open Sans" w:cs="Open Sans"/>
        </w:rPr>
      </w:pPr>
      <w:r>
        <w:rPr>
          <w:rFonts w:ascii="Open Sans" w:eastAsia="Open Sans" w:hAnsi="Open Sans" w:cs="Open Sans"/>
          <w:b/>
          <w:color w:val="303AB2"/>
          <w:sz w:val="28"/>
          <w:szCs w:val="28"/>
        </w:rPr>
        <w:t xml:space="preserve">Incrementa hasta el 42% </w:t>
      </w:r>
      <w:r w:rsidR="00E37111">
        <w:rPr>
          <w:rFonts w:ascii="Open Sans" w:eastAsia="Open Sans" w:hAnsi="Open Sans" w:cs="Open Sans"/>
          <w:b/>
          <w:color w:val="303AB2"/>
          <w:sz w:val="28"/>
          <w:szCs w:val="28"/>
        </w:rPr>
        <w:t>el porcentaje de vendedores de</w:t>
      </w:r>
      <w:r>
        <w:rPr>
          <w:rFonts w:ascii="Open Sans" w:eastAsia="Open Sans" w:hAnsi="Open Sans" w:cs="Open Sans"/>
          <w:b/>
          <w:color w:val="303AB2"/>
          <w:sz w:val="28"/>
          <w:szCs w:val="28"/>
        </w:rPr>
        <w:t xml:space="preserve"> su residencia habitual</w:t>
      </w:r>
    </w:p>
    <w:p w14:paraId="5841D815" w14:textId="77777777" w:rsidR="002F7F87" w:rsidRPr="002F7F87" w:rsidRDefault="002F7F87" w:rsidP="002F7F87">
      <w:pPr>
        <w:spacing w:line="276" w:lineRule="auto"/>
        <w:jc w:val="both"/>
        <w:rPr>
          <w:rFonts w:ascii="Open Sans" w:eastAsia="Open Sans" w:hAnsi="Open Sans" w:cs="Open Sans"/>
        </w:rPr>
      </w:pPr>
    </w:p>
    <w:p w14:paraId="350A1AAB" w14:textId="11EE33BB" w:rsidR="00FC62A9" w:rsidRDefault="002F7F87" w:rsidP="002F7F87">
      <w:pPr>
        <w:spacing w:line="276" w:lineRule="auto"/>
        <w:jc w:val="both"/>
        <w:rPr>
          <w:rFonts w:ascii="Open Sans" w:eastAsia="Open Sans" w:hAnsi="Open Sans" w:cs="Open Sans"/>
        </w:rPr>
      </w:pPr>
      <w:r w:rsidRPr="002F7F87">
        <w:rPr>
          <w:rFonts w:ascii="Open Sans" w:eastAsia="Open Sans" w:hAnsi="Open Sans" w:cs="Open Sans"/>
        </w:rPr>
        <w:t xml:space="preserve">En 2024 </w:t>
      </w:r>
      <w:r w:rsidR="00E37111">
        <w:rPr>
          <w:rFonts w:ascii="Open Sans" w:eastAsia="Open Sans" w:hAnsi="Open Sans" w:cs="Open Sans"/>
        </w:rPr>
        <w:t xml:space="preserve">ha </w:t>
      </w:r>
      <w:r w:rsidRPr="002F7F87">
        <w:rPr>
          <w:rFonts w:ascii="Open Sans" w:eastAsia="Open Sans" w:hAnsi="Open Sans" w:cs="Open Sans"/>
        </w:rPr>
        <w:t>aumenta</w:t>
      </w:r>
      <w:r w:rsidR="00E37111">
        <w:rPr>
          <w:rFonts w:ascii="Open Sans" w:eastAsia="Open Sans" w:hAnsi="Open Sans" w:cs="Open Sans"/>
        </w:rPr>
        <w:t>do</w:t>
      </w:r>
      <w:r w:rsidRPr="002F7F87">
        <w:rPr>
          <w:rFonts w:ascii="Open Sans" w:eastAsia="Open Sans" w:hAnsi="Open Sans" w:cs="Open Sans"/>
        </w:rPr>
        <w:t xml:space="preserve"> el porcentaje de vendedores que </w:t>
      </w:r>
      <w:r w:rsidR="00E37111">
        <w:rPr>
          <w:rFonts w:ascii="Open Sans" w:eastAsia="Open Sans" w:hAnsi="Open Sans" w:cs="Open Sans"/>
        </w:rPr>
        <w:t xml:space="preserve">quieren desprenderse </w:t>
      </w:r>
      <w:r w:rsidRPr="002F7F87">
        <w:rPr>
          <w:rFonts w:ascii="Open Sans" w:eastAsia="Open Sans" w:hAnsi="Open Sans" w:cs="Open Sans"/>
        </w:rPr>
        <w:t>de su vivienda habitual, pasando del 34% de 2023 al 42%</w:t>
      </w:r>
      <w:r w:rsidR="00E37111">
        <w:rPr>
          <w:rFonts w:ascii="Open Sans" w:eastAsia="Open Sans" w:hAnsi="Open Sans" w:cs="Open Sans"/>
        </w:rPr>
        <w:t xml:space="preserve"> en la actualidad</w:t>
      </w:r>
      <w:r w:rsidRPr="002F7F87">
        <w:rPr>
          <w:rFonts w:ascii="Open Sans" w:eastAsia="Open Sans" w:hAnsi="Open Sans" w:cs="Open Sans"/>
        </w:rPr>
        <w:t>, aunque aún lejos del 48 % de 2020.</w:t>
      </w:r>
      <w:r w:rsidR="00E37111">
        <w:rPr>
          <w:rFonts w:ascii="Open Sans" w:eastAsia="Open Sans" w:hAnsi="Open Sans" w:cs="Open Sans"/>
        </w:rPr>
        <w:t xml:space="preserve"> </w:t>
      </w:r>
      <w:r w:rsidRPr="002F7F87">
        <w:rPr>
          <w:rFonts w:ascii="Open Sans" w:eastAsia="Open Sans" w:hAnsi="Open Sans" w:cs="Open Sans"/>
        </w:rPr>
        <w:t xml:space="preserve">Entre los demás vendedores, un 21% </w:t>
      </w:r>
      <w:r w:rsidR="00E37111">
        <w:rPr>
          <w:rFonts w:ascii="Open Sans" w:eastAsia="Open Sans" w:hAnsi="Open Sans" w:cs="Open Sans"/>
        </w:rPr>
        <w:t xml:space="preserve">estudia poner </w:t>
      </w:r>
      <w:r w:rsidR="008D5952">
        <w:rPr>
          <w:rFonts w:ascii="Open Sans" w:eastAsia="Open Sans" w:hAnsi="Open Sans" w:cs="Open Sans"/>
        </w:rPr>
        <w:t xml:space="preserve">en </w:t>
      </w:r>
      <w:r w:rsidR="00E37111">
        <w:rPr>
          <w:rFonts w:ascii="Open Sans" w:eastAsia="Open Sans" w:hAnsi="Open Sans" w:cs="Open Sans"/>
        </w:rPr>
        <w:t>el mercado</w:t>
      </w:r>
      <w:r w:rsidRPr="002F7F87">
        <w:rPr>
          <w:rFonts w:ascii="Open Sans" w:eastAsia="Open Sans" w:hAnsi="Open Sans" w:cs="Open Sans"/>
        </w:rPr>
        <w:t xml:space="preserve"> viviendas heredadas y sin uso (frente al 23% de 2023). </w:t>
      </w:r>
      <w:r w:rsidRPr="008D5952">
        <w:rPr>
          <w:rFonts w:ascii="Open Sans" w:eastAsia="Open Sans" w:hAnsi="Open Sans" w:cs="Open Sans"/>
          <w:b/>
          <w:bCs/>
        </w:rPr>
        <w:t xml:space="preserve">Otro 16% corresponde a </w:t>
      </w:r>
      <w:r w:rsidR="00E37111" w:rsidRPr="008D5952">
        <w:rPr>
          <w:rFonts w:ascii="Open Sans" w:eastAsia="Open Sans" w:hAnsi="Open Sans" w:cs="Open Sans"/>
          <w:b/>
          <w:bCs/>
        </w:rPr>
        <w:t xml:space="preserve">quienes venden </w:t>
      </w:r>
      <w:r w:rsidRPr="008D5952">
        <w:rPr>
          <w:rFonts w:ascii="Open Sans" w:eastAsia="Open Sans" w:hAnsi="Open Sans" w:cs="Open Sans"/>
          <w:b/>
          <w:bCs/>
        </w:rPr>
        <w:t>inmuebles previamente alquilados</w:t>
      </w:r>
      <w:r w:rsidR="00E37111" w:rsidRPr="008D5952">
        <w:rPr>
          <w:rFonts w:ascii="Open Sans" w:eastAsia="Open Sans" w:hAnsi="Open Sans" w:cs="Open Sans"/>
          <w:b/>
          <w:bCs/>
        </w:rPr>
        <w:t xml:space="preserve"> (ya sean de larga o corta duración)</w:t>
      </w:r>
      <w:r w:rsidRPr="008D5952">
        <w:rPr>
          <w:rFonts w:ascii="Open Sans" w:eastAsia="Open Sans" w:hAnsi="Open Sans" w:cs="Open Sans"/>
          <w:b/>
          <w:bCs/>
        </w:rPr>
        <w:t>, manteniéndose igual que el año anterior</w:t>
      </w:r>
      <w:r w:rsidRPr="008D5952">
        <w:rPr>
          <w:rFonts w:ascii="Open Sans" w:eastAsia="Open Sans" w:hAnsi="Open Sans" w:cs="Open Sans"/>
        </w:rPr>
        <w:t>.</w:t>
      </w:r>
      <w:r w:rsidRPr="002F7F87">
        <w:rPr>
          <w:rFonts w:ascii="Open Sans" w:eastAsia="Open Sans" w:hAnsi="Open Sans" w:cs="Open Sans"/>
        </w:rPr>
        <w:t xml:space="preserve"> En este grupo, predominan los alquileres de larga duración (14%) frente a los vacacionales o de corta estancia (2%).</w:t>
      </w:r>
      <w:r w:rsidR="00E37111">
        <w:rPr>
          <w:rFonts w:ascii="Open Sans" w:eastAsia="Open Sans" w:hAnsi="Open Sans" w:cs="Open Sans"/>
        </w:rPr>
        <w:t xml:space="preserve"> Por otro lado, un 12% de las viviendas a la venta provienen del segmento de las segundas residencias. Por </w:t>
      </w:r>
      <w:r w:rsidR="008D5952">
        <w:rPr>
          <w:rFonts w:ascii="Open Sans" w:eastAsia="Open Sans" w:hAnsi="Open Sans" w:cs="Open Sans"/>
        </w:rPr>
        <w:t>último</w:t>
      </w:r>
      <w:r w:rsidR="00E37111">
        <w:rPr>
          <w:rFonts w:ascii="Open Sans" w:eastAsia="Open Sans" w:hAnsi="Open Sans" w:cs="Open Sans"/>
        </w:rPr>
        <w:t>, q</w:t>
      </w:r>
      <w:r w:rsidRPr="002F7F87">
        <w:rPr>
          <w:rFonts w:ascii="Open Sans" w:eastAsia="Open Sans" w:hAnsi="Open Sans" w:cs="Open Sans"/>
        </w:rPr>
        <w:t>uienes no alquilan suelen citar como razones el deseo de evitar problemas con el pago de rentas (</w:t>
      </w:r>
      <w:r w:rsidR="00E37111">
        <w:rPr>
          <w:rFonts w:ascii="Open Sans" w:eastAsia="Open Sans" w:hAnsi="Open Sans" w:cs="Open Sans"/>
        </w:rPr>
        <w:t xml:space="preserve">el </w:t>
      </w:r>
      <w:r w:rsidRPr="002F7F87">
        <w:rPr>
          <w:rFonts w:ascii="Open Sans" w:eastAsia="Open Sans" w:hAnsi="Open Sans" w:cs="Open Sans"/>
        </w:rPr>
        <w:t xml:space="preserve">31%) o </w:t>
      </w:r>
      <w:r w:rsidR="00E37111">
        <w:rPr>
          <w:rFonts w:ascii="Open Sans" w:eastAsia="Open Sans" w:hAnsi="Open Sans" w:cs="Open Sans"/>
        </w:rPr>
        <w:t xml:space="preserve">por </w:t>
      </w:r>
      <w:r w:rsidRPr="002F7F87">
        <w:rPr>
          <w:rFonts w:ascii="Open Sans" w:eastAsia="Open Sans" w:hAnsi="Open Sans" w:cs="Open Sans"/>
        </w:rPr>
        <w:t>el temor a daños en la propiedad (</w:t>
      </w:r>
      <w:r w:rsidR="008D5952">
        <w:rPr>
          <w:rFonts w:ascii="Open Sans" w:eastAsia="Open Sans" w:hAnsi="Open Sans" w:cs="Open Sans"/>
        </w:rPr>
        <w:t xml:space="preserve">el </w:t>
      </w:r>
      <w:r w:rsidRPr="002F7F87">
        <w:rPr>
          <w:rFonts w:ascii="Open Sans" w:eastAsia="Open Sans" w:hAnsi="Open Sans" w:cs="Open Sans"/>
        </w:rPr>
        <w:t>19%).</w:t>
      </w:r>
    </w:p>
    <w:p w14:paraId="75C9071F" w14:textId="62FAFE69" w:rsidR="001C0E6A" w:rsidRDefault="001C0E6A">
      <w:pPr>
        <w:spacing w:line="276" w:lineRule="auto"/>
        <w:jc w:val="right"/>
        <w:rPr>
          <w:rFonts w:ascii="Open Sans Light" w:eastAsia="Open Sans Light" w:hAnsi="Open Sans Light" w:cs="Open Sans Light"/>
          <w:b/>
          <w:color w:val="303AB2"/>
        </w:rPr>
      </w:pPr>
    </w:p>
    <w:p w14:paraId="76BCE50B" w14:textId="46C79A6E" w:rsidR="00D50BED" w:rsidRDefault="006F3F44">
      <w:pPr>
        <w:spacing w:line="276" w:lineRule="auto"/>
        <w:jc w:val="right"/>
        <w:rPr>
          <w:rFonts w:ascii="Open Sans Light" w:eastAsia="Open Sans Light" w:hAnsi="Open Sans Light" w:cs="Open Sans Light"/>
          <w:b/>
          <w:color w:val="303AB2"/>
        </w:rPr>
      </w:pPr>
      <w:r>
        <w:rPr>
          <w:rFonts w:ascii="Open Sans" w:eastAsia="Open Sans" w:hAnsi="Open Sans" w:cs="Open Sans"/>
          <w:noProof/>
        </w:rPr>
        <w:drawing>
          <wp:inline distT="0" distB="0" distL="0" distR="0" wp14:anchorId="727C4C98" wp14:editId="35911376">
            <wp:extent cx="5753100" cy="3219450"/>
            <wp:effectExtent l="0" t="0" r="0" b="0"/>
            <wp:docPr id="348384755" name="Imagen 3" descr="Imagen que contiene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84755" name="Imagen 3" descr="Imagen que contiene Gráfico de barra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14:paraId="53B651E3" w14:textId="77777777" w:rsidR="00E37111" w:rsidRDefault="00E37111">
      <w:pPr>
        <w:spacing w:line="276" w:lineRule="auto"/>
        <w:jc w:val="right"/>
        <w:rPr>
          <w:rFonts w:ascii="Open Sans Light" w:eastAsia="Open Sans Light" w:hAnsi="Open Sans Light" w:cs="Open Sans Light"/>
          <w:b/>
          <w:color w:val="303AB2"/>
        </w:rPr>
      </w:pPr>
    </w:p>
    <w:p w14:paraId="7CEE1856" w14:textId="0534017D" w:rsidR="00F03789" w:rsidRDefault="00F03789" w:rsidP="00F03789">
      <w:pPr>
        <w:spacing w:line="276" w:lineRule="auto"/>
        <w:jc w:val="both"/>
        <w:rPr>
          <w:rFonts w:ascii="Open Sans" w:eastAsia="Open Sans" w:hAnsi="Open Sans" w:cs="Open Sans"/>
        </w:rPr>
      </w:pPr>
      <w:r>
        <w:rPr>
          <w:rFonts w:ascii="Open Sans" w:eastAsia="Open Sans" w:hAnsi="Open Sans" w:cs="Open Sans"/>
        </w:rPr>
        <w:t xml:space="preserve">“Cada vez hay más españoles que se decantan por la compra de una vivienda sin ser previamente propietarios de ningún inmueble. Esta bolsa de demandantes proviene principalmente de quienes están en proceso de emancipación (y prefieren adquirir un inmueble a alquilarlo) o de aquellos que, viviendo actualmente de alquiler, quieren dar el paso y convertirse en propietarios. A pesar, del incremento de precios de la compraventa, muchos demandantes eligen la ser </w:t>
      </w:r>
      <w:r>
        <w:rPr>
          <w:rFonts w:ascii="Open Sans" w:eastAsia="Open Sans" w:hAnsi="Open Sans" w:cs="Open Sans"/>
        </w:rPr>
        <w:lastRenderedPageBreak/>
        <w:t xml:space="preserve">propietarios, ya que se está produciendo también un notable encarecimiento de las rentas en el mercado nacional del alquiler en los últimos trimestres, algo que viene reforzado por un sentimiento de propiedad muy arraigado entre los españoles. Es más, dado que las cifras de este informe se han obtenido a partir de una encuesta realizada en la primera mitad de 2024, es posible que esta tendencia se agudice: el mayor acceso a la financiación provocado por la rebaja de los tipos de interés a partir de la segunda mitad de 2024 puede incrementar el trasvase de demandantes desde el alquiler a la compra”, </w:t>
      </w:r>
      <w:r w:rsidRPr="001A233B">
        <w:rPr>
          <w:rFonts w:ascii="Open Sans" w:eastAsia="Open Sans" w:hAnsi="Open Sans" w:cs="Open Sans"/>
        </w:rPr>
        <w:t xml:space="preserve">explica </w:t>
      </w:r>
      <w:r w:rsidRPr="002169E8">
        <w:rPr>
          <w:rFonts w:ascii="Open Sans" w:eastAsia="Open Sans" w:hAnsi="Open Sans" w:cs="Open Sans"/>
          <w:b/>
          <w:bCs/>
        </w:rPr>
        <w:t xml:space="preserve">María Matos, directora de Estudios y portavoz de </w:t>
      </w:r>
      <w:hyperlink r:id="rId13" w:history="1">
        <w:r w:rsidRPr="006F33C9">
          <w:rPr>
            <w:rStyle w:val="Hipervnculo"/>
            <w:rFonts w:ascii="Open Sans" w:eastAsia="Open Sans" w:hAnsi="Open Sans" w:cs="Open Sans"/>
            <w:b/>
            <w:bCs/>
          </w:rPr>
          <w:t>Fotocasa</w:t>
        </w:r>
      </w:hyperlink>
      <w:r w:rsidRPr="001A233B">
        <w:rPr>
          <w:rFonts w:ascii="Open Sans" w:eastAsia="Open Sans" w:hAnsi="Open Sans" w:cs="Open Sans"/>
        </w:rPr>
        <w:t>.</w:t>
      </w:r>
    </w:p>
    <w:p w14:paraId="336A5C7C" w14:textId="77777777" w:rsidR="00E37111" w:rsidRDefault="00E37111">
      <w:pPr>
        <w:spacing w:line="276" w:lineRule="auto"/>
        <w:jc w:val="right"/>
        <w:rPr>
          <w:rFonts w:ascii="Open Sans Light" w:eastAsia="Open Sans Light" w:hAnsi="Open Sans Light" w:cs="Open Sans Light"/>
          <w:b/>
          <w:color w:val="303AB2"/>
        </w:rPr>
      </w:pPr>
    </w:p>
    <w:p w14:paraId="12A8CF62" w14:textId="77777777" w:rsidR="00F03789" w:rsidRDefault="00F03789">
      <w:pPr>
        <w:spacing w:line="276" w:lineRule="auto"/>
        <w:jc w:val="right"/>
        <w:rPr>
          <w:rFonts w:ascii="Open Sans Light" w:eastAsia="Open Sans Light" w:hAnsi="Open Sans Light" w:cs="Open Sans Light"/>
          <w:b/>
          <w:color w:val="303AB2"/>
        </w:rPr>
      </w:pPr>
    </w:p>
    <w:p w14:paraId="6F9424B5" w14:textId="77777777" w:rsidR="007F4898" w:rsidRDefault="007F4898" w:rsidP="007F4898">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1512CD7" w14:textId="77777777" w:rsidR="007F4898" w:rsidRDefault="007F4898" w:rsidP="007F4898">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231FBF6" w14:textId="77777777" w:rsidR="007F4898" w:rsidRDefault="007F4898" w:rsidP="007F4898">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29BEDA1" w14:textId="77777777" w:rsidR="007F4898" w:rsidRDefault="007F4898" w:rsidP="007F4898">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2F7E420" w14:textId="77777777" w:rsidR="007F4898" w:rsidRDefault="007F4898" w:rsidP="007F4898">
      <w:pPr>
        <w:shd w:val="clear" w:color="auto" w:fill="FFFFFF"/>
        <w:spacing w:before="280" w:after="280" w:line="276" w:lineRule="auto"/>
        <w:jc w:val="both"/>
        <w:rPr>
          <w:rFonts w:ascii="Open Sans" w:eastAsia="Open Sans" w:hAnsi="Open Sans" w:cs="Open Sans"/>
          <w:sz w:val="22"/>
          <w:szCs w:val="22"/>
        </w:rPr>
      </w:pPr>
    </w:p>
    <w:p w14:paraId="7F4426B5" w14:textId="77777777" w:rsidR="007F4898" w:rsidRDefault="007F4898" w:rsidP="007F4898">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748DF37F" w14:textId="77777777" w:rsidR="007F4898" w:rsidRDefault="007F4898" w:rsidP="007F4898">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1">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4C3582F" w14:textId="77777777" w:rsidR="007F4898" w:rsidRDefault="007F4898" w:rsidP="007F4898">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51ABF17" w14:textId="77777777" w:rsidR="007F4898" w:rsidRDefault="007F4898" w:rsidP="007F4898">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7E21C226" w14:textId="77777777" w:rsidR="007F4898" w:rsidRDefault="007F4898" w:rsidP="007F4898">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1E58DAD3" w14:textId="77777777" w:rsidR="007F4898" w:rsidRDefault="007F4898" w:rsidP="007F4898">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51CF96A2" w14:textId="77777777" w:rsidR="007F4898" w:rsidRDefault="007F4898" w:rsidP="007F4898">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3D2B7B8" w14:textId="77777777" w:rsidR="007F4898" w:rsidRDefault="007F4898" w:rsidP="007F4898">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65DED2C7" w14:textId="77777777" w:rsidR="007F4898" w:rsidRDefault="007F4898" w:rsidP="007F4898">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14B609B" w14:textId="3867577D" w:rsidR="00D23A6D" w:rsidRDefault="00D23A6D" w:rsidP="007F4898">
      <w:pPr>
        <w:spacing w:line="276" w:lineRule="auto"/>
        <w:jc w:val="right"/>
        <w:rPr>
          <w:rFonts w:ascii="Open Sans" w:eastAsia="Open Sans" w:hAnsi="Open Sans" w:cs="Open Sans"/>
          <w:color w:val="000000"/>
          <w:sz w:val="22"/>
          <w:szCs w:val="22"/>
        </w:rPr>
      </w:pPr>
    </w:p>
    <w:sectPr w:rsidR="00D23A6D">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F45FE" w14:textId="77777777" w:rsidR="004E22BD" w:rsidRDefault="004E22BD">
      <w:r>
        <w:separator/>
      </w:r>
    </w:p>
  </w:endnote>
  <w:endnote w:type="continuationSeparator" w:id="0">
    <w:p w14:paraId="10D530CE" w14:textId="77777777" w:rsidR="004E22BD" w:rsidRDefault="004E2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48D947E-B7D0-4D1C-8A30-B37C217BF5E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2061F89-CCB4-469D-871E-F8C686083E3A}"/>
    <w:embedBold r:id="rId3" w:fontKey="{60A61A2A-4E8E-4E3C-8FA7-E942EDFA607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61C5470-39DF-4F93-B47C-594FCCA32176}"/>
    <w:embedItalic r:id="rId5" w:fontKey="{77ACB1C8-A528-46EB-8A67-1779FA4B5DE0}"/>
  </w:font>
  <w:font w:name="Cambria">
    <w:panose1 w:val="02040503050406030204"/>
    <w:charset w:val="00"/>
    <w:family w:val="roman"/>
    <w:pitch w:val="variable"/>
    <w:sig w:usb0="E00006FF" w:usb1="420024FF" w:usb2="02000000" w:usb3="00000000" w:csb0="0000019F" w:csb1="00000000"/>
    <w:embedRegular r:id="rId6" w:fontKey="{5FADCDD9-871E-4BD5-9BDB-075BBB3AFBA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C185C9F9-54E1-457F-860D-6D64BE2F3028}"/>
    <w:embedBold r:id="rId8" w:fontKey="{11C7A4F1-0FA5-4133-8CDD-FE5A4586515C}"/>
    <w:embedBoldItalic r:id="rId9" w:fontKey="{8E4C4472-F642-4109-8C81-78136DCC02B4}"/>
  </w:font>
  <w:font w:name="Open Sans Light">
    <w:charset w:val="00"/>
    <w:family w:val="swiss"/>
    <w:pitch w:val="variable"/>
    <w:sig w:usb0="E00002EF" w:usb1="4000205B" w:usb2="00000028" w:usb3="00000000" w:csb0="0000019F" w:csb1="00000000"/>
    <w:embedRegular r:id="rId10" w:fontKey="{223D72A9-F8DC-4D06-A900-4DA780DF67EB}"/>
    <w:embedBold r:id="rId11" w:fontKey="{5E8DC806-2A64-4ED8-B548-C6ED1DF323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0C8B" w14:textId="77777777" w:rsidR="00D23A6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A50753C" wp14:editId="2BAE600E">
          <wp:simplePos x="0" y="0"/>
          <wp:positionH relativeFrom="column">
            <wp:posOffset>-1068044</wp:posOffset>
          </wp:positionH>
          <wp:positionV relativeFrom="paragraph">
            <wp:posOffset>174608</wp:posOffset>
          </wp:positionV>
          <wp:extent cx="7670550" cy="451315"/>
          <wp:effectExtent l="0" t="0" r="0" b="0"/>
          <wp:wrapNone/>
          <wp:docPr id="20668166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DBE10" w14:textId="77777777" w:rsidR="004E22BD" w:rsidRDefault="004E22BD">
      <w:r>
        <w:separator/>
      </w:r>
    </w:p>
  </w:footnote>
  <w:footnote w:type="continuationSeparator" w:id="0">
    <w:p w14:paraId="3EE2B8CA" w14:textId="77777777" w:rsidR="004E22BD" w:rsidRDefault="004E2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F12D6"/>
    <w:multiLevelType w:val="multilevel"/>
    <w:tmpl w:val="B0C27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8746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6D"/>
    <w:rsid w:val="00005B6F"/>
    <w:rsid w:val="000141C3"/>
    <w:rsid w:val="00040FA3"/>
    <w:rsid w:val="000625A6"/>
    <w:rsid w:val="00075EA8"/>
    <w:rsid w:val="000952E4"/>
    <w:rsid w:val="00097A2D"/>
    <w:rsid w:val="000A6809"/>
    <w:rsid w:val="000F7350"/>
    <w:rsid w:val="0011337A"/>
    <w:rsid w:val="00131ECF"/>
    <w:rsid w:val="00143082"/>
    <w:rsid w:val="0018112E"/>
    <w:rsid w:val="001A42F4"/>
    <w:rsid w:val="001C0E6A"/>
    <w:rsid w:val="001D6116"/>
    <w:rsid w:val="00201C5C"/>
    <w:rsid w:val="00216759"/>
    <w:rsid w:val="00265AAF"/>
    <w:rsid w:val="002841AF"/>
    <w:rsid w:val="002A5315"/>
    <w:rsid w:val="002D18BF"/>
    <w:rsid w:val="002D2380"/>
    <w:rsid w:val="002F7F87"/>
    <w:rsid w:val="0030339F"/>
    <w:rsid w:val="00313446"/>
    <w:rsid w:val="00360687"/>
    <w:rsid w:val="00362952"/>
    <w:rsid w:val="00377542"/>
    <w:rsid w:val="003908E1"/>
    <w:rsid w:val="003B23FD"/>
    <w:rsid w:val="003F356E"/>
    <w:rsid w:val="0041646A"/>
    <w:rsid w:val="0042308D"/>
    <w:rsid w:val="0042460A"/>
    <w:rsid w:val="0047318F"/>
    <w:rsid w:val="00486816"/>
    <w:rsid w:val="004A405B"/>
    <w:rsid w:val="004B3FA8"/>
    <w:rsid w:val="004C410A"/>
    <w:rsid w:val="004D5FE2"/>
    <w:rsid w:val="004E22BD"/>
    <w:rsid w:val="004E4E86"/>
    <w:rsid w:val="00501561"/>
    <w:rsid w:val="00510A79"/>
    <w:rsid w:val="005714E7"/>
    <w:rsid w:val="005727EF"/>
    <w:rsid w:val="00581D12"/>
    <w:rsid w:val="005E58A4"/>
    <w:rsid w:val="005F68B8"/>
    <w:rsid w:val="00612B80"/>
    <w:rsid w:val="00634603"/>
    <w:rsid w:val="0063764A"/>
    <w:rsid w:val="00665C21"/>
    <w:rsid w:val="006C0EFA"/>
    <w:rsid w:val="006F33C9"/>
    <w:rsid w:val="006F3F44"/>
    <w:rsid w:val="007248E5"/>
    <w:rsid w:val="007940CE"/>
    <w:rsid w:val="007A3BB9"/>
    <w:rsid w:val="007C55AB"/>
    <w:rsid w:val="007E76EB"/>
    <w:rsid w:val="007F4898"/>
    <w:rsid w:val="00806778"/>
    <w:rsid w:val="00813B4D"/>
    <w:rsid w:val="00832151"/>
    <w:rsid w:val="00840549"/>
    <w:rsid w:val="0088601D"/>
    <w:rsid w:val="008C50D8"/>
    <w:rsid w:val="008C65C3"/>
    <w:rsid w:val="008D5952"/>
    <w:rsid w:val="00961F54"/>
    <w:rsid w:val="0096673D"/>
    <w:rsid w:val="0096755A"/>
    <w:rsid w:val="00985BC2"/>
    <w:rsid w:val="009935BC"/>
    <w:rsid w:val="009C2D3D"/>
    <w:rsid w:val="009C4CAB"/>
    <w:rsid w:val="009D4D36"/>
    <w:rsid w:val="009E415C"/>
    <w:rsid w:val="00A169D6"/>
    <w:rsid w:val="00A2469E"/>
    <w:rsid w:val="00A24F66"/>
    <w:rsid w:val="00A44B0B"/>
    <w:rsid w:val="00AB7A98"/>
    <w:rsid w:val="00AC7A76"/>
    <w:rsid w:val="00AD25DE"/>
    <w:rsid w:val="00AE340D"/>
    <w:rsid w:val="00AE3524"/>
    <w:rsid w:val="00B21AD2"/>
    <w:rsid w:val="00B77683"/>
    <w:rsid w:val="00B84FBC"/>
    <w:rsid w:val="00BE6315"/>
    <w:rsid w:val="00C31561"/>
    <w:rsid w:val="00C429F3"/>
    <w:rsid w:val="00C44F78"/>
    <w:rsid w:val="00CA1D16"/>
    <w:rsid w:val="00D03696"/>
    <w:rsid w:val="00D102E9"/>
    <w:rsid w:val="00D13F35"/>
    <w:rsid w:val="00D23A6D"/>
    <w:rsid w:val="00D35795"/>
    <w:rsid w:val="00D50BED"/>
    <w:rsid w:val="00DA4838"/>
    <w:rsid w:val="00DB7B0E"/>
    <w:rsid w:val="00E32F6E"/>
    <w:rsid w:val="00E37111"/>
    <w:rsid w:val="00E65259"/>
    <w:rsid w:val="00EA046E"/>
    <w:rsid w:val="00EE6CC7"/>
    <w:rsid w:val="00F01F38"/>
    <w:rsid w:val="00F03789"/>
    <w:rsid w:val="00F10C13"/>
    <w:rsid w:val="00F31CD9"/>
    <w:rsid w:val="00F47756"/>
    <w:rsid w:val="00F7300D"/>
    <w:rsid w:val="00F74905"/>
    <w:rsid w:val="00F95D23"/>
    <w:rsid w:val="00FC62A9"/>
    <w:rsid w:val="00FC764E"/>
    <w:rsid w:val="00FD6694"/>
    <w:rsid w:val="00FF2337"/>
    <w:rsid w:val="00FF6C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6F08"/>
  <w15:docId w15:val="{3A1BEFDC-1E2B-4638-98DF-D024111A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5"/>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2"/>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infojob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ilanuncios.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image" Target="media/image2.jpeg"/><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s36360.pcdn.co/wp-content/uploads/2025/01/Informe-Experiencia-en-compraventa-en-2024.pdf"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UA0qfZ+aXkD+u2b+Hk1pMCMw==">CgMxLjAyCWguMnM4ZXlvMTgAciExY0o1VnVEVzhUeVp3eUJFTDMxU08yZHdicU9pYWJVal8=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6</Pages>
  <Words>1312</Words>
  <Characters>7221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47</cp:revision>
  <cp:lastPrinted>2025-03-04T09:43:00Z</cp:lastPrinted>
  <dcterms:created xsi:type="dcterms:W3CDTF">2024-02-06T13:46:00Z</dcterms:created>
  <dcterms:modified xsi:type="dcterms:W3CDTF">2025-03-04T11:55:00Z</dcterms:modified>
</cp:coreProperties>
</file>