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E1B4C" w14:textId="77777777" w:rsidR="007668BF" w:rsidRDefault="00000000">
      <w:bookmarkStart w:id="0" w:name="_heading=h.gjdgxs" w:colFirst="0" w:colLast="0"/>
      <w:bookmarkEnd w:id="0"/>
      <w:r>
        <w:rPr>
          <w:noProof/>
        </w:rPr>
        <w:drawing>
          <wp:anchor distT="0" distB="0" distL="114300" distR="114300" simplePos="0" relativeHeight="251658240" behindDoc="0" locked="0" layoutInCell="1" hidden="0" allowOverlap="1" wp14:anchorId="6810197E" wp14:editId="4CAEE238">
            <wp:simplePos x="0" y="0"/>
            <wp:positionH relativeFrom="column">
              <wp:posOffset>-1080118</wp:posOffset>
            </wp:positionH>
            <wp:positionV relativeFrom="paragraph">
              <wp:posOffset>-654667</wp:posOffset>
            </wp:positionV>
            <wp:extent cx="7581265" cy="1019175"/>
            <wp:effectExtent l="0" t="0" r="0" b="0"/>
            <wp:wrapNone/>
            <wp:docPr id="20668166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D5A1EA7" w14:textId="77777777" w:rsidR="007668BF" w:rsidRDefault="007668BF">
      <w:pPr>
        <w:jc w:val="right"/>
        <w:rPr>
          <w:rFonts w:ascii="National" w:eastAsia="National" w:hAnsi="National" w:cs="National"/>
          <w:color w:val="303AB2"/>
          <w:sz w:val="36"/>
          <w:szCs w:val="36"/>
        </w:rPr>
      </w:pPr>
    </w:p>
    <w:p w14:paraId="3556EA2D" w14:textId="77777777" w:rsidR="007668BF" w:rsidRDefault="007668BF">
      <w:pPr>
        <w:rPr>
          <w:rFonts w:ascii="National" w:eastAsia="National" w:hAnsi="National" w:cs="National"/>
          <w:color w:val="303AB2"/>
          <w:sz w:val="18"/>
          <w:szCs w:val="18"/>
        </w:rPr>
      </w:pPr>
    </w:p>
    <w:p w14:paraId="62627D6A" w14:textId="77777777" w:rsidR="007668BF" w:rsidRDefault="00000000">
      <w:pPr>
        <w:spacing w:line="276" w:lineRule="auto"/>
        <w:jc w:val="center"/>
        <w:rPr>
          <w:rFonts w:ascii="National" w:eastAsia="National" w:hAnsi="National" w:cs="National"/>
          <w:b/>
          <w:color w:val="1DBDC5"/>
          <w:sz w:val="42"/>
          <w:szCs w:val="42"/>
        </w:rPr>
      </w:pPr>
      <w:r>
        <w:rPr>
          <w:rFonts w:ascii="National" w:eastAsia="National" w:hAnsi="National" w:cs="National"/>
          <w:b/>
          <w:color w:val="1DBDC5"/>
          <w:sz w:val="42"/>
          <w:szCs w:val="42"/>
        </w:rPr>
        <w:t>INFORME EXPERIENCIA EN COMPRAVENTA</w:t>
      </w:r>
    </w:p>
    <w:p w14:paraId="777226C4" w14:textId="77777777" w:rsidR="007668BF" w:rsidRDefault="00000000">
      <w:pPr>
        <w:jc w:val="center"/>
        <w:rPr>
          <w:rFonts w:ascii="National" w:eastAsia="National" w:hAnsi="National" w:cs="National"/>
          <w:b/>
          <w:color w:val="303AB2"/>
          <w:sz w:val="46"/>
          <w:szCs w:val="46"/>
        </w:rPr>
      </w:pPr>
      <w:r>
        <w:rPr>
          <w:rFonts w:ascii="National" w:eastAsia="National" w:hAnsi="National" w:cs="National"/>
          <w:b/>
          <w:color w:val="303AB2"/>
          <w:sz w:val="46"/>
          <w:szCs w:val="46"/>
        </w:rPr>
        <w:t>El porcentaje de compradores que consideran que los precios son demasiado elevados ha crecido veinte puntos desde 2021</w:t>
      </w:r>
    </w:p>
    <w:p w14:paraId="7146368B" w14:textId="77777777" w:rsidR="007668BF" w:rsidRDefault="007668BF">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2DA770C0" w14:textId="77777777" w:rsidR="007668BF"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73% de los compradores de vivienda creen que los precios son muy caros, cinco puntos más que hace un año</w:t>
      </w:r>
    </w:p>
    <w:p w14:paraId="0B9D5224" w14:textId="77777777" w:rsidR="007668BF"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Un 68% de los demandantes prevén que el coste de adquirir un inmueble se incremente aún más en el futuro </w:t>
      </w:r>
    </w:p>
    <w:p w14:paraId="2D64E122" w14:textId="77777777" w:rsidR="007668BF"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Nueve de cada diez vendedores también admiten que los precios son caros actualmente en España</w:t>
      </w:r>
    </w:p>
    <w:p w14:paraId="121D95B8" w14:textId="77777777" w:rsidR="007668BF" w:rsidRDefault="007668BF">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14056872" w14:textId="77777777" w:rsidR="007668BF"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21 de marzo de 2025</w:t>
      </w:r>
    </w:p>
    <w:p w14:paraId="2E84A486" w14:textId="77777777" w:rsidR="007668BF" w:rsidRDefault="007668BF">
      <w:pPr>
        <w:pBdr>
          <w:top w:val="nil"/>
          <w:left w:val="nil"/>
          <w:bottom w:val="nil"/>
          <w:right w:val="nil"/>
          <w:between w:val="nil"/>
        </w:pBdr>
        <w:spacing w:line="276" w:lineRule="auto"/>
        <w:jc w:val="both"/>
        <w:rPr>
          <w:rFonts w:ascii="Open Sans" w:eastAsia="Open Sans" w:hAnsi="Open Sans" w:cs="Open Sans"/>
        </w:rPr>
      </w:pPr>
    </w:p>
    <w:p w14:paraId="31A86A9E" w14:textId="77777777" w:rsidR="007668BF" w:rsidRDefault="00000000">
      <w:pPr>
        <w:spacing w:line="276" w:lineRule="auto"/>
        <w:jc w:val="both"/>
        <w:rPr>
          <w:rFonts w:ascii="Open Sans" w:eastAsia="Open Sans" w:hAnsi="Open Sans" w:cs="Open Sans"/>
        </w:rPr>
      </w:pPr>
      <w:r>
        <w:rPr>
          <w:rFonts w:ascii="Open Sans" w:eastAsia="Open Sans" w:hAnsi="Open Sans" w:cs="Open Sans"/>
        </w:rPr>
        <w:t xml:space="preserve">Casi tres de cada cuatro (73%) demandantes de vivienda en propiedad consideran actualmente que los precios en de la compra de vivienda son muy caros, un porcentaje que se sitúa cinco puntos porcentuales por encima del año anterior (68%). Esta tasa ha registrado un incremento muy notable en los últimos años, ya que es veinte puntos más elevada que la apuntada en 2021, cuando se fijó en un 53%, lo que indica una percepción social generalizada acerca del encarecimiento del precio de la vivienda en España. </w:t>
      </w:r>
      <w:r>
        <w:rPr>
          <w:rFonts w:ascii="Open Sans" w:eastAsia="Open Sans" w:hAnsi="Open Sans" w:cs="Open Sans"/>
          <w:b/>
        </w:rPr>
        <w:t>Estas son algunas de las principales conclusiones que se extraen del informe “</w:t>
      </w:r>
      <w:hyperlink r:id="rId9">
        <w:r>
          <w:rPr>
            <w:rFonts w:ascii="Open Sans" w:eastAsia="Open Sans" w:hAnsi="Open Sans" w:cs="Open Sans"/>
            <w:b/>
            <w:i/>
            <w:color w:val="0000FF"/>
            <w:u w:val="single"/>
          </w:rPr>
          <w:t>Experiencia en compraventa en 2024</w:t>
        </w:r>
      </w:hyperlink>
      <w:r>
        <w:rPr>
          <w:rFonts w:ascii="Open Sans" w:eastAsia="Open Sans" w:hAnsi="Open Sans" w:cs="Open Sans"/>
          <w:b/>
        </w:rPr>
        <w:t>”</w:t>
      </w:r>
      <w:r>
        <w:rPr>
          <w:rFonts w:ascii="Open Sans" w:eastAsia="Open Sans" w:hAnsi="Open Sans" w:cs="Open Sans"/>
        </w:rPr>
        <w:t xml:space="preserve"> </w:t>
      </w:r>
      <w:r>
        <w:rPr>
          <w:rFonts w:ascii="Open Sans" w:eastAsia="Open Sans" w:hAnsi="Open Sans" w:cs="Open Sans"/>
          <w:b/>
        </w:rPr>
        <w:t xml:space="preserve">elaborado por Fotocasa </w:t>
      </w:r>
      <w:proofErr w:type="spellStart"/>
      <w:r>
        <w:rPr>
          <w:rFonts w:ascii="Open Sans" w:eastAsia="Open Sans" w:hAnsi="Open Sans" w:cs="Open Sans"/>
          <w:b/>
        </w:rPr>
        <w:t>Research</w:t>
      </w:r>
      <w:proofErr w:type="spellEnd"/>
      <w:r>
        <w:rPr>
          <w:rFonts w:ascii="Open Sans" w:eastAsia="Open Sans" w:hAnsi="Open Sans" w:cs="Open Sans"/>
        </w:rPr>
        <w:t>, en el que se analiza el comportamiento del mercado de compra y venta y de los actores que lo conforman.</w:t>
      </w:r>
    </w:p>
    <w:p w14:paraId="250F033F" w14:textId="77777777" w:rsidR="007668BF" w:rsidRDefault="007668BF">
      <w:pPr>
        <w:spacing w:line="276" w:lineRule="auto"/>
        <w:jc w:val="both"/>
        <w:rPr>
          <w:rFonts w:ascii="Open Sans" w:eastAsia="Open Sans" w:hAnsi="Open Sans" w:cs="Open Sans"/>
        </w:rPr>
      </w:pPr>
    </w:p>
    <w:p w14:paraId="2BEAD0C0" w14:textId="6A572B8A" w:rsidR="00903DA0" w:rsidRDefault="00000000">
      <w:pPr>
        <w:spacing w:line="276" w:lineRule="auto"/>
        <w:jc w:val="both"/>
        <w:rPr>
          <w:rFonts w:ascii="Open Sans" w:eastAsia="Open Sans" w:hAnsi="Open Sans" w:cs="Open Sans"/>
        </w:rPr>
      </w:pPr>
      <w:r>
        <w:rPr>
          <w:rFonts w:ascii="Open Sans" w:eastAsia="Open Sans" w:hAnsi="Open Sans" w:cs="Open Sans"/>
        </w:rPr>
        <w:t xml:space="preserve">Si se observa el porcentaje de encuestados que señala que el precio de la vivienda es algo caro, la cifra se ubica en un 21%. Así pues, </w:t>
      </w:r>
      <w:r>
        <w:rPr>
          <w:rFonts w:ascii="Open Sans" w:eastAsia="Open Sans" w:hAnsi="Open Sans" w:cs="Open Sans"/>
          <w:b/>
        </w:rPr>
        <w:t>conjuntamente, el porcentaje de demandantes que considera que la vivienda es muy cara o algo cara suma un 94%</w:t>
      </w:r>
      <w:r>
        <w:rPr>
          <w:rFonts w:ascii="Open Sans" w:eastAsia="Open Sans" w:hAnsi="Open Sans" w:cs="Open Sans"/>
        </w:rPr>
        <w:t>, prácticamente la totalidad de quienes quieren comprar un inmueble. Por el contrario, solo un 4% indican que los precios actuales no son ni caros ni baratos, y únicamente un 1% percibe como barato el coste actual de adquirir un inmueble. Menos de un 1% apuntan que son muy baratos.</w:t>
      </w:r>
    </w:p>
    <w:p w14:paraId="401E0192" w14:textId="77777777" w:rsidR="007668BF" w:rsidRDefault="00000000">
      <w:pPr>
        <w:spacing w:line="276" w:lineRule="auto"/>
        <w:jc w:val="both"/>
        <w:rPr>
          <w:rFonts w:ascii="Open Sans" w:eastAsia="Open Sans" w:hAnsi="Open Sans" w:cs="Open Sans"/>
        </w:rPr>
      </w:pPr>
      <w:r>
        <w:rPr>
          <w:rFonts w:ascii="Open Sans" w:eastAsia="Open Sans" w:hAnsi="Open Sans" w:cs="Open Sans"/>
          <w:noProof/>
        </w:rPr>
        <w:lastRenderedPageBreak/>
        <w:drawing>
          <wp:inline distT="0" distB="0" distL="0" distR="0" wp14:anchorId="6C296A50" wp14:editId="0BE07574">
            <wp:extent cx="5705475" cy="3305175"/>
            <wp:effectExtent l="0" t="0" r="0" b="0"/>
            <wp:docPr id="20668166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705475" cy="3305175"/>
                    </a:xfrm>
                    <a:prstGeom prst="rect">
                      <a:avLst/>
                    </a:prstGeom>
                    <a:ln/>
                  </pic:spPr>
                </pic:pic>
              </a:graphicData>
            </a:graphic>
          </wp:inline>
        </w:drawing>
      </w:r>
    </w:p>
    <w:p w14:paraId="5A2F16FA" w14:textId="77777777" w:rsidR="007668BF" w:rsidRDefault="007668BF">
      <w:pPr>
        <w:spacing w:line="276" w:lineRule="auto"/>
        <w:jc w:val="both"/>
        <w:rPr>
          <w:rFonts w:ascii="Open Sans" w:eastAsia="Open Sans" w:hAnsi="Open Sans" w:cs="Open Sans"/>
        </w:rPr>
      </w:pPr>
    </w:p>
    <w:p w14:paraId="643A0F56" w14:textId="77777777" w:rsidR="00903DA0" w:rsidRDefault="00903DA0">
      <w:pPr>
        <w:spacing w:line="276" w:lineRule="auto"/>
        <w:jc w:val="both"/>
        <w:rPr>
          <w:rFonts w:ascii="Open Sans" w:eastAsia="Open Sans" w:hAnsi="Open Sans" w:cs="Open Sans"/>
        </w:rPr>
      </w:pPr>
    </w:p>
    <w:p w14:paraId="5B9165F6" w14:textId="2D2E4C83" w:rsidR="007668BF" w:rsidRDefault="00000000">
      <w:pPr>
        <w:spacing w:line="276" w:lineRule="auto"/>
        <w:jc w:val="both"/>
        <w:rPr>
          <w:rFonts w:ascii="Open Sans" w:eastAsia="Open Sans" w:hAnsi="Open Sans" w:cs="Open Sans"/>
          <w:b/>
        </w:rPr>
      </w:pPr>
      <w:r>
        <w:rPr>
          <w:rFonts w:ascii="Open Sans" w:eastAsia="Open Sans" w:hAnsi="Open Sans" w:cs="Open Sans"/>
        </w:rPr>
        <w:t xml:space="preserve">“Las percepciones de los compradores de vivienda son correctas. El precio de la vivienda se encarece a un ritmo muy significativo, de doble dígito, que recuerda al calentamiento previo a la burbuja inmobiliaria. Aunque las condiciones que hacían crecer el precio entonces eran distintas, el desequilibrio actual entre la demanda creciente y la oferta insuficiente es el responsable del tensionamiento de este mercado. Además, las previsiones indican que los precios continuarán al alza en los próximos ejercicios, por lo que esta opinión de los demandantes será una tendencia ya consolidada desde 2021, que se hará una realidad para </w:t>
      </w:r>
      <w:proofErr w:type="gramStart"/>
      <w:r>
        <w:rPr>
          <w:rFonts w:ascii="Open Sans" w:eastAsia="Open Sans" w:hAnsi="Open Sans" w:cs="Open Sans"/>
        </w:rPr>
        <w:t>todos“</w:t>
      </w:r>
      <w:proofErr w:type="gramEnd"/>
      <w:r>
        <w:rPr>
          <w:rFonts w:ascii="Open Sans" w:eastAsia="Open Sans" w:hAnsi="Open Sans" w:cs="Open Sans"/>
        </w:rPr>
        <w:t xml:space="preserve">, comenta </w:t>
      </w:r>
      <w:r>
        <w:rPr>
          <w:rFonts w:ascii="Open Sans" w:eastAsia="Open Sans" w:hAnsi="Open Sans" w:cs="Open Sans"/>
          <w:b/>
        </w:rPr>
        <w:t xml:space="preserve">María Matos, directora de Estudios y portavoz de </w:t>
      </w:r>
      <w:hyperlink r:id="rId11">
        <w:r>
          <w:rPr>
            <w:rFonts w:ascii="Open Sans" w:eastAsia="Open Sans" w:hAnsi="Open Sans" w:cs="Open Sans"/>
            <w:b/>
            <w:color w:val="1155CC"/>
            <w:u w:val="single"/>
          </w:rPr>
          <w:t>Fotocasa</w:t>
        </w:r>
      </w:hyperlink>
      <w:r>
        <w:rPr>
          <w:rFonts w:ascii="Open Sans" w:eastAsia="Open Sans" w:hAnsi="Open Sans" w:cs="Open Sans"/>
          <w:b/>
        </w:rPr>
        <w:t>.</w:t>
      </w:r>
    </w:p>
    <w:p w14:paraId="740172D8" w14:textId="77777777" w:rsidR="007668BF" w:rsidRDefault="007668BF">
      <w:pPr>
        <w:spacing w:line="276" w:lineRule="auto"/>
        <w:jc w:val="both"/>
        <w:rPr>
          <w:rFonts w:ascii="Open Sans" w:eastAsia="Open Sans" w:hAnsi="Open Sans" w:cs="Open Sans"/>
        </w:rPr>
      </w:pPr>
    </w:p>
    <w:p w14:paraId="769FB88F" w14:textId="77777777" w:rsidR="007668BF" w:rsidRDefault="00000000">
      <w:pPr>
        <w:spacing w:line="276" w:lineRule="auto"/>
        <w:jc w:val="both"/>
        <w:rPr>
          <w:rFonts w:ascii="Open Sans" w:eastAsia="Open Sans" w:hAnsi="Open Sans" w:cs="Open Sans"/>
        </w:rPr>
      </w:pPr>
      <w:r>
        <w:rPr>
          <w:rFonts w:ascii="Open Sans" w:eastAsia="Open Sans" w:hAnsi="Open Sans" w:cs="Open Sans"/>
        </w:rPr>
        <w:t xml:space="preserve">Si se atiende a cuál es la tendencia de precio que los demandantes prevén que se dará en el mercado de compraventa de vivienda, </w:t>
      </w:r>
      <w:r>
        <w:rPr>
          <w:rFonts w:ascii="Open Sans" w:eastAsia="Open Sans" w:hAnsi="Open Sans" w:cs="Open Sans"/>
          <w:b/>
        </w:rPr>
        <w:t>un 68% admite que espera cuantías más elevadas para adquirir un inmueble en el futuro.</w:t>
      </w:r>
      <w:r>
        <w:rPr>
          <w:rFonts w:ascii="Open Sans" w:eastAsia="Open Sans" w:hAnsi="Open Sans" w:cs="Open Sans"/>
        </w:rPr>
        <w:t xml:space="preserve"> Este porcentaje se encuentra cuatro puntos porcentuales por encima del año anterior.</w:t>
      </w:r>
    </w:p>
    <w:p w14:paraId="68783BF6" w14:textId="77777777" w:rsidR="007668BF" w:rsidRDefault="007668BF">
      <w:pPr>
        <w:spacing w:line="276" w:lineRule="auto"/>
        <w:jc w:val="both"/>
        <w:rPr>
          <w:rFonts w:ascii="Open Sans" w:eastAsia="Open Sans" w:hAnsi="Open Sans" w:cs="Open Sans"/>
        </w:rPr>
      </w:pPr>
    </w:p>
    <w:p w14:paraId="67A12980" w14:textId="77777777" w:rsidR="007668BF" w:rsidRDefault="00000000">
      <w:pPr>
        <w:spacing w:line="276" w:lineRule="auto"/>
        <w:jc w:val="both"/>
        <w:rPr>
          <w:rFonts w:ascii="Open Sans" w:eastAsia="Open Sans" w:hAnsi="Open Sans" w:cs="Open Sans"/>
        </w:rPr>
      </w:pPr>
      <w:r>
        <w:rPr>
          <w:rFonts w:ascii="Open Sans" w:eastAsia="Open Sans" w:hAnsi="Open Sans" w:cs="Open Sans"/>
          <w:noProof/>
        </w:rPr>
        <w:lastRenderedPageBreak/>
        <w:drawing>
          <wp:inline distT="0" distB="0" distL="0" distR="0" wp14:anchorId="3D069651" wp14:editId="40C17D96">
            <wp:extent cx="5734050" cy="3800475"/>
            <wp:effectExtent l="0" t="0" r="0" b="0"/>
            <wp:docPr id="2066816617" name="image2.jp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Gráfico, Gráfico de barras&#10;&#10;Descripción generada automáticamente"/>
                    <pic:cNvPicPr preferRelativeResize="0"/>
                  </pic:nvPicPr>
                  <pic:blipFill>
                    <a:blip r:embed="rId12"/>
                    <a:srcRect/>
                    <a:stretch>
                      <a:fillRect/>
                    </a:stretch>
                  </pic:blipFill>
                  <pic:spPr>
                    <a:xfrm>
                      <a:off x="0" y="0"/>
                      <a:ext cx="5734050" cy="3800475"/>
                    </a:xfrm>
                    <a:prstGeom prst="rect">
                      <a:avLst/>
                    </a:prstGeom>
                    <a:ln/>
                  </pic:spPr>
                </pic:pic>
              </a:graphicData>
            </a:graphic>
          </wp:inline>
        </w:drawing>
      </w:r>
    </w:p>
    <w:p w14:paraId="2CC20B3D" w14:textId="77777777" w:rsidR="007668BF" w:rsidRDefault="007668BF">
      <w:pPr>
        <w:spacing w:line="276" w:lineRule="auto"/>
        <w:jc w:val="both"/>
        <w:rPr>
          <w:rFonts w:ascii="Open Sans" w:eastAsia="Open Sans" w:hAnsi="Open Sans" w:cs="Open Sans"/>
        </w:rPr>
      </w:pPr>
    </w:p>
    <w:p w14:paraId="2B35E0AE" w14:textId="77777777" w:rsidR="007668BF" w:rsidRDefault="00000000">
      <w:pPr>
        <w:spacing w:line="276" w:lineRule="auto"/>
        <w:jc w:val="both"/>
        <w:rPr>
          <w:rFonts w:ascii="Open Sans" w:eastAsia="Open Sans" w:hAnsi="Open Sans" w:cs="Open Sans"/>
        </w:rPr>
      </w:pPr>
      <w:r>
        <w:rPr>
          <w:rFonts w:ascii="Open Sans" w:eastAsia="Open Sans" w:hAnsi="Open Sans" w:cs="Open Sans"/>
        </w:rPr>
        <w:t xml:space="preserve">Por otro lado, </w:t>
      </w:r>
      <w:r>
        <w:rPr>
          <w:rFonts w:ascii="Open Sans" w:eastAsia="Open Sans" w:hAnsi="Open Sans" w:cs="Open Sans"/>
          <w:b/>
        </w:rPr>
        <w:t>un 26% opina que los precios se mantendrán estables, dos puntos menos que en 2023</w:t>
      </w:r>
      <w:r>
        <w:rPr>
          <w:rFonts w:ascii="Open Sans" w:eastAsia="Open Sans" w:hAnsi="Open Sans" w:cs="Open Sans"/>
        </w:rPr>
        <w:t>. Por último, únicamente un 6% estima que el coste de la vivienda se abaratará, cuatro puntos menos en el año anterior. Por consiguiente, existe una tendencia general hacia una percepción de un mayor encarecimiento de los precios en el mercado de la vivienda.</w:t>
      </w:r>
    </w:p>
    <w:p w14:paraId="4CF92B8E" w14:textId="77777777" w:rsidR="007668BF" w:rsidRDefault="007668BF">
      <w:pPr>
        <w:spacing w:line="276" w:lineRule="auto"/>
        <w:jc w:val="both"/>
        <w:rPr>
          <w:rFonts w:ascii="Open Sans" w:eastAsia="Open Sans" w:hAnsi="Open Sans" w:cs="Open Sans"/>
        </w:rPr>
      </w:pPr>
    </w:p>
    <w:p w14:paraId="0E08D735" w14:textId="77777777" w:rsidR="007668BF" w:rsidRDefault="00000000">
      <w:pPr>
        <w:spacing w:line="276" w:lineRule="auto"/>
        <w:jc w:val="both"/>
        <w:rPr>
          <w:rFonts w:ascii="Open Sans" w:eastAsia="Open Sans" w:hAnsi="Open Sans" w:cs="Open Sans"/>
          <w:b/>
          <w:color w:val="303AB2"/>
          <w:sz w:val="28"/>
          <w:szCs w:val="28"/>
        </w:rPr>
      </w:pPr>
      <w:r>
        <w:rPr>
          <w:rFonts w:ascii="Open Sans" w:eastAsia="Open Sans" w:hAnsi="Open Sans" w:cs="Open Sans"/>
          <w:b/>
          <w:color w:val="303AB2"/>
          <w:sz w:val="28"/>
          <w:szCs w:val="28"/>
        </w:rPr>
        <w:t>Un 89% de los vendedores también admiten que actualmente la vivienda es cara en España</w:t>
      </w:r>
    </w:p>
    <w:p w14:paraId="0434BFF5" w14:textId="77777777" w:rsidR="007668BF" w:rsidRDefault="007668BF">
      <w:pPr>
        <w:spacing w:line="276" w:lineRule="auto"/>
        <w:jc w:val="both"/>
        <w:rPr>
          <w:rFonts w:ascii="Open Sans" w:eastAsia="Open Sans" w:hAnsi="Open Sans" w:cs="Open Sans"/>
        </w:rPr>
      </w:pPr>
    </w:p>
    <w:p w14:paraId="76B4DA37" w14:textId="77777777" w:rsidR="007668BF" w:rsidRDefault="00000000">
      <w:pPr>
        <w:spacing w:line="276" w:lineRule="auto"/>
        <w:jc w:val="both"/>
        <w:rPr>
          <w:rFonts w:ascii="Open Sans" w:eastAsia="Open Sans" w:hAnsi="Open Sans" w:cs="Open Sans"/>
        </w:rPr>
      </w:pPr>
      <w:r>
        <w:rPr>
          <w:rFonts w:ascii="Open Sans" w:eastAsia="Open Sans" w:hAnsi="Open Sans" w:cs="Open Sans"/>
        </w:rPr>
        <w:t xml:space="preserve">Si se atiende a los vendedores de viviendas, la percepción de tener un mercado inmobiliario con precios elevados también es generalizada. Así, </w:t>
      </w:r>
      <w:r>
        <w:rPr>
          <w:rFonts w:ascii="Open Sans" w:eastAsia="Open Sans" w:hAnsi="Open Sans" w:cs="Open Sans"/>
          <w:b/>
        </w:rPr>
        <w:t>un 60% de los ofertantes también opinan que la vivienda propiedad es muy cara en España (nueve puntos más que en el año anterior y veinticuatro puntos más que en 2021)</w:t>
      </w:r>
      <w:r>
        <w:rPr>
          <w:rFonts w:ascii="Open Sans" w:eastAsia="Open Sans" w:hAnsi="Open Sans" w:cs="Open Sans"/>
        </w:rPr>
        <w:t>. A este porcentaje, se añade un 29% de vendedores que indican que comprar un inmueble es algo caro, lo que conjuntamente arroja una tasa del 89% de ofertantes que estima que los precios son generalmente altos. Por otro lado, un 8% se mantiene neutro en este aspecto, y un 2% señala que los precios son baratos. Solo un 1% asevera que comprar una vivienda es muy barato.</w:t>
      </w:r>
    </w:p>
    <w:p w14:paraId="13246360" w14:textId="77777777" w:rsidR="007668BF" w:rsidRDefault="007668BF">
      <w:pPr>
        <w:spacing w:line="276" w:lineRule="auto"/>
        <w:jc w:val="both"/>
        <w:rPr>
          <w:rFonts w:ascii="Open Sans" w:eastAsia="Open Sans" w:hAnsi="Open Sans" w:cs="Open Sans"/>
        </w:rPr>
      </w:pPr>
    </w:p>
    <w:p w14:paraId="760502DC" w14:textId="77777777" w:rsidR="007668BF" w:rsidRDefault="00000000">
      <w:pPr>
        <w:spacing w:line="276" w:lineRule="auto"/>
        <w:jc w:val="both"/>
        <w:rPr>
          <w:rFonts w:ascii="Open Sans" w:eastAsia="Open Sans" w:hAnsi="Open Sans" w:cs="Open Sans"/>
        </w:rPr>
      </w:pPr>
      <w:r>
        <w:rPr>
          <w:rFonts w:ascii="Open Sans" w:eastAsia="Open Sans" w:hAnsi="Open Sans" w:cs="Open Sans"/>
          <w:noProof/>
        </w:rPr>
        <w:lastRenderedPageBreak/>
        <w:drawing>
          <wp:inline distT="0" distB="0" distL="0" distR="0" wp14:anchorId="59FBCD5D" wp14:editId="1DD17527">
            <wp:extent cx="5722620" cy="3291840"/>
            <wp:effectExtent l="0" t="0" r="0" b="3810"/>
            <wp:docPr id="20668166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5722620" cy="3291840"/>
                    </a:xfrm>
                    <a:prstGeom prst="rect">
                      <a:avLst/>
                    </a:prstGeom>
                    <a:ln/>
                  </pic:spPr>
                </pic:pic>
              </a:graphicData>
            </a:graphic>
          </wp:inline>
        </w:drawing>
      </w:r>
    </w:p>
    <w:p w14:paraId="394B9979" w14:textId="77777777" w:rsidR="007668BF" w:rsidRDefault="007668BF">
      <w:pPr>
        <w:spacing w:line="276" w:lineRule="auto"/>
        <w:jc w:val="both"/>
        <w:rPr>
          <w:rFonts w:ascii="Open Sans" w:eastAsia="Open Sans" w:hAnsi="Open Sans" w:cs="Open Sans"/>
        </w:rPr>
      </w:pPr>
    </w:p>
    <w:p w14:paraId="07AA774D" w14:textId="77777777" w:rsidR="007668BF" w:rsidRDefault="00000000">
      <w:pPr>
        <w:spacing w:line="276" w:lineRule="auto"/>
        <w:jc w:val="both"/>
        <w:rPr>
          <w:rFonts w:ascii="Open Sans" w:eastAsia="Open Sans" w:hAnsi="Open Sans" w:cs="Open Sans"/>
        </w:rPr>
      </w:pPr>
      <w:r>
        <w:rPr>
          <w:rFonts w:ascii="Open Sans" w:eastAsia="Open Sans" w:hAnsi="Open Sans" w:cs="Open Sans"/>
        </w:rPr>
        <w:t xml:space="preserve">En cuanto a las previsiones, los vendedores también opinan de forma mayoritaria que los precios seguirán encareciéndose en España en el futuro. </w:t>
      </w:r>
      <w:r>
        <w:rPr>
          <w:rFonts w:ascii="Open Sans" w:eastAsia="Open Sans" w:hAnsi="Open Sans" w:cs="Open Sans"/>
          <w:b/>
        </w:rPr>
        <w:t>Un 66% de los ofertantes de vivienda en propiedad estiman que los precios serán cada vez más elevados</w:t>
      </w:r>
      <w:r>
        <w:rPr>
          <w:rFonts w:ascii="Open Sans" w:eastAsia="Open Sans" w:hAnsi="Open Sans" w:cs="Open Sans"/>
        </w:rPr>
        <w:t>, cinco puntos porcentuales más que en el año anterior. Por el contrario, el porcentaje de quienes consideran que el mercado se mantendrá estable se ha reducido dos puntos en doce meses, hasta alcanzar un 30% del total. Asimismo, únicamente un 4% de los vendedores estiman que los precios bajarán, tres puntos menos que en 2023.</w:t>
      </w:r>
    </w:p>
    <w:p w14:paraId="31AF72D5" w14:textId="77777777" w:rsidR="007668BF" w:rsidRDefault="007668BF">
      <w:pPr>
        <w:spacing w:line="276" w:lineRule="auto"/>
        <w:jc w:val="both"/>
        <w:rPr>
          <w:rFonts w:ascii="Open Sans" w:eastAsia="Open Sans" w:hAnsi="Open Sans" w:cs="Open Sans"/>
        </w:rPr>
      </w:pPr>
    </w:p>
    <w:p w14:paraId="32D52625" w14:textId="77777777" w:rsidR="007668BF" w:rsidRDefault="00000000">
      <w:pP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718B7A36" wp14:editId="1D8C5C5D">
            <wp:extent cx="5554980" cy="3101340"/>
            <wp:effectExtent l="0" t="0" r="7620" b="3810"/>
            <wp:docPr id="2066816619" name="image5.jp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Gráfico, Gráfico de barras&#10;&#10;Descripción generada automáticamente"/>
                    <pic:cNvPicPr preferRelativeResize="0"/>
                  </pic:nvPicPr>
                  <pic:blipFill>
                    <a:blip r:embed="rId14"/>
                    <a:srcRect/>
                    <a:stretch>
                      <a:fillRect/>
                    </a:stretch>
                  </pic:blipFill>
                  <pic:spPr>
                    <a:xfrm>
                      <a:off x="0" y="0"/>
                      <a:ext cx="5554980" cy="3101340"/>
                    </a:xfrm>
                    <a:prstGeom prst="rect">
                      <a:avLst/>
                    </a:prstGeom>
                    <a:ln/>
                  </pic:spPr>
                </pic:pic>
              </a:graphicData>
            </a:graphic>
          </wp:inline>
        </w:drawing>
      </w:r>
    </w:p>
    <w:p w14:paraId="48CA79D2" w14:textId="77777777" w:rsidR="007668BF" w:rsidRDefault="00000000">
      <w:pPr>
        <w:spacing w:line="276" w:lineRule="auto"/>
        <w:jc w:val="both"/>
        <w:rPr>
          <w:rFonts w:ascii="Open Sans" w:eastAsia="Open Sans" w:hAnsi="Open Sans" w:cs="Open Sans"/>
        </w:rPr>
      </w:pPr>
      <w:r>
        <w:rPr>
          <w:rFonts w:ascii="Open Sans" w:eastAsia="Open Sans" w:hAnsi="Open Sans" w:cs="Open Sans"/>
          <w:b/>
          <w:color w:val="303AB2"/>
          <w:sz w:val="28"/>
          <w:szCs w:val="28"/>
        </w:rPr>
        <w:lastRenderedPageBreak/>
        <w:t>La inflación, el interés de los inversores, el aumento de demanda y la escasez de oferta, entre las caudas del encarecimiento</w:t>
      </w:r>
    </w:p>
    <w:p w14:paraId="1AB04269" w14:textId="77777777" w:rsidR="007668BF" w:rsidRDefault="007668BF">
      <w:pPr>
        <w:spacing w:line="276" w:lineRule="auto"/>
        <w:jc w:val="both"/>
        <w:rPr>
          <w:rFonts w:ascii="Open Sans" w:eastAsia="Open Sans" w:hAnsi="Open Sans" w:cs="Open Sans"/>
        </w:rPr>
      </w:pPr>
    </w:p>
    <w:p w14:paraId="76F076CE" w14:textId="77777777" w:rsidR="007668BF" w:rsidRDefault="00000000">
      <w:pPr>
        <w:spacing w:line="276" w:lineRule="auto"/>
        <w:jc w:val="both"/>
        <w:rPr>
          <w:rFonts w:ascii="Open Sans" w:eastAsia="Open Sans" w:hAnsi="Open Sans" w:cs="Open Sans"/>
        </w:rPr>
      </w:pPr>
      <w:r>
        <w:rPr>
          <w:rFonts w:ascii="Open Sans" w:eastAsia="Open Sans" w:hAnsi="Open Sans" w:cs="Open Sans"/>
        </w:rPr>
        <w:t xml:space="preserve">En cuanto a los motivos de esta evolución del mercado, la mayoría de los compradores y vendedores apuntan a la inflación y a los tipos de interés (cabe recordar que la encuesta se realizó en febrero de 2024, antes de que se iniciara la relajación de tipos de interés por parte del BCE). Así, entre quienes señalan que los precios ascenderán en el futuro, un 76% de los demandantes y un 73% de los ofertantes lo relacionan con este factor inflacionario y con el precio del dinero. En segundo lugar, </w:t>
      </w:r>
      <w:r>
        <w:rPr>
          <w:rFonts w:ascii="Open Sans" w:eastAsia="Open Sans" w:hAnsi="Open Sans" w:cs="Open Sans"/>
          <w:b/>
        </w:rPr>
        <w:t>un 72% de los compradores y un 73% de los vendedores indican que el motivo del encarecimiento de la vivienda responde al interés de los inversores en este mercado</w:t>
      </w:r>
      <w:r>
        <w:rPr>
          <w:rFonts w:ascii="Open Sans" w:eastAsia="Open Sans" w:hAnsi="Open Sans" w:cs="Open Sans"/>
        </w:rPr>
        <w:t>.</w:t>
      </w:r>
    </w:p>
    <w:p w14:paraId="020AB3AD" w14:textId="77777777" w:rsidR="007668BF" w:rsidRDefault="007668BF">
      <w:pPr>
        <w:spacing w:line="276" w:lineRule="auto"/>
        <w:jc w:val="both"/>
        <w:rPr>
          <w:rFonts w:ascii="Open Sans" w:eastAsia="Open Sans" w:hAnsi="Open Sans" w:cs="Open Sans"/>
        </w:rPr>
      </w:pPr>
    </w:p>
    <w:p w14:paraId="6F9BAA9E" w14:textId="77777777" w:rsidR="007668BF" w:rsidRDefault="00000000">
      <w:pPr>
        <w:spacing w:line="276" w:lineRule="auto"/>
        <w:jc w:val="both"/>
        <w:rPr>
          <w:rFonts w:ascii="Open Sans" w:eastAsia="Open Sans" w:hAnsi="Open Sans" w:cs="Open Sans"/>
        </w:rPr>
      </w:pPr>
      <w:r>
        <w:rPr>
          <w:rFonts w:ascii="Open Sans" w:eastAsia="Open Sans" w:hAnsi="Open Sans" w:cs="Open Sans"/>
        </w:rPr>
        <w:t xml:space="preserve">El tercer factor más apuntado para explicar este fenómeno es el aumento de la demanda, esgrimido por un 69% de demandantes y un 72% de los ofertantes. Le sigue la escasez de la oferta, indicado por un 68% de compradores y vendedores, respectivamente. También </w:t>
      </w:r>
      <w:r>
        <w:rPr>
          <w:rFonts w:ascii="Open Sans" w:eastAsia="Open Sans" w:hAnsi="Open Sans" w:cs="Open Sans"/>
          <w:b/>
        </w:rPr>
        <w:t>un 67% de demandantes y un 63% de ofertantes argumentan que el encarecimiento de los precios de la vivienda se está produciendo por el efecto en el mercado de los alquileres vacacionales</w:t>
      </w:r>
      <w:r>
        <w:rPr>
          <w:rFonts w:ascii="Open Sans" w:eastAsia="Open Sans" w:hAnsi="Open Sans" w:cs="Open Sans"/>
        </w:rPr>
        <w:t xml:space="preserve"> o de corta duración.</w:t>
      </w:r>
    </w:p>
    <w:p w14:paraId="41ED6723" w14:textId="77777777" w:rsidR="007668BF" w:rsidRDefault="007668BF">
      <w:pPr>
        <w:spacing w:line="276" w:lineRule="auto"/>
        <w:jc w:val="both"/>
        <w:rPr>
          <w:rFonts w:ascii="Open Sans" w:eastAsia="Open Sans" w:hAnsi="Open Sans" w:cs="Open Sans"/>
        </w:rPr>
      </w:pPr>
    </w:p>
    <w:p w14:paraId="60584087" w14:textId="77777777" w:rsidR="00903DA0" w:rsidRDefault="00903DA0">
      <w:pPr>
        <w:spacing w:line="276" w:lineRule="auto"/>
        <w:jc w:val="right"/>
        <w:rPr>
          <w:rFonts w:ascii="Open Sans Light" w:eastAsia="Open Sans Light" w:hAnsi="Open Sans Light" w:cs="Open Sans Light"/>
          <w:b/>
          <w:color w:val="303AB2"/>
        </w:rPr>
      </w:pPr>
    </w:p>
    <w:p w14:paraId="4B9A7E4F" w14:textId="2CC017A8" w:rsidR="007668BF"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0EC7951" w14:textId="77777777" w:rsidR="007668B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0AF6B906" w14:textId="77777777" w:rsidR="007668B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6">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3624CF2F" w14:textId="77777777" w:rsidR="007668BF"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3D2CFF4D" w14:textId="77777777" w:rsidR="007668BF"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024AF834" w14:textId="77777777" w:rsidR="007668BF"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7">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xml:space="preserve">), empleo </w:t>
      </w:r>
      <w:r>
        <w:rPr>
          <w:rFonts w:ascii="Open Sans" w:eastAsia="Open Sans" w:hAnsi="Open Sans" w:cs="Open Sans"/>
          <w:sz w:val="22"/>
          <w:szCs w:val="22"/>
        </w:rPr>
        <w:lastRenderedPageBreak/>
        <w:t>(</w:t>
      </w:r>
      <w:hyperlink r:id="rId19">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1120A475" w14:textId="77777777" w:rsidR="007668BF"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2C51CD83" w14:textId="77777777" w:rsidR="007668BF"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5945DD20" w14:textId="77777777" w:rsidR="007668BF" w:rsidRDefault="00000000">
      <w:pPr>
        <w:spacing w:before="143" w:after="200"/>
        <w:jc w:val="both"/>
      </w:pPr>
      <w:r>
        <w:rPr>
          <w:rFonts w:ascii="Open Sans" w:eastAsia="Open Sans" w:hAnsi="Open Sans" w:cs="Open Sans"/>
          <w:sz w:val="22"/>
          <w:szCs w:val="22"/>
        </w:rPr>
        <w:t xml:space="preserve">Más información en </w:t>
      </w:r>
      <w:hyperlink r:id="rId22">
        <w:r>
          <w:rPr>
            <w:rFonts w:ascii="Open Sans" w:eastAsia="Open Sans" w:hAnsi="Open Sans" w:cs="Open Sans"/>
            <w:color w:val="1155CC"/>
            <w:sz w:val="22"/>
            <w:szCs w:val="22"/>
            <w:u w:val="single"/>
          </w:rPr>
          <w:t>adevinta.es</w:t>
        </w:r>
      </w:hyperlink>
    </w:p>
    <w:p w14:paraId="6840F9DA" w14:textId="77777777" w:rsidR="007668BF" w:rsidRDefault="007668BF">
      <w:pPr>
        <w:spacing w:before="143" w:after="200"/>
        <w:jc w:val="both"/>
        <w:rPr>
          <w:rFonts w:ascii="Open Sans" w:eastAsia="Open Sans" w:hAnsi="Open Sans" w:cs="Open Sans"/>
        </w:rPr>
      </w:pPr>
    </w:p>
    <w:p w14:paraId="1FBE093F" w14:textId="77777777" w:rsidR="007668BF"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587582B0" w14:textId="77777777" w:rsidR="007668BF"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F237ABF" w14:textId="77777777" w:rsidR="007668BF" w:rsidRDefault="00000000">
      <w:pPr>
        <w:shd w:val="clear" w:color="auto" w:fill="FFFFFF"/>
        <w:spacing w:line="276" w:lineRule="auto"/>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7F28BEEF" w14:textId="77777777" w:rsidR="007668BF"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5931D6F3" w14:textId="77777777" w:rsidR="007668BF" w:rsidRDefault="007668BF">
      <w:pPr>
        <w:spacing w:line="276" w:lineRule="auto"/>
        <w:jc w:val="right"/>
        <w:rPr>
          <w:rFonts w:ascii="Open Sans" w:eastAsia="Open Sans" w:hAnsi="Open Sans" w:cs="Open Sans"/>
          <w:color w:val="000000"/>
          <w:sz w:val="22"/>
          <w:szCs w:val="22"/>
        </w:rPr>
      </w:pPr>
    </w:p>
    <w:sectPr w:rsidR="007668BF">
      <w:footerReference w:type="default" r:id="rId24"/>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A9970" w14:textId="77777777" w:rsidR="00F04CE0" w:rsidRDefault="00F04CE0">
      <w:r>
        <w:separator/>
      </w:r>
    </w:p>
  </w:endnote>
  <w:endnote w:type="continuationSeparator" w:id="0">
    <w:p w14:paraId="54FED0C4" w14:textId="77777777" w:rsidR="00F04CE0" w:rsidRDefault="00F04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BCE6B18-5893-42C3-8972-E4EB8701180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1A273BB-545E-48E1-9D16-24118AFA35F5}"/>
    <w:embedBold r:id="rId3" w:fontKey="{E27ABC9F-A206-42D7-865B-38C501FA239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83458B1-0F91-41DC-8B5D-C10C9F0C38B7}"/>
    <w:embedItalic r:id="rId5" w:fontKey="{6062005A-1EAF-4934-9322-C0D9393CF40E}"/>
  </w:font>
  <w:font w:name="Cambria">
    <w:panose1 w:val="02040503050406030204"/>
    <w:charset w:val="00"/>
    <w:family w:val="roman"/>
    <w:pitch w:val="variable"/>
    <w:sig w:usb0="E00006FF" w:usb1="420024FF" w:usb2="02000000" w:usb3="00000000" w:csb0="0000019F" w:csb1="00000000"/>
    <w:embedRegular r:id="rId6" w:fontKey="{F58C7541-14FB-4E72-8918-1F5F8CF4B02B}"/>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Regular r:id="rId7" w:fontKey="{0B74999D-A884-47A8-A9F9-EE7C9E18D77D}"/>
    <w:embedBold r:id="rId8" w:fontKey="{01A7D66C-47E1-43A6-A99B-EBCBF8B5D060}"/>
  </w:font>
  <w:font w:name="Open Sans">
    <w:charset w:val="00"/>
    <w:family w:val="swiss"/>
    <w:pitch w:val="variable"/>
    <w:sig w:usb0="E00002EF" w:usb1="4000205B" w:usb2="00000028" w:usb3="00000000" w:csb0="0000019F" w:csb1="00000000"/>
    <w:embedRegular r:id="rId9" w:fontKey="{59C45960-5F0E-41E3-AB0B-F0DC999F0072}"/>
    <w:embedBold r:id="rId10" w:fontKey="{CE7B0A21-B04B-45DE-9CE6-4503943C7587}"/>
    <w:embedBoldItalic r:id="rId11" w:fontKey="{74B3C120-E63B-48FD-93F9-C1CAC6468C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4E2D3" w14:textId="77777777" w:rsidR="007668BF"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15848BD" wp14:editId="32EB19E8">
          <wp:simplePos x="0" y="0"/>
          <wp:positionH relativeFrom="column">
            <wp:posOffset>-1068043</wp:posOffset>
          </wp:positionH>
          <wp:positionV relativeFrom="paragraph">
            <wp:posOffset>174608</wp:posOffset>
          </wp:positionV>
          <wp:extent cx="7670550" cy="451315"/>
          <wp:effectExtent l="0" t="0" r="0" b="0"/>
          <wp:wrapNone/>
          <wp:docPr id="20668166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B59E9" w14:textId="77777777" w:rsidR="00F04CE0" w:rsidRDefault="00F04CE0">
      <w:r>
        <w:separator/>
      </w:r>
    </w:p>
  </w:footnote>
  <w:footnote w:type="continuationSeparator" w:id="0">
    <w:p w14:paraId="3A5EA852" w14:textId="77777777" w:rsidR="00F04CE0" w:rsidRDefault="00F04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106196"/>
    <w:multiLevelType w:val="multilevel"/>
    <w:tmpl w:val="26DC3A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03011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8BF"/>
    <w:rsid w:val="007668BF"/>
    <w:rsid w:val="00903DA0"/>
    <w:rsid w:val="00F04CE0"/>
    <w:rsid w:val="00F637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4FA61"/>
  <w15:docId w15:val="{EE0DE97E-3AAC-429D-B802-1472902A3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8"/>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https://www.habitaclia.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fotocasa.es/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otocasa.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mailto:comunicacion@fotocasa.es" TargetMode="External"/><Relationship Id="rId10" Type="http://schemas.openxmlformats.org/officeDocument/2006/relationships/image" Target="media/image2.jpg"/><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s36360.pcdn.co/wp-content/uploads/2025/01/Informe-Experiencia-en-compraventa-en-2024.pdf" TargetMode="External"/><Relationship Id="rId14" Type="http://schemas.openxmlformats.org/officeDocument/2006/relationships/image" Target="media/image5.jpg"/><Relationship Id="rId22" Type="http://schemas.openxmlformats.org/officeDocument/2006/relationships/hyperlink" Target="http://adevint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FTWRaw5cs6QChEsc0QvwxucmvQ==">CgMxLjAyCGguZ2pkZ3hzMgloLjJzOGV5bzE4AHIhMUlUWll1dEswTC1oZ2JpMVo4eF9fbXFGYmpmYlllM3NN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1231</Words>
  <Characters>6776</Characters>
  <Application>Microsoft Office Word</Application>
  <DocSecurity>0</DocSecurity>
  <Lines>56</Lines>
  <Paragraphs>15</Paragraphs>
  <ScaleCrop>false</ScaleCrop>
  <Company/>
  <LinksUpToDate>false</LinksUpToDate>
  <CharactersWithSpaces>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2024-02-06T13:46:00Z</dcterms:created>
  <dcterms:modified xsi:type="dcterms:W3CDTF">2025-03-05T10:24:00Z</dcterms:modified>
</cp:coreProperties>
</file>