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09010" w14:textId="77777777" w:rsidR="0036598F" w:rsidRDefault="0036598F"/>
    <w:p w14:paraId="2E939280" w14:textId="77777777" w:rsidR="0036598F"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INFORME “EL MERCADO DE LA VIVIENDA DE LUJO EN ESPAÑA EN 2024”</w:t>
      </w:r>
    </w:p>
    <w:p w14:paraId="6E68066C" w14:textId="77777777" w:rsidR="0036598F" w:rsidRDefault="00000000">
      <w:pPr>
        <w:spacing w:line="276" w:lineRule="auto"/>
        <w:ind w:right="4"/>
        <w:jc w:val="center"/>
        <w:rPr>
          <w:rFonts w:ascii="Open Sans" w:eastAsia="Open Sans" w:hAnsi="Open Sans" w:cs="Open Sans"/>
          <w:color w:val="303AB2"/>
        </w:rPr>
      </w:pPr>
      <w:r>
        <w:rPr>
          <w:rFonts w:ascii="National" w:eastAsia="National" w:hAnsi="National" w:cs="National"/>
          <w:b/>
          <w:color w:val="303AB2"/>
          <w:sz w:val="48"/>
          <w:szCs w:val="48"/>
        </w:rPr>
        <w:t>La demanda de vivienda de lujo ha crecido un 97% en los últimos cinco años en España</w:t>
      </w:r>
    </w:p>
    <w:p w14:paraId="27CB59D8" w14:textId="77777777" w:rsidR="0036598F" w:rsidRDefault="00000000">
      <w:pPr>
        <w:numPr>
          <w:ilvl w:val="0"/>
          <w:numId w:val="1"/>
        </w:numPr>
        <w:pBdr>
          <w:top w:val="nil"/>
          <w:left w:val="nil"/>
          <w:bottom w:val="nil"/>
          <w:right w:val="nil"/>
          <w:between w:val="nil"/>
        </w:pBdr>
        <w:shd w:val="clear" w:color="auto" w:fill="FFFFFF"/>
        <w:spacing w:before="280" w:line="276" w:lineRule="auto"/>
        <w:jc w:val="both"/>
        <w:rPr>
          <w:rFonts w:ascii="Open Sans" w:eastAsia="Open Sans" w:hAnsi="Open Sans" w:cs="Open Sans"/>
          <w:sz w:val="22"/>
          <w:szCs w:val="22"/>
        </w:rPr>
      </w:pPr>
      <w:r>
        <w:rPr>
          <w:rFonts w:ascii="Open Sans" w:eastAsia="Open Sans" w:hAnsi="Open Sans" w:cs="Open Sans"/>
          <w:sz w:val="22"/>
          <w:szCs w:val="22"/>
        </w:rPr>
        <w:t>El interés se focaliza en las zonas de Barcelona y Madrid, seguidas de otras localidades turísticas de las costas del este y el sur peninsulares</w:t>
      </w:r>
    </w:p>
    <w:p w14:paraId="3F4269A4" w14:textId="77777777" w:rsidR="0036598F" w:rsidRDefault="00000000">
      <w:pPr>
        <w:numPr>
          <w:ilvl w:val="0"/>
          <w:numId w:val="1"/>
        </w:numPr>
        <w:pBdr>
          <w:top w:val="nil"/>
          <w:left w:val="nil"/>
          <w:bottom w:val="nil"/>
          <w:right w:val="nil"/>
          <w:between w:val="nil"/>
        </w:pBdr>
        <w:shd w:val="clear" w:color="auto" w:fill="FFFFFF"/>
        <w:spacing w:after="280" w:line="276" w:lineRule="auto"/>
        <w:jc w:val="both"/>
        <w:rPr>
          <w:rFonts w:ascii="Open Sans" w:eastAsia="Open Sans" w:hAnsi="Open Sans" w:cs="Open Sans"/>
          <w:sz w:val="22"/>
          <w:szCs w:val="22"/>
        </w:rPr>
      </w:pPr>
      <w:r>
        <w:rPr>
          <w:rFonts w:ascii="Open Sans" w:eastAsia="Open Sans" w:hAnsi="Open Sans" w:cs="Open Sans"/>
          <w:sz w:val="22"/>
          <w:szCs w:val="22"/>
        </w:rPr>
        <w:t>El perfil del comprador es el de una persona de nacionalidad española, de mediana edad y que destinará el inmueble a segunda residencia</w:t>
      </w:r>
    </w:p>
    <w:p w14:paraId="71DB9EED" w14:textId="77777777" w:rsidR="0036598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Tarragona, 3 de marzo de 2025</w:t>
      </w:r>
    </w:p>
    <w:p w14:paraId="116CEEF3" w14:textId="77777777" w:rsidR="0036598F" w:rsidRDefault="0036598F">
      <w:pPr>
        <w:spacing w:line="276" w:lineRule="auto"/>
        <w:ind w:right="4"/>
        <w:jc w:val="both"/>
        <w:rPr>
          <w:rFonts w:ascii="Open Sans" w:eastAsia="Open Sans" w:hAnsi="Open Sans" w:cs="Open Sans"/>
          <w:sz w:val="22"/>
          <w:szCs w:val="22"/>
        </w:rPr>
      </w:pPr>
    </w:p>
    <w:p w14:paraId="1B1795B4" w14:textId="77777777"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La demanda de vivienda con precios superiores a los 800.000 euros ha experimentado un crecimiento del 97% entre enero de 2019 y su punto más álgido de los últimos meses (registrado en abril de 2024) en España.</w:t>
      </w:r>
      <w:r>
        <w:t xml:space="preserve"> </w:t>
      </w:r>
      <w:r>
        <w:rPr>
          <w:rFonts w:ascii="Open Sans" w:eastAsia="Open Sans" w:hAnsi="Open Sans" w:cs="Open Sans"/>
          <w:sz w:val="22"/>
          <w:szCs w:val="22"/>
        </w:rPr>
        <w:t xml:space="preserve">Las zonas más demandadas actualmente para adquirir una vivienda de lujo en España corresponden con las principales plazas inmobiliarias del país, así como con algunos de sus principales destinos turísticos. Así, con datos de </w:t>
      </w:r>
      <w:hyperlink r:id="rId8">
        <w:r w:rsidR="0036598F">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relativos a septiembre de 2024, </w:t>
      </w:r>
      <w:r>
        <w:rPr>
          <w:rFonts w:ascii="Open Sans" w:eastAsia="Open Sans" w:hAnsi="Open Sans" w:cs="Open Sans"/>
          <w:b/>
          <w:sz w:val="22"/>
          <w:szCs w:val="22"/>
        </w:rPr>
        <w:t>lidera el mercado de forma indiscutible la provincia de Madrid, con un 36,1% del total de usuarios en búsqueda de este tipo de inmueble residencial, seguida de la demarcación de Barcelona con el 14,6%.</w:t>
      </w:r>
      <w:r>
        <w:rPr>
          <w:rFonts w:ascii="Open Sans" w:eastAsia="Open Sans" w:hAnsi="Open Sans" w:cs="Open Sans"/>
          <w:sz w:val="22"/>
          <w:szCs w:val="22"/>
        </w:rPr>
        <w:t xml:space="preserve"> En tercer lugar, se encuentra la provincia de Málaga, con el 11,6% de interesados por viviendas de lujo. En cuarto lugar, Baleares concentra el 9,0% de demandantes de viviendas de lujo, seguida de la provincia de Alicante (3,8%) y la provincia de Valencia (3,3%). </w:t>
      </w:r>
    </w:p>
    <w:p w14:paraId="72D6E16B" w14:textId="77777777" w:rsidR="0036598F" w:rsidRDefault="0036598F">
      <w:pPr>
        <w:spacing w:line="276" w:lineRule="auto"/>
        <w:ind w:right="4"/>
        <w:jc w:val="both"/>
        <w:rPr>
          <w:rFonts w:ascii="Open Sans" w:eastAsia="Open Sans" w:hAnsi="Open Sans" w:cs="Open Sans"/>
          <w:sz w:val="22"/>
          <w:szCs w:val="22"/>
        </w:rPr>
      </w:pPr>
    </w:p>
    <w:p w14:paraId="3892CD91" w14:textId="77777777"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Por su lado, los datos barajados por INFINITUM corroboran esta tendencia. El porcentaje de demandantes interesados en adquirir un inmueble en este resort de alto standing de la Costa Dorada (Tarragona) se ha incrementado en un 85% entre 2022 y 2023. Los periodos vacacionales como la Navidad, la Semana Santa o bien los meses de verano son los momentos en los que esta demanda se incrementa de forma más considerable. Estas son algunas de las principales conclusiones que se extraen del informe “</w:t>
      </w:r>
      <w:r>
        <w:rPr>
          <w:rFonts w:ascii="Open Sans" w:eastAsia="Open Sans" w:hAnsi="Open Sans" w:cs="Open Sans"/>
          <w:b/>
          <w:sz w:val="22"/>
          <w:szCs w:val="22"/>
        </w:rPr>
        <w:t>El mercado de la vivienda de lujo en España en 2024</w:t>
      </w:r>
      <w:r>
        <w:rPr>
          <w:rFonts w:ascii="Open Sans" w:eastAsia="Open Sans" w:hAnsi="Open Sans" w:cs="Open Sans"/>
          <w:sz w:val="22"/>
          <w:szCs w:val="22"/>
        </w:rPr>
        <w:t xml:space="preserve">”, elaborado por </w:t>
      </w:r>
      <w:hyperlink r:id="rId9">
        <w:r w:rsidR="0036598F">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e </w:t>
      </w:r>
      <w:hyperlink r:id="rId10">
        <w:r w:rsidR="0036598F">
          <w:rPr>
            <w:rFonts w:ascii="Open Sans" w:eastAsia="Open Sans" w:hAnsi="Open Sans" w:cs="Open Sans"/>
            <w:color w:val="0000FF"/>
            <w:sz w:val="22"/>
            <w:szCs w:val="22"/>
            <w:u w:val="single"/>
          </w:rPr>
          <w:t>INFINITUM</w:t>
        </w:r>
      </w:hyperlink>
      <w:r>
        <w:rPr>
          <w:rFonts w:ascii="Open Sans" w:eastAsia="Open Sans" w:hAnsi="Open Sans" w:cs="Open Sans"/>
          <w:sz w:val="22"/>
          <w:szCs w:val="22"/>
        </w:rPr>
        <w:t xml:space="preserve">, </w:t>
      </w:r>
      <w:r>
        <w:rPr>
          <w:rFonts w:ascii="Open Sans" w:eastAsia="Open Sans" w:hAnsi="Open Sans" w:cs="Open Sans"/>
          <w:b/>
          <w:sz w:val="22"/>
          <w:szCs w:val="22"/>
        </w:rPr>
        <w:t>en el que se analiza el comportamiento de la oferta y de la demanda, así como las tipologías de inmuebles y los perfiles de los compradores de vivienda de lujo en el mercado nacional.</w:t>
      </w:r>
    </w:p>
    <w:p w14:paraId="72E50BB7" w14:textId="77777777" w:rsidR="0036598F" w:rsidRDefault="0036598F">
      <w:pPr>
        <w:spacing w:line="276" w:lineRule="auto"/>
        <w:ind w:right="4"/>
        <w:jc w:val="both"/>
        <w:rPr>
          <w:rFonts w:ascii="Open Sans" w:eastAsia="Open Sans" w:hAnsi="Open Sans" w:cs="Open Sans"/>
          <w:sz w:val="22"/>
          <w:szCs w:val="22"/>
        </w:rPr>
      </w:pPr>
    </w:p>
    <w:p w14:paraId="57FF55BA" w14:textId="77777777" w:rsidR="0036598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La demanda residencial de lujo mantiene el interés por las mismas demarcaciones que hace cinco años, con ligeras variaciones</w:t>
      </w:r>
    </w:p>
    <w:p w14:paraId="7988B049" w14:textId="77777777" w:rsidR="0036598F" w:rsidRDefault="0036598F">
      <w:pPr>
        <w:spacing w:line="276" w:lineRule="auto"/>
        <w:ind w:right="4"/>
        <w:jc w:val="both"/>
        <w:rPr>
          <w:rFonts w:ascii="Open Sans" w:eastAsia="Open Sans" w:hAnsi="Open Sans" w:cs="Open Sans"/>
          <w:sz w:val="22"/>
          <w:szCs w:val="22"/>
        </w:rPr>
      </w:pPr>
    </w:p>
    <w:p w14:paraId="0BDFDA0F" w14:textId="77777777"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En retrospectiva, la evolución de la demanda en el segmento de la vivienda de lujo mantiene a las grandes conurbaciones de España en el top de las preferencias de los usuarios. Así, en enero de 2019, la demarcación de Madrid (con el 37,3% de solicitantes) y Barcelona (con el 21,1%) ya lideraban este sector en el conjunto del país. Otras zonas también repetían en lo más alto, como es el caso de la provincia de Málaga (7,5% de demandantes), Baleares (5,4%) o Valencia (3,6%), según los datos de Fotocasa.</w:t>
      </w:r>
    </w:p>
    <w:p w14:paraId="25BD168A" w14:textId="77777777" w:rsidR="0036598F" w:rsidRDefault="0036598F">
      <w:pPr>
        <w:spacing w:line="276" w:lineRule="auto"/>
        <w:ind w:right="4"/>
        <w:jc w:val="both"/>
        <w:rPr>
          <w:rFonts w:ascii="Open Sans" w:eastAsia="Open Sans" w:hAnsi="Open Sans" w:cs="Open Sans"/>
          <w:sz w:val="22"/>
          <w:szCs w:val="22"/>
        </w:rPr>
      </w:pPr>
    </w:p>
    <w:p w14:paraId="62168299" w14:textId="3A310F3A"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Por el contrario, dos provincias vascas como son Bizkaia (con el 3,7% de demandantes a nivel nacional) y Gipuzkoa (con el 3,1%), aparecían entre las zonas más solicitadas a principios de 2019, mientras que en la actualidad no ocurre lo mismo. De hecho, estas dos provincias del norte de España registran en 2024 una demanda de vivienda de lujo parecida a la de hace cinco años, pero no han vivido el mismo boom que han registrado otras zonas mediterráneas como Alicante, Baleares o Málaga en el segmento de alto standing.</w:t>
      </w:r>
    </w:p>
    <w:p w14:paraId="149D18F4" w14:textId="77777777" w:rsidR="0036598F" w:rsidRDefault="00000000">
      <w:pPr>
        <w:spacing w:line="276" w:lineRule="auto"/>
        <w:ind w:left="-851" w:right="4"/>
        <w:rPr>
          <w:rFonts w:ascii="Open Sans" w:eastAsia="Open Sans" w:hAnsi="Open Sans" w:cs="Open Sans"/>
          <w:sz w:val="22"/>
          <w:szCs w:val="22"/>
        </w:rPr>
      </w:pPr>
      <w:r>
        <w:rPr>
          <w:noProof/>
        </w:rPr>
        <w:drawing>
          <wp:inline distT="0" distB="0" distL="0" distR="0" wp14:anchorId="57DA4E1F" wp14:editId="6CF3DEFD">
            <wp:extent cx="6419380" cy="3852194"/>
            <wp:effectExtent l="0" t="0" r="0" b="0"/>
            <wp:docPr id="2093790205"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11"/>
                    <a:srcRect/>
                    <a:stretch>
                      <a:fillRect/>
                    </a:stretch>
                  </pic:blipFill>
                  <pic:spPr>
                    <a:xfrm>
                      <a:off x="0" y="0"/>
                      <a:ext cx="6419380" cy="3852194"/>
                    </a:xfrm>
                    <a:prstGeom prst="rect">
                      <a:avLst/>
                    </a:prstGeom>
                    <a:ln/>
                  </pic:spPr>
                </pic:pic>
              </a:graphicData>
            </a:graphic>
          </wp:inline>
        </w:drawing>
      </w:r>
    </w:p>
    <w:p w14:paraId="69D2F54C" w14:textId="77777777" w:rsidR="0036598F" w:rsidRDefault="0036598F">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5D194856" w14:textId="77777777" w:rsidR="0036598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La mayoría de los compradores son españoles, entre 46 y 55 años, y darán un uso vacacional al inmueble de lujo</w:t>
      </w:r>
    </w:p>
    <w:p w14:paraId="2DF90261" w14:textId="77777777" w:rsidR="0036598F" w:rsidRDefault="0036598F">
      <w:pPr>
        <w:spacing w:line="276" w:lineRule="auto"/>
        <w:ind w:right="4"/>
        <w:jc w:val="both"/>
        <w:rPr>
          <w:rFonts w:ascii="Open Sans" w:eastAsia="Open Sans" w:hAnsi="Open Sans" w:cs="Open Sans"/>
          <w:sz w:val="22"/>
          <w:szCs w:val="22"/>
        </w:rPr>
      </w:pPr>
    </w:p>
    <w:p w14:paraId="44DD15BC" w14:textId="77777777"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Si atendemos al perfil de los compradores, entre los demandantes que finalmente adquieren un inmueble en INFINITUM </w:t>
      </w:r>
      <w:r>
        <w:rPr>
          <w:rFonts w:ascii="Open Sans" w:eastAsia="Open Sans" w:hAnsi="Open Sans" w:cs="Open Sans"/>
          <w:b/>
          <w:sz w:val="22"/>
          <w:szCs w:val="22"/>
        </w:rPr>
        <w:t>destacan principalmente los españoles (en un 45% de los casos), aunque también existen otras procedencias, como es el caso de los belgas (15%), holandeses (3%), suizos (3%), polacos (3%), o ucranianos (3%).</w:t>
      </w:r>
      <w:r>
        <w:rPr>
          <w:rFonts w:ascii="Open Sans" w:eastAsia="Open Sans" w:hAnsi="Open Sans" w:cs="Open Sans"/>
          <w:sz w:val="22"/>
          <w:szCs w:val="22"/>
        </w:rPr>
        <w:t xml:space="preserve"> Por debajo de este umbral, un total del 25% de los compradores en INFINITUM pertenecen a otras nacionalidades distintas a las mencionadas anteriormente.</w:t>
      </w:r>
    </w:p>
    <w:p w14:paraId="7097A69C" w14:textId="77777777" w:rsidR="0036598F" w:rsidRDefault="0036598F">
      <w:pPr>
        <w:spacing w:line="276" w:lineRule="auto"/>
        <w:ind w:right="4"/>
        <w:jc w:val="both"/>
        <w:rPr>
          <w:rFonts w:ascii="Open Sans" w:eastAsia="Open Sans" w:hAnsi="Open Sans" w:cs="Open Sans"/>
          <w:sz w:val="22"/>
          <w:szCs w:val="22"/>
        </w:rPr>
      </w:pPr>
    </w:p>
    <w:p w14:paraId="04DF9C4C" w14:textId="77777777"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Entre los demandantes con nacionalidad española, destacan los que provienen de localidades próximas al complejo residencial de lujo de INFINITUM, siendo los originarios de Salou (24%), Barcelona (13%) y Tarragona (9%) los mayoritarios. Más allá de estos, se encuentran demandantes residentes en Lleida (7%), Reus (5%), Zaragoza (5%), Madrid (2%), Vilaseca (2%) y Valencia (2%), mientras que el resto de las ciudades españolas representadas en esta muestra concentra el 31% de los demandantes restantes.</w:t>
      </w:r>
    </w:p>
    <w:p w14:paraId="117BB933" w14:textId="77777777" w:rsidR="0036598F" w:rsidRDefault="0036598F">
      <w:pPr>
        <w:spacing w:line="276" w:lineRule="auto"/>
        <w:ind w:right="4"/>
        <w:jc w:val="both"/>
        <w:rPr>
          <w:rFonts w:ascii="Open Sans" w:eastAsia="Open Sans" w:hAnsi="Open Sans" w:cs="Open Sans"/>
          <w:sz w:val="22"/>
          <w:szCs w:val="22"/>
        </w:rPr>
      </w:pPr>
    </w:p>
    <w:p w14:paraId="527C85BC" w14:textId="77777777" w:rsidR="0036598F" w:rsidRDefault="00000000">
      <w:pPr>
        <w:spacing w:line="276" w:lineRule="auto"/>
        <w:ind w:left="-284" w:right="4"/>
        <w:jc w:val="both"/>
        <w:rPr>
          <w:rFonts w:ascii="Open Sans" w:eastAsia="Open Sans" w:hAnsi="Open Sans" w:cs="Open Sans"/>
          <w:sz w:val="22"/>
          <w:szCs w:val="22"/>
        </w:rPr>
      </w:pPr>
      <w:r>
        <w:rPr>
          <w:noProof/>
        </w:rPr>
        <w:drawing>
          <wp:inline distT="0" distB="0" distL="0" distR="0" wp14:anchorId="62BE870B" wp14:editId="424FAA01">
            <wp:extent cx="5760720" cy="3909060"/>
            <wp:effectExtent l="0" t="0" r="0" b="0"/>
            <wp:docPr id="2093790208" name="image5.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pic:cNvPicPr preferRelativeResize="0"/>
                  </pic:nvPicPr>
                  <pic:blipFill>
                    <a:blip r:embed="rId12"/>
                    <a:srcRect/>
                    <a:stretch>
                      <a:fillRect/>
                    </a:stretch>
                  </pic:blipFill>
                  <pic:spPr>
                    <a:xfrm>
                      <a:off x="0" y="0"/>
                      <a:ext cx="5760720" cy="3909060"/>
                    </a:xfrm>
                    <a:prstGeom prst="rect">
                      <a:avLst/>
                    </a:prstGeom>
                    <a:ln/>
                  </pic:spPr>
                </pic:pic>
              </a:graphicData>
            </a:graphic>
          </wp:inline>
        </w:drawing>
      </w:r>
    </w:p>
    <w:p w14:paraId="0E235D95" w14:textId="77777777" w:rsidR="0036598F" w:rsidRDefault="0036598F">
      <w:pPr>
        <w:spacing w:line="276" w:lineRule="auto"/>
        <w:ind w:right="4"/>
        <w:jc w:val="both"/>
        <w:rPr>
          <w:rFonts w:ascii="Open Sans" w:eastAsia="Open Sans" w:hAnsi="Open Sans" w:cs="Open Sans"/>
          <w:sz w:val="22"/>
          <w:szCs w:val="22"/>
        </w:rPr>
      </w:pPr>
    </w:p>
    <w:p w14:paraId="7DC9E043" w14:textId="77777777" w:rsidR="0036598F" w:rsidRDefault="0036598F">
      <w:pPr>
        <w:spacing w:line="276" w:lineRule="auto"/>
        <w:ind w:right="4"/>
        <w:jc w:val="both"/>
        <w:rPr>
          <w:rFonts w:ascii="Open Sans" w:eastAsia="Open Sans" w:hAnsi="Open Sans" w:cs="Open Sans"/>
          <w:sz w:val="22"/>
          <w:szCs w:val="22"/>
        </w:rPr>
      </w:pPr>
    </w:p>
    <w:p w14:paraId="44AD60F4" w14:textId="77777777" w:rsidR="0036598F" w:rsidRDefault="0036598F">
      <w:pPr>
        <w:spacing w:line="276" w:lineRule="auto"/>
        <w:ind w:right="4"/>
        <w:jc w:val="both"/>
        <w:rPr>
          <w:rFonts w:ascii="Open Sans" w:eastAsia="Open Sans" w:hAnsi="Open Sans" w:cs="Open Sans"/>
          <w:sz w:val="22"/>
          <w:szCs w:val="22"/>
        </w:rPr>
      </w:pPr>
    </w:p>
    <w:p w14:paraId="4A6D38CC" w14:textId="77777777" w:rsidR="0036598F" w:rsidRDefault="0036598F">
      <w:pPr>
        <w:spacing w:line="276" w:lineRule="auto"/>
        <w:ind w:right="4"/>
        <w:jc w:val="both"/>
        <w:rPr>
          <w:rFonts w:ascii="Open Sans" w:eastAsia="Open Sans" w:hAnsi="Open Sans" w:cs="Open Sans"/>
          <w:sz w:val="22"/>
          <w:szCs w:val="22"/>
        </w:rPr>
      </w:pPr>
    </w:p>
    <w:p w14:paraId="5B28C0E0" w14:textId="77777777"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Según los datos analizados por INFINITUM, a nivel demográfico, la vivienda de lujo genera mayor demanda de forma generalizada entre las personas de mediana edad. </w:t>
      </w:r>
      <w:r>
        <w:rPr>
          <w:rFonts w:ascii="Open Sans" w:eastAsia="Open Sans" w:hAnsi="Open Sans" w:cs="Open Sans"/>
          <w:b/>
          <w:sz w:val="22"/>
          <w:szCs w:val="22"/>
        </w:rPr>
        <w:t>Así,</w:t>
      </w:r>
      <w:r>
        <w:rPr>
          <w:rFonts w:ascii="Open Sans" w:eastAsia="Open Sans" w:hAnsi="Open Sans" w:cs="Open Sans"/>
          <w:sz w:val="22"/>
          <w:szCs w:val="22"/>
        </w:rPr>
        <w:t xml:space="preserve"> </w:t>
      </w:r>
      <w:r>
        <w:rPr>
          <w:rFonts w:ascii="Open Sans" w:eastAsia="Open Sans" w:hAnsi="Open Sans" w:cs="Open Sans"/>
          <w:b/>
          <w:sz w:val="22"/>
          <w:szCs w:val="22"/>
        </w:rPr>
        <w:t>el grupo de entre 46 y 55 años representa el 37% de la demanda de inmuebles residenciales de alto standing.</w:t>
      </w:r>
      <w:r>
        <w:rPr>
          <w:rFonts w:ascii="Open Sans" w:eastAsia="Open Sans" w:hAnsi="Open Sans" w:cs="Open Sans"/>
          <w:sz w:val="22"/>
          <w:szCs w:val="22"/>
        </w:rPr>
        <w:t xml:space="preserve"> Más de diez puntos porcentuales por debajo se encuentran las dos cohortes de población siguientes: las personas entre 56 y 65 años, que concentran el 26% de los demandantes, y el grupo entre 36 y 45 años, que representa el 24%. En las últimas posiciones, los solicitantes de este tipo de viviendas de lujo que tienen entre 23 y 35 años son el 7% del total, el mismo porcentaje que el grupo entre 66 y 81 años.</w:t>
      </w:r>
    </w:p>
    <w:p w14:paraId="1C0C87E8" w14:textId="77777777" w:rsidR="00312730" w:rsidRDefault="00312730">
      <w:pPr>
        <w:spacing w:line="276" w:lineRule="auto"/>
        <w:ind w:right="4"/>
        <w:jc w:val="both"/>
        <w:rPr>
          <w:rFonts w:ascii="Open Sans" w:eastAsia="Open Sans" w:hAnsi="Open Sans" w:cs="Open Sans"/>
          <w:sz w:val="22"/>
          <w:szCs w:val="22"/>
        </w:rPr>
      </w:pPr>
    </w:p>
    <w:p w14:paraId="23908EF5" w14:textId="27C69CD5" w:rsidR="0036598F" w:rsidRPr="00312730"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Con relación al uso que los compradores de este tipo de vivienda van a darle a su propiedad, los datos de INFINITUM revelan que un 20% del total declara que va a utilizar el inmueble como primera residencia, mientras que </w:t>
      </w:r>
      <w:r>
        <w:rPr>
          <w:rFonts w:ascii="Open Sans" w:eastAsia="Open Sans" w:hAnsi="Open Sans" w:cs="Open Sans"/>
          <w:b/>
          <w:sz w:val="22"/>
          <w:szCs w:val="22"/>
        </w:rPr>
        <w:t>un 53% afirma que lo hará como segunda residencia.</w:t>
      </w:r>
      <w:r>
        <w:rPr>
          <w:rFonts w:ascii="Open Sans" w:eastAsia="Open Sans" w:hAnsi="Open Sans" w:cs="Open Sans"/>
          <w:sz w:val="22"/>
          <w:szCs w:val="22"/>
        </w:rPr>
        <w:t xml:space="preserve"> El 27% restante ha ejecutado la compra de un activo residencial en este complejo de lujo como inversión. Adicionalmente, el 95% de los compradores de viviendas de lujo en este resort de la Costa Dorada adquiere un único inmueble, mientras que el 5% restante compra 2, 3 o más viviendas.</w:t>
      </w:r>
    </w:p>
    <w:p w14:paraId="7BC919CD" w14:textId="77777777" w:rsidR="0036598F" w:rsidRDefault="0036598F">
      <w:pPr>
        <w:spacing w:line="276" w:lineRule="auto"/>
        <w:ind w:right="4"/>
        <w:jc w:val="both"/>
        <w:rPr>
          <w:rFonts w:ascii="Open Sans" w:eastAsia="Open Sans" w:hAnsi="Open Sans" w:cs="Open Sans"/>
          <w:sz w:val="22"/>
          <w:szCs w:val="22"/>
        </w:rPr>
      </w:pPr>
    </w:p>
    <w:p w14:paraId="47BD8B7E" w14:textId="097B7126" w:rsidR="0036598F"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“El mercado inmobiliario de lujo está experimentando un boom en España. La oferta y la demanda, así como los precios de este tipo de inmuebles, están registrando un notable auge en nuestro país. Además, las preferencias de los potenciales compradores han evolucionado durante el último lustro. Ya no se trata únicamente de adquirir una vivienda de calidad, sino de invertir en un estilo de vida que abarca aspectos como la sostenibilidad, la tecnología de vanguardia y la privacidad. Por otro lado, las preferencias también muestran que, si bien las grandes áreas metropolitanas de Madrid y Barcelona mantienen sus buenas posiciones en lo referente al segmento del lujo residencial, varias zonas del levante y sur mediterráneo lideran ya la exclusiva oferta en este mercado”, señala </w:t>
      </w:r>
      <w:r>
        <w:rPr>
          <w:rFonts w:ascii="Open Sans" w:eastAsia="Open Sans" w:hAnsi="Open Sans" w:cs="Open Sans"/>
          <w:b/>
          <w:sz w:val="22"/>
          <w:szCs w:val="22"/>
        </w:rPr>
        <w:t xml:space="preserve">María Matos, directora de Estudios y Portavoz de </w:t>
      </w:r>
      <w:hyperlink r:id="rId13">
        <w:r w:rsidR="0036598F">
          <w:rPr>
            <w:rFonts w:ascii="Open Sans" w:eastAsia="Open Sans" w:hAnsi="Open Sans" w:cs="Open Sans"/>
            <w:b/>
            <w:color w:val="0000FF"/>
            <w:sz w:val="22"/>
            <w:szCs w:val="22"/>
            <w:u w:val="single"/>
          </w:rPr>
          <w:t>Fotocasa</w:t>
        </w:r>
      </w:hyperlink>
      <w:r>
        <w:rPr>
          <w:rFonts w:ascii="Open Sans" w:eastAsia="Open Sans" w:hAnsi="Open Sans" w:cs="Open Sans"/>
          <w:b/>
          <w:sz w:val="22"/>
          <w:szCs w:val="22"/>
        </w:rPr>
        <w:t>.</w:t>
      </w:r>
    </w:p>
    <w:p w14:paraId="0028D503" w14:textId="5C0D7277" w:rsidR="00777900" w:rsidRPr="005B1E8B" w:rsidRDefault="00A469DF" w:rsidP="00777900">
      <w:pPr>
        <w:pStyle w:val="NormalWeb"/>
        <w:jc w:val="both"/>
        <w:rPr>
          <w:rFonts w:ascii="Open Sans" w:eastAsia="Open Sans" w:hAnsi="Open Sans" w:cs="Open Sans"/>
          <w:bCs/>
          <w:color w:val="000000" w:themeColor="text1"/>
          <w:sz w:val="22"/>
          <w:szCs w:val="22"/>
          <w:lang w:val="es-ES_tradnl"/>
        </w:rPr>
      </w:pPr>
      <w:r>
        <w:rPr>
          <w:rFonts w:ascii="Open Sans" w:eastAsia="Open Sans" w:hAnsi="Open Sans" w:cs="Open Sans"/>
          <w:sz w:val="22"/>
          <w:szCs w:val="22"/>
          <w:lang w:val="es-ES_tradnl"/>
        </w:rPr>
        <w:t>“</w:t>
      </w:r>
      <w:r w:rsidR="00777900" w:rsidRPr="00777900">
        <w:rPr>
          <w:rFonts w:ascii="Open Sans" w:eastAsia="Open Sans" w:hAnsi="Open Sans" w:cs="Open Sans"/>
          <w:sz w:val="22"/>
          <w:szCs w:val="22"/>
          <w:lang w:val="es-ES_tradnl"/>
        </w:rPr>
        <w:t xml:space="preserve">El aumento de la demanda de viviendas de lujo refleja un cambio en las prioridades de los compradores, quienes ya no buscan simplemente una propiedad, sino una experiencia de vida exclusiva y una inversión segura y rentable. En INFINITUM, conscientes de esta evolución, hemos desarrollado un proyecto que responde a la demanda actual, ofreciendo viviendas de alto standing que combinan diseño, innovación y respeto por el medio ambiente. Nuestro proyecto representa una oportunidad única para adquirir una vivienda exclusiva y en un entorno natural privilegiado”, </w:t>
      </w:r>
      <w:r w:rsidR="00777900" w:rsidRPr="005B1E8B">
        <w:rPr>
          <w:rFonts w:ascii="Open Sans" w:eastAsia="Open Sans" w:hAnsi="Open Sans" w:cs="Open Sans"/>
          <w:bCs/>
          <w:color w:val="000000" w:themeColor="text1"/>
          <w:sz w:val="22"/>
          <w:szCs w:val="22"/>
        </w:rPr>
        <w:t xml:space="preserve">apunta </w:t>
      </w:r>
      <w:r w:rsidR="00777900" w:rsidRPr="005B1E8B">
        <w:rPr>
          <w:rFonts w:ascii="Open Sans" w:eastAsia="Open Sans" w:hAnsi="Open Sans" w:cs="Open Sans"/>
          <w:b/>
          <w:color w:val="000000" w:themeColor="text1"/>
          <w:sz w:val="22"/>
          <w:szCs w:val="22"/>
        </w:rPr>
        <w:t xml:space="preserve">Xavier Lozano Guillot, director de Desarrollo Inmobiliario de </w:t>
      </w:r>
      <w:hyperlink r:id="rId14">
        <w:r w:rsidR="00777900" w:rsidRPr="00777900">
          <w:rPr>
            <w:rFonts w:ascii="Open Sans" w:eastAsia="Open Sans" w:hAnsi="Open Sans" w:cs="Open Sans"/>
            <w:b/>
            <w:bCs/>
            <w:color w:val="0000FF"/>
            <w:sz w:val="22"/>
            <w:szCs w:val="22"/>
            <w:u w:val="single"/>
          </w:rPr>
          <w:t>INFINITUM</w:t>
        </w:r>
      </w:hyperlink>
      <w:r w:rsidR="00777900" w:rsidRPr="00777900">
        <w:rPr>
          <w:rFonts w:ascii="Open Sans" w:eastAsia="Open Sans" w:hAnsi="Open Sans" w:cs="Open Sans"/>
          <w:b/>
          <w:bCs/>
          <w:color w:val="000000" w:themeColor="text1"/>
          <w:sz w:val="22"/>
          <w:szCs w:val="22"/>
        </w:rPr>
        <w:t>.</w:t>
      </w:r>
    </w:p>
    <w:p w14:paraId="26B07B25" w14:textId="77777777" w:rsidR="0036598F" w:rsidRDefault="0036598F">
      <w:pPr>
        <w:spacing w:line="276" w:lineRule="auto"/>
        <w:ind w:right="4"/>
        <w:jc w:val="both"/>
        <w:rPr>
          <w:rFonts w:ascii="Open Sans" w:eastAsia="Open Sans" w:hAnsi="Open Sans" w:cs="Open Sans"/>
          <w:b/>
          <w:sz w:val="22"/>
          <w:szCs w:val="22"/>
        </w:rPr>
      </w:pPr>
    </w:p>
    <w:p w14:paraId="5B7108AA" w14:textId="77777777" w:rsidR="0036598F" w:rsidRDefault="0036598F">
      <w:pPr>
        <w:spacing w:line="276" w:lineRule="auto"/>
        <w:ind w:right="141"/>
        <w:jc w:val="right"/>
        <w:rPr>
          <w:rFonts w:ascii="Open Sans Light" w:eastAsia="Open Sans Light" w:hAnsi="Open Sans Light" w:cs="Open Sans Light"/>
          <w:b/>
          <w:color w:val="303AB2"/>
        </w:rPr>
      </w:pPr>
    </w:p>
    <w:p w14:paraId="1A6653E0" w14:textId="77777777" w:rsidR="0036598F"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2AC845A" w14:textId="77777777" w:rsidR="0036598F"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36598F">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F5E5195" w14:textId="77777777" w:rsidR="0036598F"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36598F">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06C6F49" w14:textId="77777777" w:rsidR="0036598F" w:rsidRDefault="00000000">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AF6192A" w14:textId="77777777" w:rsidR="0036598F" w:rsidRDefault="0036598F">
      <w:pPr>
        <w:spacing w:line="276" w:lineRule="auto"/>
        <w:ind w:right="141"/>
        <w:jc w:val="right"/>
        <w:rPr>
          <w:rFonts w:ascii="Open Sans Light" w:eastAsia="Open Sans Light" w:hAnsi="Open Sans Light" w:cs="Open Sans Light"/>
          <w:b/>
          <w:color w:val="303AB2"/>
        </w:rPr>
      </w:pPr>
    </w:p>
    <w:p w14:paraId="5E302B56" w14:textId="77777777" w:rsidR="0036598F"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78FB5C3A" w14:textId="77777777" w:rsidR="0036598F"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sidR="0036598F">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36598F">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sidR="0036598F">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36598F">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36598F">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sidR="0036598F">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E0E230A" w14:textId="77777777" w:rsidR="0036598F" w:rsidRDefault="00000000">
      <w:pPr>
        <w:spacing w:before="143" w:after="200"/>
        <w:ind w:right="141"/>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F632E24" w14:textId="77777777" w:rsidR="0036598F" w:rsidRDefault="00000000">
      <w:pPr>
        <w:spacing w:before="143" w:after="200"/>
        <w:ind w:right="141"/>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AEE106A" w14:textId="77777777" w:rsidR="0036598F"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23">
        <w:r w:rsidR="0036598F">
          <w:rPr>
            <w:rFonts w:ascii="Open Sans" w:eastAsia="Open Sans" w:hAnsi="Open Sans" w:cs="Open Sans"/>
            <w:color w:val="1155CC"/>
            <w:sz w:val="22"/>
            <w:szCs w:val="22"/>
            <w:u w:val="single"/>
          </w:rPr>
          <w:t>adevinta.es</w:t>
        </w:r>
      </w:hyperlink>
    </w:p>
    <w:p w14:paraId="43DEF9DE" w14:textId="77777777" w:rsidR="0036598F" w:rsidRDefault="00000000">
      <w:pPr>
        <w:pBdr>
          <w:top w:val="nil"/>
          <w:left w:val="nil"/>
          <w:bottom w:val="nil"/>
          <w:right w:val="nil"/>
          <w:between w:val="nil"/>
        </w:pBdr>
        <w:spacing w:after="160" w:line="276" w:lineRule="auto"/>
        <w:jc w:val="right"/>
        <w:rPr>
          <w:rFonts w:ascii="Open Sans" w:eastAsia="Open Sans" w:hAnsi="Open Sans" w:cs="Open Sans"/>
          <w:b/>
          <w:color w:val="806000"/>
          <w:sz w:val="22"/>
          <w:szCs w:val="22"/>
        </w:rPr>
      </w:pPr>
      <w:r>
        <w:rPr>
          <w:rFonts w:ascii="Open Sans" w:eastAsia="Open Sans" w:hAnsi="Open Sans" w:cs="Open Sans"/>
          <w:b/>
          <w:color w:val="806000"/>
          <w:sz w:val="22"/>
          <w:szCs w:val="22"/>
        </w:rPr>
        <w:t xml:space="preserve">Sobre INFINITUM </w:t>
      </w:r>
    </w:p>
    <w:p w14:paraId="0421BB00"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t xml:space="preserve">Infinitum Resort SAU, ubicado en la Costa Dorada (Tarragona), es un resort residencial de alto standing que forma parte de InmoCaixa, sociedad holding de inversiones no cotizada que gestiona el patrimonio inmobiliario del grupo CriteriaCaixa. </w:t>
      </w:r>
    </w:p>
    <w:p w14:paraId="1D0FA207"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t>El proyecto INFINITUM combina arquitectura e ingeniería al servicio del medio ambiente para crear viviendas sostenibles, integradas en la naturaleza y con acabados de alta calidad.</w:t>
      </w:r>
    </w:p>
    <w:p w14:paraId="376EB552" w14:textId="0A6435DD"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lastRenderedPageBreak/>
        <w:t>La primera fase del residencial consta de 150 viviendas de 2, 3 o 4 habitaciones, desde los 80 hasta los más de 150 m2 de superficie construida, emplazadas en una superficie de en torno a 250.000 m2, mientras que la segunda fase, incluye 119 viviendas concebidas bajo las tipologías de apartamentos, villas adosadas y pareadas.</w:t>
      </w:r>
    </w:p>
    <w:p w14:paraId="2D2ED6D8"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t>El residencial está integrado en un resort privado con 3 campos de golf y un Beach Club, ubicado en un entorno natural junto al mar, y con toda clase de servicios como el mantenimiento integral de las zonas comunes, vigilancia y seguridad las 24h, servicio de atención al residente, gimnasio y Kids Club entre otros beneficios exclusivos.</w:t>
      </w:r>
    </w:p>
    <w:p w14:paraId="78F4DDF4"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p>
    <w:p w14:paraId="64F3D066"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hyperlink r:id="rId24" w:history="1">
        <w:r w:rsidRPr="00312730">
          <w:rPr>
            <w:rStyle w:val="Hipervnculo"/>
            <w:rFonts w:ascii="Open Sans" w:eastAsia="Open Sans" w:hAnsi="Open Sans" w:cs="Open Sans"/>
            <w:sz w:val="22"/>
            <w:szCs w:val="22"/>
          </w:rPr>
          <w:t>https://www.infinitumliving.com/</w:t>
        </w:r>
      </w:hyperlink>
    </w:p>
    <w:p w14:paraId="1AA1D11E"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p>
    <w:p w14:paraId="4CE02D29"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r w:rsidRPr="00312730">
        <w:rPr>
          <w:rFonts w:ascii="Open Sans" w:eastAsia="Open Sans" w:hAnsi="Open Sans" w:cs="Open Sans"/>
          <w:b/>
          <w:color w:val="000000"/>
          <w:sz w:val="22"/>
          <w:szCs w:val="22"/>
        </w:rPr>
        <w:t>Departamento Comunicación Fotocasa</w:t>
      </w:r>
    </w:p>
    <w:p w14:paraId="4F315FC0"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r w:rsidRPr="00312730">
        <w:rPr>
          <w:rFonts w:ascii="Open Sans" w:eastAsia="Open Sans" w:hAnsi="Open Sans" w:cs="Open Sans"/>
          <w:b/>
          <w:color w:val="000000"/>
          <w:sz w:val="22"/>
          <w:szCs w:val="22"/>
        </w:rPr>
        <w:t>Anaïs López</w:t>
      </w:r>
    </w:p>
    <w:p w14:paraId="34332B22"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u w:val="single"/>
        </w:rPr>
      </w:pPr>
      <w:hyperlink r:id="rId25" w:history="1">
        <w:r w:rsidRPr="00312730">
          <w:rPr>
            <w:rStyle w:val="Hipervnculo"/>
            <w:rFonts w:ascii="Open Sans" w:eastAsia="Open Sans" w:hAnsi="Open Sans" w:cs="Open Sans"/>
            <w:sz w:val="22"/>
            <w:szCs w:val="22"/>
          </w:rPr>
          <w:t>comunicacion@fotocasa.es</w:t>
        </w:r>
      </w:hyperlink>
    </w:p>
    <w:p w14:paraId="2A0A7DC9"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t>620 66 29 26</w:t>
      </w:r>
    </w:p>
    <w:p w14:paraId="6F8857F7"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p>
    <w:p w14:paraId="5CA397AA"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r w:rsidRPr="00312730">
        <w:rPr>
          <w:rFonts w:ascii="Open Sans" w:eastAsia="Open Sans" w:hAnsi="Open Sans" w:cs="Open Sans"/>
          <w:b/>
          <w:color w:val="000000"/>
          <w:sz w:val="22"/>
          <w:szCs w:val="22"/>
        </w:rPr>
        <w:t>Departamento Comunicación INFINITUM</w:t>
      </w:r>
    </w:p>
    <w:p w14:paraId="2C6E369B" w14:textId="1B31B60C"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u w:val="single"/>
        </w:rPr>
      </w:pPr>
      <w:r w:rsidRPr="00312730">
        <w:rPr>
          <w:rFonts w:ascii="Open Sans" w:eastAsia="Open Sans" w:hAnsi="Open Sans" w:cs="Open Sans"/>
          <w:b/>
          <w:color w:val="000000"/>
          <w:sz w:val="22"/>
          <w:szCs w:val="22"/>
          <w:u w:val="single"/>
        </w:rPr>
        <w:t>Distrito38</w:t>
      </w:r>
    </w:p>
    <w:p w14:paraId="554B69DF" w14:textId="60E781DF"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r w:rsidRPr="00312730">
        <w:rPr>
          <w:rFonts w:ascii="Open Sans" w:eastAsia="Open Sans" w:hAnsi="Open Sans" w:cs="Open Sans"/>
          <w:b/>
          <w:color w:val="000000"/>
          <w:sz w:val="22"/>
          <w:szCs w:val="22"/>
        </w:rPr>
        <w:t xml:space="preserve">Marta Martín </w:t>
      </w:r>
    </w:p>
    <w:p w14:paraId="49297E61"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hyperlink r:id="rId26" w:history="1">
        <w:r w:rsidRPr="00312730">
          <w:rPr>
            <w:rStyle w:val="Hipervnculo"/>
            <w:rFonts w:ascii="Open Sans" w:eastAsia="Open Sans" w:hAnsi="Open Sans" w:cs="Open Sans"/>
            <w:sz w:val="22"/>
            <w:szCs w:val="22"/>
          </w:rPr>
          <w:t>mmartin@distrito38.com</w:t>
        </w:r>
      </w:hyperlink>
      <w:r w:rsidRPr="00312730">
        <w:rPr>
          <w:rFonts w:ascii="Open Sans" w:eastAsia="Open Sans" w:hAnsi="Open Sans" w:cs="Open Sans"/>
          <w:color w:val="000000"/>
          <w:sz w:val="22"/>
          <w:szCs w:val="22"/>
        </w:rPr>
        <w:t xml:space="preserve"> </w:t>
      </w:r>
    </w:p>
    <w:p w14:paraId="57E23E6E"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t>637 75 50 06</w:t>
      </w:r>
    </w:p>
    <w:p w14:paraId="58020786" w14:textId="77777777" w:rsid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p>
    <w:p w14:paraId="1D81F115" w14:textId="2C83D152"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b/>
          <w:color w:val="000000"/>
          <w:sz w:val="22"/>
          <w:szCs w:val="22"/>
        </w:rPr>
      </w:pPr>
      <w:r w:rsidRPr="00312730">
        <w:rPr>
          <w:rFonts w:ascii="Open Sans" w:eastAsia="Open Sans" w:hAnsi="Open Sans" w:cs="Open Sans"/>
          <w:b/>
          <w:color w:val="000000"/>
          <w:sz w:val="22"/>
          <w:szCs w:val="22"/>
        </w:rPr>
        <w:t xml:space="preserve">Marta Sevilla </w:t>
      </w:r>
    </w:p>
    <w:p w14:paraId="1D0A746B" w14:textId="77777777" w:rsidR="00312730"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hyperlink r:id="rId27" w:history="1">
        <w:r w:rsidRPr="00312730">
          <w:rPr>
            <w:rStyle w:val="Hipervnculo"/>
            <w:rFonts w:ascii="Open Sans" w:eastAsia="Open Sans" w:hAnsi="Open Sans" w:cs="Open Sans"/>
            <w:sz w:val="22"/>
            <w:szCs w:val="22"/>
          </w:rPr>
          <w:t>msevilla@distrito38.com</w:t>
        </w:r>
      </w:hyperlink>
      <w:r w:rsidRPr="00312730">
        <w:rPr>
          <w:rFonts w:ascii="Open Sans" w:eastAsia="Open Sans" w:hAnsi="Open Sans" w:cs="Open Sans"/>
          <w:color w:val="000000"/>
          <w:sz w:val="22"/>
          <w:szCs w:val="22"/>
        </w:rPr>
        <w:t xml:space="preserve">  </w:t>
      </w:r>
    </w:p>
    <w:p w14:paraId="33C641E2" w14:textId="79CB6164" w:rsidR="0036598F" w:rsidRPr="00312730" w:rsidRDefault="00312730" w:rsidP="00312730">
      <w:pPr>
        <w:pBdr>
          <w:top w:val="nil"/>
          <w:left w:val="nil"/>
          <w:bottom w:val="nil"/>
          <w:right w:val="nil"/>
          <w:between w:val="nil"/>
        </w:pBdr>
        <w:spacing w:after="160" w:line="259" w:lineRule="auto"/>
        <w:jc w:val="both"/>
        <w:rPr>
          <w:rFonts w:ascii="Open Sans" w:eastAsia="Open Sans" w:hAnsi="Open Sans" w:cs="Open Sans"/>
          <w:color w:val="000000"/>
          <w:sz w:val="22"/>
          <w:szCs w:val="22"/>
        </w:rPr>
      </w:pPr>
      <w:r w:rsidRPr="00312730">
        <w:rPr>
          <w:rFonts w:ascii="Open Sans" w:eastAsia="Open Sans" w:hAnsi="Open Sans" w:cs="Open Sans"/>
          <w:color w:val="000000"/>
          <w:sz w:val="22"/>
          <w:szCs w:val="22"/>
        </w:rPr>
        <w:t>651</w:t>
      </w:r>
      <w:r>
        <w:rPr>
          <w:rFonts w:ascii="Open Sans" w:eastAsia="Open Sans" w:hAnsi="Open Sans" w:cs="Open Sans"/>
          <w:color w:val="000000"/>
          <w:sz w:val="22"/>
          <w:szCs w:val="22"/>
        </w:rPr>
        <w:t xml:space="preserve"> </w:t>
      </w:r>
      <w:r w:rsidRPr="00312730">
        <w:rPr>
          <w:rFonts w:ascii="Open Sans" w:eastAsia="Open Sans" w:hAnsi="Open Sans" w:cs="Open Sans"/>
          <w:color w:val="000000"/>
          <w:sz w:val="22"/>
          <w:szCs w:val="22"/>
        </w:rPr>
        <w:t>901</w:t>
      </w:r>
      <w:r>
        <w:rPr>
          <w:rFonts w:ascii="Open Sans" w:eastAsia="Open Sans" w:hAnsi="Open Sans" w:cs="Open Sans"/>
          <w:color w:val="000000"/>
          <w:sz w:val="22"/>
          <w:szCs w:val="22"/>
        </w:rPr>
        <w:t xml:space="preserve"> </w:t>
      </w:r>
      <w:r w:rsidRPr="00312730">
        <w:rPr>
          <w:rFonts w:ascii="Open Sans" w:eastAsia="Open Sans" w:hAnsi="Open Sans" w:cs="Open Sans"/>
          <w:color w:val="000000"/>
          <w:sz w:val="22"/>
          <w:szCs w:val="22"/>
        </w:rPr>
        <w:t>784</w:t>
      </w:r>
    </w:p>
    <w:sectPr w:rsidR="0036598F" w:rsidRPr="00312730">
      <w:headerReference w:type="default" r:id="rId28"/>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31009" w14:textId="77777777" w:rsidR="001B62DB" w:rsidRDefault="001B62DB">
      <w:r>
        <w:separator/>
      </w:r>
    </w:p>
  </w:endnote>
  <w:endnote w:type="continuationSeparator" w:id="0">
    <w:p w14:paraId="24363B08" w14:textId="77777777" w:rsidR="001B62DB" w:rsidRDefault="001B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3D1B19-0B56-4B69-809F-66AB59D79E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3B0133E-96C3-4FFD-8C76-CA2F3980D159}"/>
    <w:embedBold r:id="rId3" w:fontKey="{A2A9843E-B80E-4E09-AF46-2DF793273E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DA9670C-4973-4EAF-9407-9C94D2459DA9}"/>
    <w:embedItalic r:id="rId5" w:fontKey="{C172AE06-8AEB-40E2-AE07-635574C2B2CA}"/>
  </w:font>
  <w:font w:name="Cambria">
    <w:panose1 w:val="02040503050406030204"/>
    <w:charset w:val="00"/>
    <w:family w:val="roman"/>
    <w:pitch w:val="variable"/>
    <w:sig w:usb0="E00006FF" w:usb1="420024FF" w:usb2="02000000" w:usb3="00000000" w:csb0="0000019F" w:csb1="00000000"/>
    <w:embedRegular r:id="rId6" w:fontKey="{58BB9871-FC1F-47AB-8134-65CC606A1330}"/>
  </w:font>
  <w:font w:name="Segoe UI">
    <w:panose1 w:val="020B0502040204020203"/>
    <w:charset w:val="00"/>
    <w:family w:val="swiss"/>
    <w:pitch w:val="variable"/>
    <w:sig w:usb0="E4002EFF" w:usb1="C000E47F" w:usb2="00000009" w:usb3="00000000" w:csb0="000001FF" w:csb1="00000000"/>
    <w:embedRegular r:id="rId7" w:fontKey="{EE410591-9C9F-4151-9E18-872E19330488}"/>
  </w:font>
  <w:font w:name="Arial Unicode MS">
    <w:panose1 w:val="020B0604020202020204"/>
    <w:charset w:val="80"/>
    <w:family w:val="swiss"/>
    <w:pitch w:val="variable"/>
    <w:sig w:usb0="F7FFAFFF" w:usb1="E9DFFFFF" w:usb2="0000003F" w:usb3="00000000" w:csb0="003F01F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embedRegular r:id="rId8" w:fontKey="{DD8D6E09-618B-4527-9F88-B9610BA52C0C}"/>
    <w:embedBold r:id="rId9" w:fontKey="{20F49ACD-D8AC-4BAD-BD78-E48DCD61EDC0}"/>
  </w:font>
  <w:font w:name="Open Sans Light">
    <w:charset w:val="00"/>
    <w:family w:val="swiss"/>
    <w:pitch w:val="variable"/>
    <w:sig w:usb0="E00002EF" w:usb1="4000205B" w:usb2="00000028" w:usb3="00000000" w:csb0="0000019F" w:csb1="00000000"/>
    <w:embedRegular r:id="rId10" w:fontKey="{636A10D3-6E66-48B9-A08C-3A699D8C4F7E}"/>
    <w:embedBold r:id="rId11" w:fontKey="{C72A20C3-9F2A-47C0-A294-F94F4BE0C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1F90" w14:textId="77777777" w:rsidR="0036598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1" locked="0" layoutInCell="1" hidden="0" allowOverlap="1" wp14:anchorId="614454E8" wp14:editId="157A421E">
          <wp:simplePos x="0" y="0"/>
          <wp:positionH relativeFrom="column">
            <wp:posOffset>-1068056</wp:posOffset>
          </wp:positionH>
          <wp:positionV relativeFrom="paragraph">
            <wp:posOffset>174608</wp:posOffset>
          </wp:positionV>
          <wp:extent cx="7670550" cy="451315"/>
          <wp:effectExtent l="0" t="0" r="0" b="0"/>
          <wp:wrapNone/>
          <wp:docPr id="2093790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B824F" w14:textId="77777777" w:rsidR="001B62DB" w:rsidRDefault="001B62DB">
      <w:r>
        <w:separator/>
      </w:r>
    </w:p>
  </w:footnote>
  <w:footnote w:type="continuationSeparator" w:id="0">
    <w:p w14:paraId="4C706095" w14:textId="77777777" w:rsidR="001B62DB" w:rsidRDefault="001B6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0CAA" w14:textId="77777777" w:rsidR="0036598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ABCEC32" wp14:editId="0CBDFB5B">
          <wp:simplePos x="0" y="0"/>
          <wp:positionH relativeFrom="column">
            <wp:posOffset>-570229</wp:posOffset>
          </wp:positionH>
          <wp:positionV relativeFrom="paragraph">
            <wp:posOffset>-291464</wp:posOffset>
          </wp:positionV>
          <wp:extent cx="1958340" cy="922964"/>
          <wp:effectExtent l="0" t="0" r="0" b="0"/>
          <wp:wrapSquare wrapText="bothSides" distT="0" distB="0" distL="114300" distR="114300"/>
          <wp:docPr id="20937902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58340" cy="92296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608695" wp14:editId="6517E8A1">
          <wp:simplePos x="0" y="0"/>
          <wp:positionH relativeFrom="column">
            <wp:posOffset>4246245</wp:posOffset>
          </wp:positionH>
          <wp:positionV relativeFrom="paragraph">
            <wp:posOffset>-147954</wp:posOffset>
          </wp:positionV>
          <wp:extent cx="1935480" cy="765810"/>
          <wp:effectExtent l="0" t="0" r="0" b="0"/>
          <wp:wrapSquare wrapText="bothSides" distT="0" distB="0" distL="114300" distR="114300"/>
          <wp:docPr id="20937902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935480" cy="765810"/>
                  </a:xfrm>
                  <a:prstGeom prst="rect">
                    <a:avLst/>
                  </a:prstGeom>
                  <a:ln/>
                </pic:spPr>
              </pic:pic>
            </a:graphicData>
          </a:graphic>
        </wp:anchor>
      </w:drawing>
    </w:r>
  </w:p>
  <w:p w14:paraId="3A2B9872" w14:textId="77777777" w:rsidR="0036598F" w:rsidRDefault="0036598F">
    <w:pPr>
      <w:pBdr>
        <w:top w:val="nil"/>
        <w:left w:val="nil"/>
        <w:bottom w:val="nil"/>
        <w:right w:val="nil"/>
        <w:between w:val="nil"/>
      </w:pBdr>
      <w:tabs>
        <w:tab w:val="center" w:pos="4252"/>
        <w:tab w:val="right" w:pos="8504"/>
      </w:tabs>
      <w:rPr>
        <w:color w:val="000000"/>
      </w:rPr>
    </w:pPr>
  </w:p>
  <w:p w14:paraId="35841A37" w14:textId="77777777" w:rsidR="0036598F" w:rsidRDefault="0036598F">
    <w:pPr>
      <w:pBdr>
        <w:top w:val="nil"/>
        <w:left w:val="nil"/>
        <w:bottom w:val="nil"/>
        <w:right w:val="nil"/>
        <w:between w:val="nil"/>
      </w:pBdr>
      <w:tabs>
        <w:tab w:val="center" w:pos="4252"/>
        <w:tab w:val="right" w:pos="8504"/>
      </w:tabs>
      <w:rPr>
        <w:color w:val="000000"/>
      </w:rPr>
    </w:pPr>
  </w:p>
  <w:p w14:paraId="27EE90CA" w14:textId="77777777" w:rsidR="0036598F" w:rsidRDefault="0036598F">
    <w:pPr>
      <w:pBdr>
        <w:top w:val="nil"/>
        <w:left w:val="nil"/>
        <w:bottom w:val="nil"/>
        <w:right w:val="nil"/>
        <w:between w:val="nil"/>
      </w:pBdr>
      <w:tabs>
        <w:tab w:val="center" w:pos="4252"/>
        <w:tab w:val="right" w:pos="8504"/>
      </w:tabs>
      <w:rPr>
        <w:color w:val="000000"/>
      </w:rPr>
    </w:pPr>
  </w:p>
  <w:p w14:paraId="063562F0" w14:textId="77777777" w:rsidR="0036598F" w:rsidRDefault="0036598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26D22"/>
    <w:multiLevelType w:val="multilevel"/>
    <w:tmpl w:val="0C382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5697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8F"/>
    <w:rsid w:val="001A2061"/>
    <w:rsid w:val="001B62DB"/>
    <w:rsid w:val="00312730"/>
    <w:rsid w:val="0036598F"/>
    <w:rsid w:val="004A2D79"/>
    <w:rsid w:val="006D1184"/>
    <w:rsid w:val="00777900"/>
    <w:rsid w:val="00A469DF"/>
    <w:rsid w:val="00C13B70"/>
    <w:rsid w:val="00D576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DD986"/>
  <w15:docId w15:val="{81ED20A4-E91C-4E33-A5B5-2DA9E2B7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Encabezado">
    <w:name w:val="header"/>
    <w:basedOn w:val="Normal"/>
    <w:link w:val="EncabezadoCar"/>
    <w:uiPriority w:val="99"/>
    <w:unhideWhenUsed/>
    <w:rsid w:val="00EE55EC"/>
    <w:pPr>
      <w:tabs>
        <w:tab w:val="center" w:pos="4252"/>
        <w:tab w:val="right" w:pos="8504"/>
      </w:tabs>
    </w:pPr>
  </w:style>
  <w:style w:type="character" w:customStyle="1" w:styleId="EncabezadoCar">
    <w:name w:val="Encabezado Car"/>
    <w:basedOn w:val="Fuentedeprrafopredeter"/>
    <w:link w:val="Encabezado"/>
    <w:uiPriority w:val="99"/>
    <w:rsid w:val="00EE55EC"/>
  </w:style>
  <w:style w:type="paragraph" w:styleId="Piedepgina">
    <w:name w:val="footer"/>
    <w:basedOn w:val="Normal"/>
    <w:link w:val="PiedepginaCar"/>
    <w:uiPriority w:val="99"/>
    <w:unhideWhenUsed/>
    <w:rsid w:val="00EE55EC"/>
    <w:pPr>
      <w:tabs>
        <w:tab w:val="center" w:pos="4252"/>
        <w:tab w:val="right" w:pos="8504"/>
      </w:tabs>
    </w:pPr>
  </w:style>
  <w:style w:type="character" w:customStyle="1" w:styleId="PiedepginaCar">
    <w:name w:val="Pie de página Car"/>
    <w:basedOn w:val="Fuentedeprrafopredeter"/>
    <w:link w:val="Piedepgina"/>
    <w:uiPriority w:val="99"/>
    <w:rsid w:val="00EE55EC"/>
  </w:style>
  <w:style w:type="paragraph" w:styleId="Textodeglobo">
    <w:name w:val="Balloon Text"/>
    <w:basedOn w:val="Normal"/>
    <w:link w:val="TextodegloboCar"/>
    <w:uiPriority w:val="99"/>
    <w:semiHidden/>
    <w:unhideWhenUsed/>
    <w:rsid w:val="00565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5987"/>
    <w:rPr>
      <w:rFonts w:ascii="Segoe UI" w:hAnsi="Segoe UI" w:cs="Segoe UI"/>
      <w:sz w:val="18"/>
      <w:szCs w:val="18"/>
    </w:rPr>
  </w:style>
  <w:style w:type="paragraph" w:customStyle="1" w:styleId="CuerpoA">
    <w:name w:val="Cuerpo A"/>
    <w:rsid w:val="00565987"/>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14:textOutline w14:w="12700" w14:cap="flat" w14:cmpd="sng" w14:algn="ctr">
        <w14:noFill/>
        <w14:prstDash w14:val="solid"/>
        <w14:miter w14:lim="400000"/>
      </w14:textOutline>
    </w:rPr>
  </w:style>
  <w:style w:type="character" w:customStyle="1" w:styleId="Ninguno">
    <w:name w:val="Ninguno"/>
    <w:rsid w:val="00565987"/>
  </w:style>
  <w:style w:type="character" w:customStyle="1" w:styleId="NingunoA">
    <w:name w:val="Ninguno A"/>
    <w:basedOn w:val="Fuentedeprrafopredeter"/>
    <w:rsid w:val="00565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279">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hyperlink" Target="https://www.fotocasa.es" TargetMode="External"/><Relationship Id="rId18" Type="http://schemas.openxmlformats.org/officeDocument/2006/relationships/hyperlink" Target="https://www.habitaclia.com/" TargetMode="External"/><Relationship Id="rId26" Type="http://schemas.openxmlformats.org/officeDocument/2006/relationships/hyperlink" Target="mailto:mmartin@distrito38.com"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fotocasa.es/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infinitumliving.com/"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28" Type="http://schemas.openxmlformats.org/officeDocument/2006/relationships/header" Target="header1.xml"/><Relationship Id="rId10" Type="http://schemas.openxmlformats.org/officeDocument/2006/relationships/hyperlink" Target="https://www.infinitumliving.com/" TargetMode="External"/><Relationship Id="rId19" Type="http://schemas.openxmlformats.org/officeDocument/2006/relationships/hyperlink" Target="https://www.infojobs.ne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infinitumliving.com/" TargetMode="External"/><Relationship Id="rId22" Type="http://schemas.openxmlformats.org/officeDocument/2006/relationships/hyperlink" Target="https://www.milanuncios.com/" TargetMode="External"/><Relationship Id="rId27" Type="http://schemas.openxmlformats.org/officeDocument/2006/relationships/hyperlink" Target="mailto:msevilla@distrito38.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37cPKriLsU/Irpsjt6XluvokA==">CgMxLjAyCWguMnM4ZXlvMTgAciExb3NvcjJQcVBnU1N2Mi1EU2lCdlZHc1AwRkluU0d1Qkk=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1679</Words>
  <Characters>9235</Characters>
  <Application>Microsoft Office Word</Application>
  <DocSecurity>0</DocSecurity>
  <Lines>76</Lines>
  <Paragraphs>21</Paragraphs>
  <ScaleCrop>false</ScaleCrop>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Olartecoechea Perez</dc:creator>
  <cp:lastModifiedBy>Anaïs López García</cp:lastModifiedBy>
  <cp:revision>7</cp:revision>
  <dcterms:created xsi:type="dcterms:W3CDTF">2024-11-11T14:53:00Z</dcterms:created>
  <dcterms:modified xsi:type="dcterms:W3CDTF">2025-02-27T12:18:00Z</dcterms:modified>
</cp:coreProperties>
</file>