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-1056022</wp:posOffset>
            </wp:positionH>
            <wp:positionV relativeFrom="paragraph">
              <wp:posOffset>-346290</wp:posOffset>
            </wp:positionV>
            <wp:extent cx="7711147" cy="1037167"/>
            <wp:effectExtent b="0" l="0" r="0" t="0"/>
            <wp:wrapSquare wrapText="bothSides" distB="0" distT="0" distL="0" distR="0"/>
            <wp:docPr id="3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7711147" cy="1037167"/>
                    </a:xfrm>
                    <a:prstGeom prst="rect"/>
                    <a:ln/>
                  </pic:spPr>
                </pic:pic>
              </a:graphicData>
            </a:graphic>
          </wp:anchor>
        </w:drawing>
      </w:r>
    </w:p>
    <w:p w:rsidR="00000000" w:rsidDel="00000000" w:rsidP="00000000" w:rsidRDefault="00000000" w:rsidRPr="00000000" w14:paraId="00000002">
      <w:pPr>
        <w:spacing w:line="240" w:lineRule="auto"/>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ffffff" w:val="clear"/>
        <w:spacing w:after="225" w:lineRule="auto"/>
        <w:ind w:right="-135"/>
        <w:jc w:val="center"/>
        <w:rPr>
          <w:rFonts w:ascii="Open Sans" w:cs="Open Sans" w:eastAsia="Open Sans" w:hAnsi="Open Sans"/>
          <w:b w:val="1"/>
          <w:color w:val="303ab2"/>
        </w:rPr>
      </w:pPr>
      <w:r w:rsidDel="00000000" w:rsidR="00000000" w:rsidRPr="00000000">
        <w:rPr>
          <w:rFonts w:ascii="National" w:cs="National" w:eastAsia="National" w:hAnsi="National"/>
          <w:b w:val="1"/>
          <w:color w:val="303ab2"/>
          <w:sz w:val="52"/>
          <w:szCs w:val="52"/>
          <w:rtl w:val="0"/>
        </w:rPr>
        <w:t xml:space="preserve"> </w:t>
      </w:r>
      <w:r w:rsidDel="00000000" w:rsidR="00000000" w:rsidRPr="00000000">
        <w:rPr>
          <w:rFonts w:ascii="National" w:cs="National" w:eastAsia="National" w:hAnsi="National"/>
          <w:b w:val="1"/>
          <w:color w:val="303ab2"/>
          <w:sz w:val="54"/>
          <w:szCs w:val="54"/>
          <w:rtl w:val="0"/>
        </w:rPr>
        <w:t xml:space="preserve">“La compraventa de vivienda con hipoteca vivirá una etapa dorada en 2025</w:t>
      </w:r>
      <w:r w:rsidDel="00000000" w:rsidR="00000000" w:rsidRPr="00000000">
        <w:rPr>
          <w:rFonts w:ascii="National" w:cs="National" w:eastAsia="National" w:hAnsi="National"/>
          <w:b w:val="1"/>
          <w:color w:val="303ab2"/>
          <w:sz w:val="54"/>
          <w:szCs w:val="54"/>
          <w:rtl w:val="0"/>
        </w:rPr>
        <w:t xml:space="preserv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b w:val="1"/>
          <w:color w:val="303ab2"/>
        </w:rPr>
      </w:pPr>
      <w:r w:rsidDel="00000000" w:rsidR="00000000" w:rsidRPr="00000000">
        <w:rPr>
          <w:rtl w:val="0"/>
        </w:rPr>
      </w:r>
    </w:p>
    <w:p w:rsidR="00000000" w:rsidDel="00000000" w:rsidP="00000000" w:rsidRDefault="00000000" w:rsidRPr="00000000" w14:paraId="00000005">
      <w:pPr>
        <w:shd w:fill="ffffff" w:val="clear"/>
        <w:spacing w:after="225" w:lineRule="auto"/>
        <w:jc w:val="both"/>
        <w:rPr>
          <w:rFonts w:ascii="Open Sans" w:cs="Open Sans" w:eastAsia="Open Sans" w:hAnsi="Open Sans"/>
          <w:b w:val="1"/>
          <w:color w:val="303ab2"/>
        </w:rPr>
      </w:pPr>
      <w:r w:rsidDel="00000000" w:rsidR="00000000" w:rsidRPr="00000000">
        <w:rPr>
          <w:rFonts w:ascii="Open Sans" w:cs="Open Sans" w:eastAsia="Open Sans" w:hAnsi="Open Sans"/>
          <w:b w:val="1"/>
          <w:color w:val="303ab2"/>
          <w:rtl w:val="0"/>
        </w:rPr>
        <w:t xml:space="preserve">Madrid, 24 de abril de 2025</w:t>
      </w:r>
    </w:p>
    <w:p w:rsidR="00000000" w:rsidDel="00000000" w:rsidP="00000000" w:rsidRDefault="00000000" w:rsidRPr="00000000" w14:paraId="00000006">
      <w:pP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Los datos de hipotecas correspondientes al segundo mes de 2025 dados a conocer hoy por el INE reflejan un ascenso mensual del </w:t>
      </w:r>
      <w:r w:rsidDel="00000000" w:rsidR="00000000" w:rsidRPr="00000000">
        <w:rPr>
          <w:rFonts w:ascii="Open Sans" w:cs="Open Sans" w:eastAsia="Open Sans" w:hAnsi="Open Sans"/>
          <w:b w:val="1"/>
          <w:sz w:val="21"/>
          <w:szCs w:val="21"/>
          <w:rtl w:val="0"/>
        </w:rPr>
        <w:t xml:space="preserve">2,7%</w:t>
      </w:r>
      <w:r w:rsidDel="00000000" w:rsidR="00000000" w:rsidRPr="00000000">
        <w:rPr>
          <w:rFonts w:ascii="Open Sans" w:cs="Open Sans" w:eastAsia="Open Sans" w:hAnsi="Open Sans"/>
          <w:sz w:val="21"/>
          <w:szCs w:val="21"/>
          <w:rtl w:val="0"/>
        </w:rPr>
        <w:t xml:space="preserve"> y una subida interanual del </w:t>
      </w:r>
      <w:r w:rsidDel="00000000" w:rsidR="00000000" w:rsidRPr="00000000">
        <w:rPr>
          <w:rFonts w:ascii="Open Sans" w:cs="Open Sans" w:eastAsia="Open Sans" w:hAnsi="Open Sans"/>
          <w:b w:val="1"/>
          <w:sz w:val="21"/>
          <w:szCs w:val="21"/>
          <w:rtl w:val="0"/>
        </w:rPr>
        <w:t xml:space="preserve">4,3%</w:t>
      </w:r>
      <w:r w:rsidDel="00000000" w:rsidR="00000000" w:rsidRPr="00000000">
        <w:rPr>
          <w:rFonts w:ascii="Open Sans" w:cs="Open Sans" w:eastAsia="Open Sans" w:hAnsi="Open Sans"/>
          <w:sz w:val="21"/>
          <w:szCs w:val="21"/>
          <w:rtl w:val="0"/>
        </w:rPr>
        <w:t xml:space="preserve">. “Estos valores son fruto de la política monetaria más flexible que abarata el crédito y mejora las condiciones de financiación, lo que </w:t>
      </w:r>
      <w:r w:rsidDel="00000000" w:rsidR="00000000" w:rsidRPr="00000000">
        <w:rPr>
          <w:rFonts w:ascii="Open Sans" w:cs="Open Sans" w:eastAsia="Open Sans" w:hAnsi="Open Sans"/>
          <w:b w:val="1"/>
          <w:sz w:val="21"/>
          <w:szCs w:val="21"/>
          <w:rtl w:val="0"/>
        </w:rPr>
        <w:t xml:space="preserve">está reactivando la demanda de vivienda del 21% de compradores</w:t>
      </w:r>
      <w:r w:rsidDel="00000000" w:rsidR="00000000" w:rsidRPr="00000000">
        <w:rPr>
          <w:rFonts w:ascii="Open Sans" w:cs="Open Sans" w:eastAsia="Open Sans" w:hAnsi="Open Sans"/>
          <w:sz w:val="21"/>
          <w:szCs w:val="21"/>
          <w:rtl w:val="0"/>
        </w:rPr>
        <w:t xml:space="preserve">, donde el acceso hipotecario se había enfriado por la subida de tipos previa. </w:t>
      </w:r>
      <w:r w:rsidDel="00000000" w:rsidR="00000000" w:rsidRPr="00000000">
        <w:rPr>
          <w:rFonts w:ascii="Open Sans" w:cs="Open Sans" w:eastAsia="Open Sans" w:hAnsi="Open Sans"/>
          <w:b w:val="1"/>
          <w:sz w:val="21"/>
          <w:szCs w:val="21"/>
          <w:rtl w:val="0"/>
        </w:rPr>
        <w:t xml:space="preserve">El mercado hipotecario recupera su atractivo y consolida el cambio de ciclo</w:t>
      </w:r>
      <w:r w:rsidDel="00000000" w:rsidR="00000000" w:rsidRPr="00000000">
        <w:rPr>
          <w:rFonts w:ascii="Open Sans" w:cs="Open Sans" w:eastAsia="Open Sans" w:hAnsi="Open Sans"/>
          <w:sz w:val="21"/>
          <w:szCs w:val="21"/>
          <w:rtl w:val="0"/>
        </w:rPr>
        <w:t xml:space="preserve">”, explica María Matos, directora de Estudios de </w:t>
      </w:r>
      <w:hyperlink r:id="rId8">
        <w:r w:rsidDel="00000000" w:rsidR="00000000" w:rsidRPr="00000000">
          <w:rPr>
            <w:rFonts w:ascii="Open Sans" w:cs="Open Sans" w:eastAsia="Open Sans" w:hAnsi="Open Sans"/>
            <w:color w:val="1155cc"/>
            <w:sz w:val="21"/>
            <w:szCs w:val="21"/>
            <w:u w:val="single"/>
            <w:rtl w:val="0"/>
          </w:rPr>
          <w:t xml:space="preserve">Fotocasa</w:t>
        </w:r>
      </w:hyperlink>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225"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En febrero se han firmado 39.084 hipotecas superando la media de los 35.000 créditos bancarios,</w:t>
      </w:r>
      <w:r w:rsidDel="00000000" w:rsidR="00000000" w:rsidRPr="00000000">
        <w:rPr>
          <w:rFonts w:ascii="Open Sans" w:cs="Open Sans" w:eastAsia="Open Sans" w:hAnsi="Open Sans"/>
          <w:sz w:val="21"/>
          <w:szCs w:val="21"/>
          <w:rtl w:val="0"/>
        </w:rPr>
        <w:t xml:space="preserve"> lo que supone un dato muy positivo en un contexto en el que Euríbor ya rondaba el 2,407%. Asimismo, este año 2025 comienza con gran movimiento en la adquisición de vivienda incentivado por factores como el optimismo y una notable confianza del comprador en el mercado, lo que impulsa</w:t>
      </w:r>
      <w:r w:rsidDel="00000000" w:rsidR="00000000" w:rsidRPr="00000000">
        <w:rPr>
          <w:rFonts w:ascii="Open Sans" w:cs="Open Sans" w:eastAsia="Open Sans" w:hAnsi="Open Sans"/>
          <w:b w:val="1"/>
          <w:sz w:val="21"/>
          <w:szCs w:val="21"/>
          <w:rtl w:val="0"/>
        </w:rPr>
        <w:t xml:space="preserve"> una etapa dorada para la compraventa de vivienda con hipoteca</w:t>
      </w:r>
      <w:r w:rsidDel="00000000" w:rsidR="00000000" w:rsidRPr="00000000">
        <w:rPr>
          <w:rFonts w:ascii="Open Sans" w:cs="Open Sans" w:eastAsia="Open Sans" w:hAnsi="Open Sans"/>
          <w:sz w:val="21"/>
          <w:szCs w:val="21"/>
          <w:rtl w:val="0"/>
        </w:rPr>
        <w:t xml:space="preserve">”, añade la portavoz del portal inmobiliario.</w:t>
      </w:r>
    </w:p>
    <w:p w:rsidR="00000000" w:rsidDel="00000000" w:rsidP="00000000" w:rsidRDefault="00000000" w:rsidRPr="00000000" w14:paraId="00000008">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“Las entidades financieras ya están adaptadas al nuevo ritmo del Euríbor con ofertas muy competitivas y ventajosas para quienes necesitan financiación. Si bien es cierto que las hipotecas a tipo fijo seguirán siendo las más populares, las </w:t>
      </w:r>
      <w:r w:rsidDel="00000000" w:rsidR="00000000" w:rsidRPr="00000000">
        <w:rPr>
          <w:rFonts w:ascii="Open Sans" w:cs="Open Sans" w:eastAsia="Open Sans" w:hAnsi="Open Sans"/>
          <w:b w:val="1"/>
          <w:sz w:val="21"/>
          <w:szCs w:val="21"/>
          <w:rtl w:val="0"/>
        </w:rPr>
        <w:t xml:space="preserve">hipotecas a tipo variable (desincentivadas por las caídas del Euríbor) ya muestran una mayor competitividad</w:t>
      </w:r>
      <w:r w:rsidDel="00000000" w:rsidR="00000000" w:rsidRPr="00000000">
        <w:rPr>
          <w:rFonts w:ascii="Open Sans" w:cs="Open Sans" w:eastAsia="Open Sans" w:hAnsi="Open Sans"/>
          <w:sz w:val="21"/>
          <w:szCs w:val="21"/>
          <w:rtl w:val="0"/>
        </w:rPr>
        <w:t xml:space="preserve">, especialmente si las condiciones del mercado continúan mejorando. Por lo tanto, la banca, con un mayor margen para ajustar sus ofertas hipotecarias, atraerá más solicitantes de créditos, que ya están aumentando y lo harán de manera más significativa durante el primer semestre del año”, </w:t>
      </w:r>
      <w:r w:rsidDel="00000000" w:rsidR="00000000" w:rsidRPr="00000000">
        <w:rPr>
          <w:rFonts w:ascii="Open Sans" w:cs="Open Sans" w:eastAsia="Open Sans" w:hAnsi="Open Sans"/>
          <w:b w:val="1"/>
          <w:sz w:val="21"/>
          <w:szCs w:val="21"/>
          <w:rtl w:val="0"/>
        </w:rPr>
        <w:t xml:space="preserve">asegura la portavoz de </w:t>
      </w:r>
      <w:hyperlink r:id="rId9">
        <w:r w:rsidDel="00000000" w:rsidR="00000000" w:rsidRPr="00000000">
          <w:rPr>
            <w:rFonts w:ascii="Open Sans" w:cs="Open Sans" w:eastAsia="Open Sans" w:hAnsi="Open Sans"/>
            <w:b w:val="1"/>
            <w:color w:val="1155cc"/>
            <w:sz w:val="21"/>
            <w:szCs w:val="21"/>
            <w:u w:val="single"/>
            <w:rtl w:val="0"/>
          </w:rPr>
          <w:t xml:space="preserve">Fotocasa</w:t>
        </w:r>
      </w:hyperlink>
      <w:r w:rsidDel="00000000" w:rsidR="00000000" w:rsidRPr="00000000">
        <w:rPr>
          <w:rFonts w:ascii="Open Sans" w:cs="Open Sans" w:eastAsia="Open Sans" w:hAnsi="Open Sans"/>
          <w:sz w:val="21"/>
          <w:szCs w:val="21"/>
          <w:rtl w:val="0"/>
        </w:rPr>
        <w:t xml:space="preserve">.</w:t>
      </w:r>
    </w:p>
    <w:p w:rsidR="00000000" w:rsidDel="00000000" w:rsidP="00000000" w:rsidRDefault="00000000" w:rsidRPr="00000000" w14:paraId="00000009">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“El mercado también está experimentando un cambio en el perfil del demandante, especialmente entre quienes no lograron acceder a la compra debido a los altos costes de financiación. Según </w:t>
      </w:r>
      <w:r w:rsidDel="00000000" w:rsidR="00000000" w:rsidRPr="00000000">
        <w:rPr>
          <w:rFonts w:ascii="Open Sans" w:cs="Open Sans" w:eastAsia="Open Sans" w:hAnsi="Open Sans"/>
          <w:b w:val="1"/>
          <w:sz w:val="21"/>
          <w:szCs w:val="21"/>
          <w:rtl w:val="0"/>
        </w:rPr>
        <w:t xml:space="preserve">Fotocasa Research</w:t>
      </w:r>
      <w:r w:rsidDel="00000000" w:rsidR="00000000" w:rsidRPr="00000000">
        <w:rPr>
          <w:rFonts w:ascii="Open Sans" w:cs="Open Sans" w:eastAsia="Open Sans" w:hAnsi="Open Sans"/>
          <w:sz w:val="21"/>
          <w:szCs w:val="21"/>
          <w:rtl w:val="0"/>
        </w:rPr>
        <w:t xml:space="preserve">, aunque un 19% de los compradores ha paralizado el proceso y un 21% espera todavía más bajadas de tipos. Esta situación podría </w:t>
      </w:r>
      <w:r w:rsidDel="00000000" w:rsidR="00000000" w:rsidRPr="00000000">
        <w:rPr>
          <w:rFonts w:ascii="Open Sans" w:cs="Open Sans" w:eastAsia="Open Sans" w:hAnsi="Open Sans"/>
          <w:b w:val="1"/>
          <w:sz w:val="21"/>
          <w:szCs w:val="21"/>
          <w:rtl w:val="0"/>
        </w:rPr>
        <w:t xml:space="preserve">reactivar la participación de compradores más jóvenes y con menos ahorros</w:t>
      </w:r>
      <w:r w:rsidDel="00000000" w:rsidR="00000000" w:rsidRPr="00000000">
        <w:rPr>
          <w:rFonts w:ascii="Open Sans" w:cs="Open Sans" w:eastAsia="Open Sans" w:hAnsi="Open Sans"/>
          <w:sz w:val="21"/>
          <w:szCs w:val="21"/>
          <w:rtl w:val="0"/>
        </w:rPr>
        <w:t xml:space="preserve">, quienes hasta ahora habían quedado excluidos del mercado por las elevadas tasas hipotecarias. Detectamos que los más jóvenes son quienes con mayor intensidad están reaccionando a este contexto de tipos a la baja. Uno de cada tres jóvenes compradores accede al mercado animado por las nuevas condiciones hipotecarias, lo que evidencia la importancia de estas medidas en un colectivo excluido por razones de asequibilidad y de incrementos de precios”, asegura la directora de Estudios.</w:t>
      </w:r>
    </w:p>
    <w:p w:rsidR="00000000" w:rsidDel="00000000" w:rsidP="00000000" w:rsidRDefault="00000000" w:rsidRPr="00000000" w14:paraId="0000000A">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“A la vez, se observa un incremento de </w:t>
      </w:r>
      <w:r w:rsidDel="00000000" w:rsidR="00000000" w:rsidRPr="00000000">
        <w:rPr>
          <w:rFonts w:ascii="Open Sans" w:cs="Open Sans" w:eastAsia="Open Sans" w:hAnsi="Open Sans"/>
          <w:b w:val="1"/>
          <w:sz w:val="21"/>
          <w:szCs w:val="21"/>
          <w:rtl w:val="0"/>
        </w:rPr>
        <w:t xml:space="preserve">compradores con alta solvencia económica, que necesitan menos financiación</w:t>
      </w:r>
      <w:r w:rsidDel="00000000" w:rsidR="00000000" w:rsidRPr="00000000">
        <w:rPr>
          <w:rFonts w:ascii="Open Sans" w:cs="Open Sans" w:eastAsia="Open Sans" w:hAnsi="Open Sans"/>
          <w:sz w:val="21"/>
          <w:szCs w:val="21"/>
          <w:rtl w:val="0"/>
        </w:rPr>
        <w:t xml:space="preserve"> debido a su mayor poder adquisitivo. Por ello, en los próximos meses, </w:t>
      </w:r>
      <w:r w:rsidDel="00000000" w:rsidR="00000000" w:rsidRPr="00000000">
        <w:rPr>
          <w:rFonts w:ascii="Open Sans" w:cs="Open Sans" w:eastAsia="Open Sans" w:hAnsi="Open Sans"/>
          <w:b w:val="1"/>
          <w:sz w:val="21"/>
          <w:szCs w:val="21"/>
          <w:rtl w:val="0"/>
        </w:rPr>
        <w:t xml:space="preserve">el porcentaje de compradores que opta por no solicitar hipoteca, actualmente en un 35%, seguirá siendo elevado</w:t>
      </w:r>
      <w:r w:rsidDel="00000000" w:rsidR="00000000" w:rsidRPr="00000000">
        <w:rPr>
          <w:rFonts w:ascii="Open Sans" w:cs="Open Sans" w:eastAsia="Open Sans" w:hAnsi="Open Sans"/>
          <w:sz w:val="21"/>
          <w:szCs w:val="21"/>
          <w:rtl w:val="0"/>
        </w:rPr>
        <w:t xml:space="preserve">. Este perfil, que busca en la vivienda un valor refugio frente a la incertidumbre geopolítica y económica, está ganando peso en el mercado. Este escenario refleja un posible repunte de la demanda en el corto plazo, impulsado por mejores perspectivas en el mercado hipotecario”, explica la portavoz.</w:t>
      </w:r>
    </w:p>
    <w:p w:rsidR="00000000" w:rsidDel="00000000" w:rsidP="00000000" w:rsidRDefault="00000000" w:rsidRPr="00000000" w14:paraId="0000000B">
      <w:pPr>
        <w:shd w:fill="ffffff" w:val="clear"/>
        <w:spacing w:after="280" w:before="280" w:lineRule="auto"/>
        <w:jc w:val="both"/>
        <w:rPr>
          <w:rFonts w:ascii="Open Sans" w:cs="Open Sans" w:eastAsia="Open Sans" w:hAnsi="Open Sans"/>
        </w:rPr>
      </w:pPr>
      <w:r w:rsidDel="00000000" w:rsidR="00000000" w:rsidRPr="00000000">
        <w:rPr>
          <w:rFonts w:ascii="Open Sans" w:cs="Open Sans" w:eastAsia="Open Sans" w:hAnsi="Open Sans"/>
          <w:b w:val="1"/>
          <w:color w:val="303ab2"/>
          <w:sz w:val="24"/>
          <w:szCs w:val="24"/>
          <w:rtl w:val="0"/>
        </w:rPr>
        <w:t xml:space="preserve">Previsiones de actividad durante 2025</w:t>
      </w:r>
      <w:r w:rsidDel="00000000" w:rsidR="00000000" w:rsidRPr="00000000">
        <w:rPr>
          <w:rtl w:val="0"/>
        </w:rPr>
      </w:r>
    </w:p>
    <w:p w:rsidR="00000000" w:rsidDel="00000000" w:rsidP="00000000" w:rsidRDefault="00000000" w:rsidRPr="00000000" w14:paraId="0000000C">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“La desescalada de los tipos de interés por parte del Banco Central Europeo, que acumula un recorte de 1,25 puntos porcentuales en apenas ocho meses, marca un punto de inflexión en la política monetaria de la eurozona. Esta decisión, que busca estimular la economía en un contexto de desaceleración e incertidumbre geopolítica, supone una noticia alentadora para el mercado inmobiliario porque ha rebajado las condiciones de acceso al crédito hipotecario que ofrecen las entidades bancarias”, comenta María Matos, directora de Estudios.</w:t>
      </w:r>
    </w:p>
    <w:p w:rsidR="00000000" w:rsidDel="00000000" w:rsidP="00000000" w:rsidRDefault="00000000" w:rsidRPr="00000000" w14:paraId="0000000D">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“El impacto real de esta relajación monetaria dependerá de varios factores en los próximos meses, como </w:t>
      </w:r>
      <w:r w:rsidDel="00000000" w:rsidR="00000000" w:rsidRPr="00000000">
        <w:rPr>
          <w:rFonts w:ascii="Open Sans" w:cs="Open Sans" w:eastAsia="Open Sans" w:hAnsi="Open Sans"/>
          <w:b w:val="1"/>
          <w:sz w:val="21"/>
          <w:szCs w:val="21"/>
          <w:rtl w:val="0"/>
        </w:rPr>
        <w:t xml:space="preserve">la evolución de la inflación de la zona euro, de las políticas comerciales de Estados Unidos, y del efecto expansivo del aumento del gasto público en defensa e infraestructuras en Europa</w:t>
      </w:r>
      <w:r w:rsidDel="00000000" w:rsidR="00000000" w:rsidRPr="00000000">
        <w:rPr>
          <w:rFonts w:ascii="Open Sans" w:cs="Open Sans" w:eastAsia="Open Sans" w:hAnsi="Open Sans"/>
          <w:sz w:val="21"/>
          <w:szCs w:val="21"/>
          <w:rtl w:val="0"/>
        </w:rPr>
        <w:t xml:space="preserve">. Por ahora, el Euríbor mantiene su estabilidad por encima del 2%, lo que ha llevado a las entidades bancarias a mantener una oferta hipotecaria muy competitiva para captar clientes, lo que reintroducirá con fuerza las hipotecas a tipo fijo este año” , prevé María Matos, portavoz de </w:t>
      </w:r>
      <w:hyperlink r:id="rId10">
        <w:r w:rsidDel="00000000" w:rsidR="00000000" w:rsidRPr="00000000">
          <w:rPr>
            <w:rFonts w:ascii="Open Sans" w:cs="Open Sans" w:eastAsia="Open Sans" w:hAnsi="Open Sans"/>
            <w:b w:val="1"/>
            <w:color w:val="1155cc"/>
            <w:sz w:val="21"/>
            <w:szCs w:val="21"/>
            <w:u w:val="single"/>
            <w:rtl w:val="0"/>
          </w:rPr>
          <w:t xml:space="preserve">Fotocasa</w:t>
        </w:r>
      </w:hyperlink>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0E">
      <w:pPr>
        <w:shd w:fill="ffffff" w:val="clear"/>
        <w:spacing w:after="280" w:before="28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t>
      </w:r>
      <w:r w:rsidDel="00000000" w:rsidR="00000000" w:rsidRPr="00000000">
        <w:rPr>
          <w:rFonts w:ascii="Open Sans" w:cs="Open Sans" w:eastAsia="Open Sans" w:hAnsi="Open Sans"/>
          <w:b w:val="1"/>
          <w:sz w:val="21"/>
          <w:szCs w:val="21"/>
          <w:rtl w:val="0"/>
        </w:rPr>
        <w:t xml:space="preserve">2025 comienza con altas expectativas en cuanto a volumen de firmas, para convertirse en otro de los años de </w:t>
      </w:r>
      <w:r w:rsidDel="00000000" w:rsidR="00000000" w:rsidRPr="00000000">
        <w:rPr>
          <w:rFonts w:ascii="Open Sans" w:cs="Open Sans" w:eastAsia="Open Sans" w:hAnsi="Open Sans"/>
          <w:b w:val="1"/>
          <w:i w:val="1"/>
          <w:sz w:val="21"/>
          <w:szCs w:val="21"/>
          <w:rtl w:val="0"/>
        </w:rPr>
        <w:t xml:space="preserve">boom</w:t>
      </w:r>
      <w:r w:rsidDel="00000000" w:rsidR="00000000" w:rsidRPr="00000000">
        <w:rPr>
          <w:rFonts w:ascii="Open Sans" w:cs="Open Sans" w:eastAsia="Open Sans" w:hAnsi="Open Sans"/>
          <w:b w:val="1"/>
          <w:sz w:val="21"/>
          <w:szCs w:val="21"/>
          <w:rtl w:val="0"/>
        </w:rPr>
        <w:t xml:space="preserve"> de actividad en hipotecas</w:t>
      </w:r>
      <w:r w:rsidDel="00000000" w:rsidR="00000000" w:rsidRPr="00000000">
        <w:rPr>
          <w:rFonts w:ascii="Open Sans" w:cs="Open Sans" w:eastAsia="Open Sans" w:hAnsi="Open Sans"/>
          <w:sz w:val="21"/>
          <w:szCs w:val="21"/>
          <w:rtl w:val="0"/>
        </w:rPr>
        <w:t xml:space="preserve">. Tras dos</w:t>
      </w:r>
      <w:r w:rsidDel="00000000" w:rsidR="00000000" w:rsidRPr="00000000">
        <w:rPr>
          <w:rFonts w:ascii="Open Sans" w:cs="Open Sans" w:eastAsia="Open Sans" w:hAnsi="Open Sans"/>
          <w:b w:val="1"/>
          <w:sz w:val="21"/>
          <w:szCs w:val="21"/>
          <w:rtl w:val="0"/>
        </w:rPr>
        <w:t xml:space="preserve"> </w:t>
      </w:r>
      <w:r w:rsidDel="00000000" w:rsidR="00000000" w:rsidRPr="00000000">
        <w:rPr>
          <w:rFonts w:ascii="Open Sans" w:cs="Open Sans" w:eastAsia="Open Sans" w:hAnsi="Open Sans"/>
          <w:sz w:val="21"/>
          <w:szCs w:val="21"/>
          <w:rtl w:val="0"/>
        </w:rPr>
        <w:t xml:space="preserve">descuentos de tipos durante el primer trimestre del año, iniciamos una estabilización y acomodación del mercado. Aunque p</w:t>
      </w:r>
      <w:r w:rsidDel="00000000" w:rsidR="00000000" w:rsidRPr="00000000">
        <w:rPr>
          <w:rFonts w:ascii="Open Sans" w:cs="Open Sans" w:eastAsia="Open Sans" w:hAnsi="Open Sans"/>
          <w:sz w:val="21"/>
          <w:szCs w:val="21"/>
          <w:rtl w:val="0"/>
        </w:rPr>
        <w:t xml:space="preserve">robablemente la reducción de los tipos seguirá provocando indirectamente el </w:t>
      </w:r>
      <w:r w:rsidDel="00000000" w:rsidR="00000000" w:rsidRPr="00000000">
        <w:rPr>
          <w:rFonts w:ascii="Open Sans" w:cs="Open Sans" w:eastAsia="Open Sans" w:hAnsi="Open Sans"/>
          <w:b w:val="1"/>
          <w:sz w:val="21"/>
          <w:szCs w:val="21"/>
          <w:rtl w:val="0"/>
        </w:rPr>
        <w:t xml:space="preserve">aumento en los precios de la vivienda</w:t>
      </w:r>
      <w:r w:rsidDel="00000000" w:rsidR="00000000" w:rsidRPr="00000000">
        <w:rPr>
          <w:rFonts w:ascii="Open Sans" w:cs="Open Sans" w:eastAsia="Open Sans" w:hAnsi="Open Sans"/>
          <w:sz w:val="21"/>
          <w:szCs w:val="21"/>
          <w:rtl w:val="0"/>
        </w:rPr>
        <w:t xml:space="preserve"> al atraer más demanda de compra al mercado. Aunque 2025 ya cuenta con mejores condiciones en las hipotecas, estas podrían no ser suficientes para contrarrestar el acelerado incremento del valor de la vivienda (10,2% en marzo de 2025). En este escenario, los compradores podrían obtener hipotecas más accesibles, pero enfrentarse a precios de compra más altos. Por lo tanto, encontrar la vivienda ideal será cada vez una tarea más complicada”, concluye la directora de Estudios.</w:t>
      </w:r>
    </w:p>
    <w:p w:rsidR="00000000" w:rsidDel="00000000" w:rsidP="00000000" w:rsidRDefault="00000000" w:rsidRPr="00000000" w14:paraId="0000000F">
      <w:pPr>
        <w:shd w:fill="ffffff" w:val="clear"/>
        <w:spacing w:after="280" w:before="280" w:lineRule="auto"/>
        <w:jc w:val="right"/>
        <w:rPr>
          <w:rFonts w:ascii="Open Sans Light" w:cs="Open Sans Light" w:eastAsia="Open Sans Light" w:hAnsi="Open Sans Light"/>
          <w:b w:val="1"/>
          <w:color w:val="303ab2"/>
          <w:sz w:val="24"/>
          <w:szCs w:val="24"/>
        </w:rPr>
      </w:pPr>
      <w:r w:rsidDel="00000000" w:rsidR="00000000" w:rsidRPr="00000000">
        <w:rPr>
          <w:rFonts w:ascii="Open Sans Light" w:cs="Open Sans Light" w:eastAsia="Open Sans Light" w:hAnsi="Open Sans Light"/>
          <w:b w:val="1"/>
          <w:color w:val="303ab2"/>
          <w:sz w:val="24"/>
          <w:szCs w:val="24"/>
          <w:rtl w:val="0"/>
        </w:rPr>
        <w:t xml:space="preserve">Departamento de Comunicación de Fotocasa</w:t>
      </w:r>
    </w:p>
    <w:p w:rsidR="00000000" w:rsidDel="00000000" w:rsidP="00000000" w:rsidRDefault="00000000" w:rsidRPr="00000000" w14:paraId="00000010">
      <w:pPr>
        <w:shd w:fill="ffffff" w:val="clear"/>
        <w:ind w:right="-7"/>
        <w:jc w:val="right"/>
        <w:rPr>
          <w:rFonts w:ascii="Open Sans" w:cs="Open Sans" w:eastAsia="Open Sans" w:hAnsi="Open Sans"/>
          <w:b w:val="1"/>
          <w:sz w:val="21"/>
          <w:szCs w:val="21"/>
        </w:rPr>
      </w:pPr>
      <w:r w:rsidDel="00000000" w:rsidR="00000000" w:rsidRPr="00000000">
        <w:rPr>
          <w:rFonts w:ascii="Open Sans" w:cs="Open Sans" w:eastAsia="Open Sans" w:hAnsi="Open Sans"/>
          <w:b w:val="1"/>
          <w:sz w:val="21"/>
          <w:szCs w:val="21"/>
          <w:rtl w:val="0"/>
        </w:rPr>
        <w:t xml:space="preserve">Anaïs López</w:t>
      </w:r>
    </w:p>
    <w:p w:rsidR="00000000" w:rsidDel="00000000" w:rsidP="00000000" w:rsidRDefault="00000000" w:rsidRPr="00000000" w14:paraId="00000011">
      <w:pPr>
        <w:shd w:fill="ffffff" w:val="clear"/>
        <w:ind w:right="-7"/>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Móvil: 620 66 29 26</w:t>
      </w:r>
    </w:p>
    <w:p w:rsidR="00000000" w:rsidDel="00000000" w:rsidP="00000000" w:rsidRDefault="00000000" w:rsidRPr="00000000" w14:paraId="00000012">
      <w:pPr>
        <w:shd w:fill="ffffff" w:val="clear"/>
        <w:ind w:right="-7"/>
        <w:jc w:val="right"/>
        <w:rPr>
          <w:rFonts w:ascii="Open Sans" w:cs="Open Sans" w:eastAsia="Open Sans" w:hAnsi="Open Sans"/>
          <w:sz w:val="21"/>
          <w:szCs w:val="21"/>
        </w:rPr>
      </w:pPr>
      <w:hyperlink r:id="rId11">
        <w:r w:rsidDel="00000000" w:rsidR="00000000" w:rsidRPr="00000000">
          <w:rPr>
            <w:rFonts w:ascii="Open Sans" w:cs="Open Sans" w:eastAsia="Open Sans" w:hAnsi="Open Sans"/>
            <w:color w:val="0563c1"/>
            <w:sz w:val="21"/>
            <w:szCs w:val="21"/>
            <w:u w:val="single"/>
            <w:rtl w:val="0"/>
          </w:rPr>
          <w:t xml:space="preserve">comunicacion@fotocasa.es</w:t>
        </w:r>
      </w:hyperlink>
      <w:r w:rsidDel="00000000" w:rsidR="00000000" w:rsidRPr="00000000">
        <w:rPr>
          <w:rtl w:val="0"/>
        </w:rPr>
      </w:r>
    </w:p>
    <w:p w:rsidR="00000000" w:rsidDel="00000000" w:rsidP="00000000" w:rsidRDefault="00000000" w:rsidRPr="00000000" w14:paraId="00000013">
      <w:pPr>
        <w:shd w:fill="ffffff" w:val="clear"/>
        <w:ind w:right="-7"/>
        <w:jc w:val="right"/>
        <w:rPr>
          <w:rFonts w:ascii="Open Sans" w:cs="Open Sans" w:eastAsia="Open Sans" w:hAnsi="Open Sans"/>
          <w:sz w:val="21"/>
          <w:szCs w:val="21"/>
        </w:rPr>
      </w:pPr>
      <w:hyperlink r:id="rId12">
        <w:r w:rsidDel="00000000" w:rsidR="00000000" w:rsidRPr="00000000">
          <w:rPr>
            <w:rFonts w:ascii="Open Sans" w:cs="Open Sans" w:eastAsia="Open Sans" w:hAnsi="Open Sans"/>
            <w:color w:val="0563c1"/>
            <w:sz w:val="21"/>
            <w:szCs w:val="21"/>
            <w:u w:val="single"/>
            <w:rtl w:val="0"/>
          </w:rPr>
          <w:t xml:space="preserve">http://prensa.fotocasa.es</w:t>
        </w:r>
      </w:hyperlink>
      <w:r w:rsidDel="00000000" w:rsidR="00000000" w:rsidRPr="00000000">
        <w:rPr>
          <w:rtl w:val="0"/>
        </w:rPr>
      </w:r>
    </w:p>
    <w:p w:rsidR="00000000" w:rsidDel="00000000" w:rsidP="00000000" w:rsidRDefault="00000000" w:rsidRPr="00000000" w14:paraId="00000014">
      <w:pPr>
        <w:shd w:fill="ffffff" w:val="clear"/>
        <w:ind w:right="-7"/>
        <w:jc w:val="right"/>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twitter: @fotocasa</w:t>
      </w:r>
    </w:p>
    <w:p w:rsidR="00000000" w:rsidDel="00000000" w:rsidP="00000000" w:rsidRDefault="00000000" w:rsidRPr="00000000" w14:paraId="00000015">
      <w:pPr>
        <w:rPr/>
      </w:pPr>
      <w:r w:rsidDel="00000000" w:rsidR="00000000" w:rsidRPr="00000000">
        <w:rPr>
          <w:rtl w:val="0"/>
        </w:rPr>
      </w:r>
    </w:p>
    <w:sectPr>
      <w:footerReference r:id="rId1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National"/>
  <w:font w:name="Open Sans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-1916395</wp:posOffset>
          </wp:positionH>
          <wp:positionV relativeFrom="paragraph">
            <wp:posOffset>304800</wp:posOffset>
          </wp:positionV>
          <wp:extent cx="8620125" cy="447675"/>
          <wp:effectExtent b="0" l="0" r="0" t="0"/>
          <wp:wrapSquare wrapText="bothSides" distB="0" distT="0" distL="0" distR="0"/>
          <wp:docPr id="34" name="image1.png"/>
          <a:graphic>
            <a:graphicData uri="http://schemas.openxmlformats.org/drawingml/2006/picture">
              <pic:pic>
                <pic:nvPicPr>
                  <pic:cNvPr id="0" name="image1.png"/>
                  <pic:cNvPicPr preferRelativeResize="0"/>
                </pic:nvPicPr>
                <pic:blipFill>
                  <a:blip r:embed="rId1"/>
                  <a:srcRect b="0" l="-13043" r="617" t="0"/>
                  <a:stretch>
                    <a:fillRect/>
                  </a:stretch>
                </pic:blipFill>
                <pic:spPr>
                  <a:xfrm>
                    <a:off x="0" y="0"/>
                    <a:ext cx="8620125" cy="44767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ipervnculo">
    <w:name w:val="Hyperlink"/>
    <w:basedOn w:val="Fuentedeprrafopredeter"/>
    <w:uiPriority w:val="99"/>
    <w:unhideWhenUsed w:val="1"/>
    <w:rsid w:val="00AC2287"/>
    <w:rPr>
      <w:color w:val="0000ff" w:themeColor="hyperlink"/>
      <w:u w:val="single"/>
    </w:rPr>
  </w:style>
  <w:style w:type="character" w:styleId="Mencinsinresolver">
    <w:name w:val="Unresolved Mention"/>
    <w:basedOn w:val="Fuentedeprrafopredeter"/>
    <w:uiPriority w:val="99"/>
    <w:semiHidden w:val="1"/>
    <w:unhideWhenUsed w:val="1"/>
    <w:rsid w:val="00AC2287"/>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comunicacion@fotocasa.es" TargetMode="External"/><Relationship Id="rId10" Type="http://schemas.openxmlformats.org/officeDocument/2006/relationships/hyperlink" Target="https://www.fotocasa.es/es/" TargetMode="External"/><Relationship Id="rId13" Type="http://schemas.openxmlformats.org/officeDocument/2006/relationships/footer" Target="footer1.xml"/><Relationship Id="rId12" Type="http://schemas.openxmlformats.org/officeDocument/2006/relationships/hyperlink" Target="http://prensa.fotocasa.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tocasa.es/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fotocasa.es/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Light-regular.ttf"/><Relationship Id="rId2" Type="http://schemas.openxmlformats.org/officeDocument/2006/relationships/font" Target="fonts/OpenSansLight-bold.ttf"/><Relationship Id="rId3" Type="http://schemas.openxmlformats.org/officeDocument/2006/relationships/font" Target="fonts/OpenSansLight-italic.ttf"/><Relationship Id="rId4" Type="http://schemas.openxmlformats.org/officeDocument/2006/relationships/font" Target="fonts/OpenSansLight-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BWNWlHYsQ3fdXllwPHyBgZmDA==">CgMxLjA4AHIhMU1rZm5zWE1lLTZFem92WkhQRTJPYzYzWkNrOVp6ZEZD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2024-02-22T08:44:00Z</dcterms:created>
</cp:coreProperties>
</file>