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79823" w14:textId="77777777" w:rsidR="00862C60" w:rsidRDefault="00000000">
      <w:r>
        <w:rPr>
          <w:noProof/>
        </w:rPr>
        <w:drawing>
          <wp:anchor distT="0" distB="0" distL="114300" distR="114300" simplePos="0" relativeHeight="251658240" behindDoc="0" locked="0" layoutInCell="1" hidden="0" allowOverlap="1" wp14:anchorId="76E27504" wp14:editId="68B01D6D">
            <wp:simplePos x="0" y="0"/>
            <wp:positionH relativeFrom="column">
              <wp:posOffset>-1080134</wp:posOffset>
            </wp:positionH>
            <wp:positionV relativeFrom="paragraph">
              <wp:posOffset>-351258</wp:posOffset>
            </wp:positionV>
            <wp:extent cx="7581265" cy="1019175"/>
            <wp:effectExtent l="0" t="0" r="0" b="0"/>
            <wp:wrapNone/>
            <wp:docPr id="1302301071" name="image2.png" descr="Patrón de fon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Patrón de fondo&#10;&#10;Descripción generada automáticamente con confianza baja"/>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9742817" w14:textId="77777777" w:rsidR="00862C60" w:rsidRDefault="00862C60">
      <w:pPr>
        <w:jc w:val="right"/>
        <w:rPr>
          <w:rFonts w:ascii="National" w:eastAsia="National" w:hAnsi="National" w:cs="National"/>
          <w:color w:val="303AB2"/>
          <w:sz w:val="36"/>
          <w:szCs w:val="36"/>
        </w:rPr>
      </w:pPr>
    </w:p>
    <w:p w14:paraId="2832EF18" w14:textId="77777777" w:rsidR="00862C60" w:rsidRDefault="00862C60">
      <w:pPr>
        <w:jc w:val="right"/>
        <w:rPr>
          <w:rFonts w:ascii="National" w:eastAsia="National" w:hAnsi="National" w:cs="National"/>
          <w:color w:val="303AB2"/>
          <w:sz w:val="36"/>
          <w:szCs w:val="36"/>
        </w:rPr>
      </w:pPr>
    </w:p>
    <w:p w14:paraId="450B4568" w14:textId="77777777" w:rsidR="00862C60" w:rsidRDefault="00862C60">
      <w:pPr>
        <w:rPr>
          <w:rFonts w:ascii="National" w:eastAsia="National" w:hAnsi="National" w:cs="National"/>
          <w:color w:val="303AB2"/>
          <w:sz w:val="18"/>
          <w:szCs w:val="18"/>
        </w:rPr>
      </w:pPr>
    </w:p>
    <w:p w14:paraId="5C7290E1" w14:textId="77777777" w:rsidR="00862C60" w:rsidRDefault="00000000">
      <w:pPr>
        <w:spacing w:line="276" w:lineRule="auto"/>
        <w:jc w:val="center"/>
        <w:rPr>
          <w:rFonts w:ascii="National" w:eastAsia="National" w:hAnsi="National" w:cs="National"/>
          <w:b/>
          <w:color w:val="1DBDC5"/>
          <w:sz w:val="38"/>
          <w:szCs w:val="38"/>
        </w:rPr>
      </w:pPr>
      <w:r>
        <w:rPr>
          <w:rFonts w:ascii="National" w:eastAsia="National" w:hAnsi="National" w:cs="National"/>
          <w:b/>
          <w:color w:val="1DBDC5"/>
          <w:sz w:val="38"/>
          <w:szCs w:val="38"/>
        </w:rPr>
        <w:t>ABRIL: PRECIO VIVIENDA EN VENTA</w:t>
      </w:r>
    </w:p>
    <w:p w14:paraId="322CE95F" w14:textId="77777777" w:rsidR="00862C60"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El precio de la vivienda sube un 11,7% interanual en abril en España, el incremento más elevado de los últimos 19 años</w:t>
      </w:r>
    </w:p>
    <w:p w14:paraId="0001AEFE" w14:textId="77777777" w:rsidR="00862C60" w:rsidRDefault="00862C60">
      <w:pPr>
        <w:rPr>
          <w:rFonts w:ascii="National" w:eastAsia="National" w:hAnsi="National" w:cs="National"/>
          <w:b/>
          <w:color w:val="303AB2"/>
          <w:sz w:val="14"/>
          <w:szCs w:val="14"/>
        </w:rPr>
      </w:pPr>
    </w:p>
    <w:p w14:paraId="5BA2F2B4" w14:textId="77777777" w:rsidR="00862C60" w:rsidRDefault="00862C60">
      <w:pPr>
        <w:tabs>
          <w:tab w:val="left" w:pos="6804"/>
        </w:tabs>
        <w:rPr>
          <w:rFonts w:ascii="National" w:eastAsia="National" w:hAnsi="National" w:cs="National"/>
          <w:b/>
          <w:color w:val="303AB2"/>
          <w:sz w:val="14"/>
          <w:szCs w:val="14"/>
        </w:rPr>
      </w:pPr>
    </w:p>
    <w:p w14:paraId="1545D895" w14:textId="77777777" w:rsidR="00862C60"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España ha pasado de una variación interanual del 7,4% de abril de 2024 al 11,7% detectado en el mismo periodo de 2025</w:t>
      </w:r>
    </w:p>
    <w:p w14:paraId="339290C4" w14:textId="77777777" w:rsidR="00862C60"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mensual de la vivienda en venta sube un 1,8% y sitúa su precio en 2.534 euros/m</w:t>
      </w:r>
      <w:r>
        <w:rPr>
          <w:rFonts w:ascii="Open Sans" w:eastAsia="Open Sans" w:hAnsi="Open Sans" w:cs="Open Sans"/>
          <w:color w:val="303AB2"/>
          <w:vertAlign w:val="superscript"/>
        </w:rPr>
        <w:t>2</w:t>
      </w:r>
    </w:p>
    <w:p w14:paraId="18C8715E" w14:textId="77777777" w:rsidR="00862C60"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 xml:space="preserve">Dos municipios baleares son los más caros del país: Santa Eulària des </w:t>
      </w:r>
      <w:proofErr w:type="spellStart"/>
      <w:r>
        <w:rPr>
          <w:rFonts w:ascii="Open Sans" w:eastAsia="Open Sans" w:hAnsi="Open Sans" w:cs="Open Sans"/>
          <w:color w:val="303AB2"/>
        </w:rPr>
        <w:t>Riu</w:t>
      </w:r>
      <w:proofErr w:type="spellEnd"/>
      <w:r>
        <w:rPr>
          <w:rFonts w:ascii="Open Sans" w:eastAsia="Open Sans" w:hAnsi="Open Sans" w:cs="Open Sans"/>
          <w:color w:val="303AB2"/>
        </w:rPr>
        <w:t xml:space="preserve"> y Eivissa </w:t>
      </w:r>
    </w:p>
    <w:p w14:paraId="5CB1E589" w14:textId="77777777" w:rsidR="00862C60" w:rsidRDefault="00862C60">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2FBF9010" w14:textId="77777777" w:rsidR="00862C60"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bookmarkStart w:id="0" w:name="_heading=h.v4mln29bwlqq" w:colFirst="0" w:colLast="0"/>
      <w:bookmarkEnd w:id="0"/>
      <w:r>
        <w:rPr>
          <w:rFonts w:ascii="Open Sans Light" w:eastAsia="Open Sans Light" w:hAnsi="Open Sans Light" w:cs="Open Sans Light"/>
          <w:b/>
          <w:color w:val="303AB2"/>
          <w:sz w:val="22"/>
          <w:szCs w:val="22"/>
        </w:rPr>
        <w:t>Madrid, 30 de abril de 2025</w:t>
      </w:r>
    </w:p>
    <w:p w14:paraId="630680BD" w14:textId="77777777" w:rsidR="00862C60" w:rsidRDefault="00000000">
      <w:pPr>
        <w:pBdr>
          <w:top w:val="nil"/>
          <w:left w:val="nil"/>
          <w:bottom w:val="nil"/>
          <w:right w:val="nil"/>
          <w:between w:val="nil"/>
        </w:pBdr>
        <w:spacing w:line="276" w:lineRule="auto"/>
        <w:jc w:val="both"/>
        <w:rPr>
          <w:rFonts w:ascii="Open Sans" w:eastAsia="Open Sans" w:hAnsi="Open Sans" w:cs="Open Sans"/>
          <w:color w:val="000000"/>
        </w:rPr>
      </w:pPr>
      <w:r>
        <w:rPr>
          <w:rFonts w:ascii="Open Sans" w:eastAsia="Open Sans" w:hAnsi="Open Sans" w:cs="Open Sans"/>
          <w:color w:val="000000"/>
        </w:rPr>
        <w:t>En España sube un 1,8% la variación mensual del precio de la vivienda de segunda mano y un 11,7% en su variación interanual, situando su precio en 2.534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en abril, según los datos del Índice Inmobiliario </w:t>
      </w:r>
      <w:hyperlink r:id="rId9">
        <w:r w:rsidR="00862C60">
          <w:rPr>
            <w:rFonts w:ascii="Open Sans" w:eastAsia="Open Sans" w:hAnsi="Open Sans" w:cs="Open Sans"/>
            <w:color w:val="0000FF"/>
            <w:u w:val="single"/>
          </w:rPr>
          <w:t>Fotocasa</w:t>
        </w:r>
      </w:hyperlink>
      <w:r>
        <w:rPr>
          <w:rFonts w:ascii="Open Sans" w:eastAsia="Open Sans" w:hAnsi="Open Sans" w:cs="Open Sans"/>
          <w:color w:val="000000"/>
        </w:rPr>
        <w:t xml:space="preserve">. Este último valor interanual (11,7%) es </w:t>
      </w:r>
      <w:r>
        <w:rPr>
          <w:rFonts w:ascii="Open Sans" w:eastAsia="Open Sans" w:hAnsi="Open Sans" w:cs="Open Sans"/>
          <w:b/>
          <w:color w:val="000000"/>
        </w:rPr>
        <w:t>el incremento más alto de los últimos 228 meses (19 años)</w:t>
      </w:r>
      <w:r>
        <w:rPr>
          <w:rFonts w:ascii="Open Sans" w:eastAsia="Open Sans" w:hAnsi="Open Sans" w:cs="Open Sans"/>
          <w:color w:val="000000"/>
        </w:rPr>
        <w:t xml:space="preserve">. </w:t>
      </w:r>
    </w:p>
    <w:p w14:paraId="0B85C514" w14:textId="77777777" w:rsidR="00862C60" w:rsidRDefault="00000000">
      <w:pPr>
        <w:pBdr>
          <w:top w:val="nil"/>
          <w:left w:val="nil"/>
          <w:bottom w:val="nil"/>
          <w:right w:val="nil"/>
          <w:between w:val="nil"/>
        </w:pBdr>
        <w:shd w:val="clear" w:color="auto" w:fill="FFFFFF"/>
        <w:tabs>
          <w:tab w:val="left" w:pos="3119"/>
        </w:tabs>
        <w:spacing w:before="280" w:after="280" w:line="276" w:lineRule="auto"/>
        <w:jc w:val="center"/>
        <w:rPr>
          <w:rFonts w:ascii="Open Sans" w:eastAsia="Open Sans" w:hAnsi="Open Sans" w:cs="Open Sans"/>
          <w:color w:val="000000"/>
        </w:rPr>
      </w:pPr>
      <w:r>
        <w:rPr>
          <w:rFonts w:ascii="Open Sans" w:eastAsia="Open Sans" w:hAnsi="Open Sans" w:cs="Open Sans"/>
          <w:b/>
          <w:color w:val="303AB2"/>
          <w:sz w:val="26"/>
          <w:szCs w:val="26"/>
        </w:rPr>
        <w:t>Variación mensual e interanual de España</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4765CBEB" wp14:editId="274CD0BD">
            <wp:extent cx="5798820" cy="2743200"/>
            <wp:effectExtent l="0" t="0" r="0" b="0"/>
            <wp:docPr id="1302301069" name="Gráfico 1302301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E651C1" w14:textId="77777777" w:rsidR="00862C60"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 xml:space="preserve">Así, España </w:t>
      </w:r>
      <w:r>
        <w:rPr>
          <w:rFonts w:ascii="Open Sans" w:eastAsia="Open Sans" w:hAnsi="Open Sans" w:cs="Open Sans"/>
          <w:b/>
          <w:color w:val="000000"/>
        </w:rPr>
        <w:t>ha pasado de una variación interanual del 7,4% de abril de 2024 al 11,7% detectado en el mismo periodo de 2025.</w:t>
      </w:r>
      <w:r>
        <w:rPr>
          <w:rFonts w:ascii="Open Sans" w:eastAsia="Open Sans" w:hAnsi="Open Sans" w:cs="Open Sans"/>
          <w:color w:val="000000"/>
        </w:rPr>
        <w:t xml:space="preserve"> En los últimos 12 meses analizados el precio de la vivienda se ha incrementado 265 euros por metro cuadrado, es decir, ha pasado de los 2.269 euros/m</w:t>
      </w:r>
      <w:r>
        <w:rPr>
          <w:rFonts w:ascii="Open Sans" w:eastAsia="Open Sans" w:hAnsi="Open Sans" w:cs="Open Sans"/>
          <w:color w:val="000000"/>
          <w:vertAlign w:val="superscript"/>
        </w:rPr>
        <w:t>2</w:t>
      </w:r>
      <w:r>
        <w:rPr>
          <w:rFonts w:ascii="Open Sans" w:eastAsia="Open Sans" w:hAnsi="Open Sans" w:cs="Open Sans"/>
          <w:color w:val="000000"/>
        </w:rPr>
        <w:t xml:space="preserve"> de abril de 2024 a los 2.534 euros/m</w:t>
      </w:r>
      <w:r>
        <w:rPr>
          <w:rFonts w:ascii="Open Sans" w:eastAsia="Open Sans" w:hAnsi="Open Sans" w:cs="Open Sans"/>
          <w:color w:val="000000"/>
          <w:vertAlign w:val="superscript"/>
        </w:rPr>
        <w:t>2</w:t>
      </w:r>
      <w:r>
        <w:rPr>
          <w:rFonts w:ascii="Open Sans" w:eastAsia="Open Sans" w:hAnsi="Open Sans" w:cs="Open Sans"/>
          <w:color w:val="000000"/>
        </w:rPr>
        <w:t xml:space="preserve"> de abril de 2025. </w:t>
      </w:r>
    </w:p>
    <w:p w14:paraId="0FDB2984" w14:textId="77777777" w:rsidR="00862C60" w:rsidRPr="00E4661A"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b/>
          <w:bCs/>
        </w:rPr>
      </w:pPr>
      <w:r>
        <w:rPr>
          <w:rFonts w:ascii="Open Sans" w:eastAsia="Open Sans" w:hAnsi="Open Sans" w:cs="Open Sans"/>
        </w:rPr>
        <w:t xml:space="preserve">“El mercado de la vivienda en España atraviesa la mayor transformación de la última década debido al impacto de los cambios macroeconómicos, geopolíticos y legislativos en su evolución. El problema estructural entre la elevada demanda y la escasa oferta cada vez más acrecentando, tensiona los precios al alza de forma significativa. De hecho, aunque a nivel nacional el coste de la vivienda todavía se encuentra a un 15% de alcanzar máximos, la variación presentada marca un récord histórico. Esto indica que nunca nos habíamos enfrentado a un ritmo de encarecimiento tan rápido como este”, </w:t>
      </w:r>
      <w:r w:rsidRPr="00E4661A">
        <w:rPr>
          <w:rFonts w:ascii="Open Sans" w:eastAsia="Open Sans" w:hAnsi="Open Sans" w:cs="Open Sans"/>
          <w:b/>
          <w:bCs/>
        </w:rPr>
        <w:t xml:space="preserve">comenta María Matos, directora de Estudios y portavoz de </w:t>
      </w:r>
      <w:hyperlink r:id="rId11">
        <w:r w:rsidR="00862C60" w:rsidRPr="00E4661A">
          <w:rPr>
            <w:rFonts w:ascii="Open Sans" w:eastAsia="Open Sans" w:hAnsi="Open Sans" w:cs="Open Sans"/>
            <w:b/>
            <w:bCs/>
            <w:color w:val="1155CC"/>
            <w:u w:val="single"/>
          </w:rPr>
          <w:t>Fotocasa</w:t>
        </w:r>
      </w:hyperlink>
      <w:r w:rsidRPr="00E4661A">
        <w:rPr>
          <w:rFonts w:ascii="Open Sans" w:eastAsia="Open Sans" w:hAnsi="Open Sans" w:cs="Open Sans"/>
          <w:b/>
          <w:bCs/>
        </w:rPr>
        <w:t xml:space="preserve">. </w:t>
      </w:r>
    </w:p>
    <w:p w14:paraId="65D45C9B" w14:textId="77777777" w:rsidR="00862C60"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Si analizamos los precios de la vivienda en venta respecto a los de hace un año, vemos que 16 comunidades incrementan el precio interanual en abril. Los incrementos superiores al 10% afecta a ocho comunidades y son: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(24,8%), Baleares (22,2%), Región de Murcia (19,1%), Andalucía (15,4%), Madrid (14,3%), Canarias (13,2%), Asturias (12,9%) y Cantabria (10,9%). Le siguen las comunidades de País Vasco (8,9%), Galicia (8,6%), Cataluña (5,9%), Castilla y León (5,1%), La Rioja (2,8%), Navarra (2,0%), Aragón (1,8%) y Extremadura (0,6%). Por otro lado, la única región que experimenta descenso interanual es Castilla-La Mancha (-2,2%).</w:t>
      </w:r>
    </w:p>
    <w:p w14:paraId="1EF1943B" w14:textId="77777777" w:rsidR="00862C60"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w:t>
      </w:r>
      <w:r>
        <w:rPr>
          <w:rFonts w:ascii="Open Sans" w:eastAsia="Open Sans" w:hAnsi="Open Sans" w:cs="Open Sans"/>
          <w:b/>
          <w:color w:val="000000"/>
        </w:rPr>
        <w:t>el precio de la vivienda de segunda mano más caras en España, se encuentran Baleares y Madrid con los precios de 4.907 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y los 4.624 euros/m</w:t>
      </w:r>
      <w:r>
        <w:rPr>
          <w:rFonts w:ascii="Open Sans" w:eastAsia="Open Sans" w:hAnsi="Open Sans" w:cs="Open Sans"/>
          <w:b/>
          <w:color w:val="000000"/>
          <w:vertAlign w:val="superscript"/>
        </w:rPr>
        <w:t>2</w:t>
      </w:r>
      <w:r>
        <w:rPr>
          <w:rFonts w:ascii="Open Sans" w:eastAsia="Open Sans" w:hAnsi="Open Sans" w:cs="Open Sans"/>
          <w:color w:val="000000"/>
        </w:rPr>
        <w:t>, respectivamente. Le siguen, País Vasco con 3.423 euros/m</w:t>
      </w:r>
      <w:r>
        <w:rPr>
          <w:rFonts w:ascii="Open Sans" w:eastAsia="Open Sans" w:hAnsi="Open Sans" w:cs="Open Sans"/>
          <w:color w:val="000000"/>
          <w:vertAlign w:val="superscript"/>
        </w:rPr>
        <w:t>2</w:t>
      </w:r>
      <w:r>
        <w:rPr>
          <w:rFonts w:ascii="Open Sans" w:eastAsia="Open Sans" w:hAnsi="Open Sans" w:cs="Open Sans"/>
          <w:color w:val="000000"/>
        </w:rPr>
        <w:t>, Cataluña con 2.954 euros/m</w:t>
      </w:r>
      <w:r>
        <w:rPr>
          <w:rFonts w:ascii="Open Sans" w:eastAsia="Open Sans" w:hAnsi="Open Sans" w:cs="Open Sans"/>
          <w:color w:val="000000"/>
          <w:vertAlign w:val="superscript"/>
        </w:rPr>
        <w:t>2</w:t>
      </w:r>
      <w:r>
        <w:rPr>
          <w:rFonts w:ascii="Open Sans" w:eastAsia="Open Sans" w:hAnsi="Open Sans" w:cs="Open Sans"/>
          <w:color w:val="000000"/>
        </w:rPr>
        <w:t>, Canarias con 2.901 euros/m</w:t>
      </w:r>
      <w:r>
        <w:rPr>
          <w:rFonts w:ascii="Open Sans" w:eastAsia="Open Sans" w:hAnsi="Open Sans" w:cs="Open Sans"/>
          <w:color w:val="000000"/>
          <w:vertAlign w:val="superscript"/>
        </w:rPr>
        <w:t>2</w:t>
      </w:r>
      <w:r>
        <w:rPr>
          <w:rFonts w:ascii="Open Sans" w:eastAsia="Open Sans" w:hAnsi="Open Sans" w:cs="Open Sans"/>
          <w:color w:val="000000"/>
        </w:rPr>
        <w:t>, Andalucía con 2.413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2.290 euros/m</w:t>
      </w:r>
      <w:r>
        <w:rPr>
          <w:rFonts w:ascii="Open Sans" w:eastAsia="Open Sans" w:hAnsi="Open Sans" w:cs="Open Sans"/>
          <w:color w:val="000000"/>
          <w:vertAlign w:val="superscript"/>
        </w:rPr>
        <w:t>2</w:t>
      </w:r>
      <w:r>
        <w:rPr>
          <w:rFonts w:ascii="Open Sans" w:eastAsia="Open Sans" w:hAnsi="Open Sans" w:cs="Open Sans"/>
          <w:color w:val="000000"/>
        </w:rPr>
        <w:t>, Cantabria con 2.180 euros/m</w:t>
      </w:r>
      <w:r>
        <w:rPr>
          <w:rFonts w:ascii="Open Sans" w:eastAsia="Open Sans" w:hAnsi="Open Sans" w:cs="Open Sans"/>
          <w:color w:val="000000"/>
          <w:vertAlign w:val="superscript"/>
        </w:rPr>
        <w:t>2</w:t>
      </w:r>
      <w:r>
        <w:rPr>
          <w:rFonts w:ascii="Open Sans" w:eastAsia="Open Sans" w:hAnsi="Open Sans" w:cs="Open Sans"/>
          <w:color w:val="000000"/>
        </w:rPr>
        <w:t>, Navarra con 2.071 euros/m</w:t>
      </w:r>
      <w:r>
        <w:rPr>
          <w:rFonts w:ascii="Open Sans" w:eastAsia="Open Sans" w:hAnsi="Open Sans" w:cs="Open Sans"/>
          <w:color w:val="000000"/>
          <w:vertAlign w:val="superscript"/>
        </w:rPr>
        <w:t>2</w:t>
      </w:r>
      <w:r>
        <w:rPr>
          <w:rFonts w:ascii="Open Sans" w:eastAsia="Open Sans" w:hAnsi="Open Sans" w:cs="Open Sans"/>
          <w:color w:val="000000"/>
        </w:rPr>
        <w:t>, Galicia con 1.907 euros/m</w:t>
      </w:r>
      <w:r>
        <w:rPr>
          <w:rFonts w:ascii="Open Sans" w:eastAsia="Open Sans" w:hAnsi="Open Sans" w:cs="Open Sans"/>
          <w:color w:val="000000"/>
          <w:vertAlign w:val="superscript"/>
        </w:rPr>
        <w:t>2</w:t>
      </w:r>
      <w:r>
        <w:rPr>
          <w:rFonts w:ascii="Open Sans" w:eastAsia="Open Sans" w:hAnsi="Open Sans" w:cs="Open Sans"/>
          <w:color w:val="000000"/>
        </w:rPr>
        <w:t>, Asturias con 1.895 euros/m</w:t>
      </w:r>
      <w:r>
        <w:rPr>
          <w:rFonts w:ascii="Open Sans" w:eastAsia="Open Sans" w:hAnsi="Open Sans" w:cs="Open Sans"/>
          <w:color w:val="000000"/>
          <w:vertAlign w:val="superscript"/>
        </w:rPr>
        <w:t>2</w:t>
      </w:r>
      <w:r>
        <w:rPr>
          <w:rFonts w:ascii="Open Sans" w:eastAsia="Open Sans" w:hAnsi="Open Sans" w:cs="Open Sans"/>
          <w:color w:val="000000"/>
        </w:rPr>
        <w:t>, Aragón con 1.751 euros/m</w:t>
      </w:r>
      <w:r>
        <w:rPr>
          <w:rFonts w:ascii="Open Sans" w:eastAsia="Open Sans" w:hAnsi="Open Sans" w:cs="Open Sans"/>
          <w:color w:val="000000"/>
          <w:vertAlign w:val="superscript"/>
        </w:rPr>
        <w:t>2</w:t>
      </w:r>
      <w:r>
        <w:rPr>
          <w:rFonts w:ascii="Open Sans" w:eastAsia="Open Sans" w:hAnsi="Open Sans" w:cs="Open Sans"/>
          <w:color w:val="000000"/>
        </w:rPr>
        <w:t>, La Rioja con 1.699 euros/m</w:t>
      </w:r>
      <w:r>
        <w:rPr>
          <w:rFonts w:ascii="Open Sans" w:eastAsia="Open Sans" w:hAnsi="Open Sans" w:cs="Open Sans"/>
          <w:color w:val="000000"/>
          <w:vertAlign w:val="superscript"/>
        </w:rPr>
        <w:t>2</w:t>
      </w:r>
      <w:r>
        <w:rPr>
          <w:rFonts w:ascii="Open Sans" w:eastAsia="Open Sans" w:hAnsi="Open Sans" w:cs="Open Sans"/>
          <w:color w:val="000000"/>
        </w:rPr>
        <w:t>, Región de Murcia con 1.598 euros/m</w:t>
      </w:r>
      <w:r>
        <w:rPr>
          <w:rFonts w:ascii="Open Sans" w:eastAsia="Open Sans" w:hAnsi="Open Sans" w:cs="Open Sans"/>
          <w:color w:val="000000"/>
          <w:vertAlign w:val="superscript"/>
        </w:rPr>
        <w:t>2</w:t>
      </w:r>
      <w:r>
        <w:rPr>
          <w:rFonts w:ascii="Open Sans" w:eastAsia="Open Sans" w:hAnsi="Open Sans" w:cs="Open Sans"/>
          <w:color w:val="000000"/>
        </w:rPr>
        <w:t>, Castilla y León con 1.580 euros/m</w:t>
      </w:r>
      <w:r>
        <w:rPr>
          <w:rFonts w:ascii="Open Sans" w:eastAsia="Open Sans" w:hAnsi="Open Sans" w:cs="Open Sans"/>
          <w:color w:val="000000"/>
          <w:vertAlign w:val="superscript"/>
        </w:rPr>
        <w:t>2</w:t>
      </w:r>
      <w:r>
        <w:rPr>
          <w:rFonts w:ascii="Open Sans" w:eastAsia="Open Sans" w:hAnsi="Open Sans" w:cs="Open Sans"/>
          <w:color w:val="000000"/>
        </w:rPr>
        <w:t>, Extremadura con 1.220 euros/m</w:t>
      </w:r>
      <w:r>
        <w:rPr>
          <w:rFonts w:ascii="Open Sans" w:eastAsia="Open Sans" w:hAnsi="Open Sans" w:cs="Open Sans"/>
          <w:color w:val="000000"/>
          <w:vertAlign w:val="superscript"/>
        </w:rPr>
        <w:t>2</w:t>
      </w:r>
      <w:r>
        <w:rPr>
          <w:rFonts w:ascii="Open Sans" w:eastAsia="Open Sans" w:hAnsi="Open Sans" w:cs="Open Sans"/>
          <w:color w:val="000000"/>
        </w:rPr>
        <w:t xml:space="preserve"> y Castilla-La Mancha con 1.191 euros/m</w:t>
      </w:r>
      <w:r>
        <w:rPr>
          <w:rFonts w:ascii="Open Sans" w:eastAsia="Open Sans" w:hAnsi="Open Sans" w:cs="Open Sans"/>
          <w:color w:val="000000"/>
          <w:vertAlign w:val="superscript"/>
        </w:rPr>
        <w:t>2</w:t>
      </w:r>
      <w:r>
        <w:rPr>
          <w:rFonts w:ascii="Open Sans" w:eastAsia="Open Sans" w:hAnsi="Open Sans" w:cs="Open Sans"/>
          <w:color w:val="000000"/>
        </w:rPr>
        <w:t>.</w:t>
      </w:r>
    </w:p>
    <w:p w14:paraId="7867D310" w14:textId="77777777" w:rsidR="00F05959" w:rsidRDefault="00F05959">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34D060D1" w14:textId="77777777" w:rsidR="00862C60"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CCAA de mayor a menor incremento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862C60" w14:paraId="53CF4E58" w14:textId="77777777" w:rsidTr="00862C6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91F136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783862AE"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262EAE9D"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67ED8B2F"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F017539"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15FADBCF"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862C60" w14:paraId="286565E3" w14:textId="77777777" w:rsidTr="00862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2FD5E0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w:t>
            </w: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 </w:t>
            </w:r>
          </w:p>
        </w:tc>
        <w:tc>
          <w:tcPr>
            <w:tcW w:w="1701" w:type="dxa"/>
            <w:vAlign w:val="bottom"/>
          </w:tcPr>
          <w:p w14:paraId="5D0C5CF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2.290 €</w:t>
            </w:r>
          </w:p>
        </w:tc>
        <w:tc>
          <w:tcPr>
            <w:tcW w:w="1559" w:type="dxa"/>
            <w:vAlign w:val="bottom"/>
          </w:tcPr>
          <w:p w14:paraId="3E57AC0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3,5%</w:t>
            </w:r>
          </w:p>
        </w:tc>
        <w:tc>
          <w:tcPr>
            <w:tcW w:w="1701" w:type="dxa"/>
            <w:vAlign w:val="bottom"/>
          </w:tcPr>
          <w:p w14:paraId="446F4DC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24,8%</w:t>
            </w:r>
          </w:p>
        </w:tc>
        <w:tc>
          <w:tcPr>
            <w:tcW w:w="1700" w:type="dxa"/>
            <w:vAlign w:val="bottom"/>
          </w:tcPr>
          <w:p w14:paraId="7D079ED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-9,6%</w:t>
            </w:r>
          </w:p>
        </w:tc>
      </w:tr>
      <w:tr w:rsidR="00862C60" w14:paraId="6A2DFF77" w14:textId="77777777" w:rsidTr="00862C6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5028FE7"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Baleares </w:t>
            </w:r>
          </w:p>
        </w:tc>
        <w:tc>
          <w:tcPr>
            <w:tcW w:w="1701" w:type="dxa"/>
            <w:vAlign w:val="bottom"/>
          </w:tcPr>
          <w:p w14:paraId="5E5773F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4.907 €</w:t>
            </w:r>
          </w:p>
        </w:tc>
        <w:tc>
          <w:tcPr>
            <w:tcW w:w="1559" w:type="dxa"/>
            <w:vAlign w:val="bottom"/>
          </w:tcPr>
          <w:p w14:paraId="5C08F63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701" w:type="dxa"/>
            <w:vAlign w:val="bottom"/>
          </w:tcPr>
          <w:p w14:paraId="5EDB79B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22,2%</w:t>
            </w:r>
          </w:p>
        </w:tc>
        <w:tc>
          <w:tcPr>
            <w:tcW w:w="1700" w:type="dxa"/>
            <w:vAlign w:val="bottom"/>
          </w:tcPr>
          <w:p w14:paraId="24DA6A5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93,7%</w:t>
            </w:r>
          </w:p>
        </w:tc>
      </w:tr>
      <w:tr w:rsidR="00862C60" w14:paraId="2E20FA99" w14:textId="77777777" w:rsidTr="00862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1AE681A"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Región de Murcia </w:t>
            </w:r>
          </w:p>
        </w:tc>
        <w:tc>
          <w:tcPr>
            <w:tcW w:w="1701" w:type="dxa"/>
            <w:vAlign w:val="bottom"/>
          </w:tcPr>
          <w:p w14:paraId="1ADC683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1.598 €</w:t>
            </w:r>
          </w:p>
        </w:tc>
        <w:tc>
          <w:tcPr>
            <w:tcW w:w="1559" w:type="dxa"/>
            <w:vAlign w:val="bottom"/>
          </w:tcPr>
          <w:p w14:paraId="1495E2D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552D189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19,1%</w:t>
            </w:r>
          </w:p>
        </w:tc>
        <w:tc>
          <w:tcPr>
            <w:tcW w:w="1700" w:type="dxa"/>
            <w:vAlign w:val="bottom"/>
          </w:tcPr>
          <w:p w14:paraId="3E145C2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-36,9%</w:t>
            </w:r>
          </w:p>
        </w:tc>
      </w:tr>
      <w:tr w:rsidR="00862C60" w14:paraId="63035D29" w14:textId="77777777" w:rsidTr="00862C6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23A87AA"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Andalucía </w:t>
            </w:r>
          </w:p>
        </w:tc>
        <w:tc>
          <w:tcPr>
            <w:tcW w:w="1701" w:type="dxa"/>
            <w:vAlign w:val="bottom"/>
          </w:tcPr>
          <w:p w14:paraId="5A73548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2.413 €</w:t>
            </w:r>
          </w:p>
        </w:tc>
        <w:tc>
          <w:tcPr>
            <w:tcW w:w="1559" w:type="dxa"/>
            <w:vAlign w:val="bottom"/>
          </w:tcPr>
          <w:p w14:paraId="157FB69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w:t>
            </w:r>
          </w:p>
        </w:tc>
        <w:tc>
          <w:tcPr>
            <w:tcW w:w="1701" w:type="dxa"/>
            <w:vAlign w:val="bottom"/>
          </w:tcPr>
          <w:p w14:paraId="5F8C5AA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15,4%</w:t>
            </w:r>
          </w:p>
        </w:tc>
        <w:tc>
          <w:tcPr>
            <w:tcW w:w="1700" w:type="dxa"/>
            <w:vAlign w:val="bottom"/>
          </w:tcPr>
          <w:p w14:paraId="267EA16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w:t>
            </w:r>
          </w:p>
        </w:tc>
      </w:tr>
      <w:tr w:rsidR="00862C60" w14:paraId="7DB7BBC4" w14:textId="77777777" w:rsidTr="00862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319DF30"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Madrid </w:t>
            </w:r>
          </w:p>
        </w:tc>
        <w:tc>
          <w:tcPr>
            <w:tcW w:w="1701" w:type="dxa"/>
            <w:vAlign w:val="bottom"/>
          </w:tcPr>
          <w:p w14:paraId="6294007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4.624 €</w:t>
            </w:r>
          </w:p>
        </w:tc>
        <w:tc>
          <w:tcPr>
            <w:tcW w:w="1559" w:type="dxa"/>
            <w:vAlign w:val="bottom"/>
          </w:tcPr>
          <w:p w14:paraId="62E3A34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51FB11B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14,3%</w:t>
            </w:r>
          </w:p>
        </w:tc>
        <w:tc>
          <w:tcPr>
            <w:tcW w:w="1700" w:type="dxa"/>
            <w:vAlign w:val="bottom"/>
          </w:tcPr>
          <w:p w14:paraId="27E455A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82,5%</w:t>
            </w:r>
          </w:p>
        </w:tc>
      </w:tr>
      <w:tr w:rsidR="00862C60" w14:paraId="706C4090" w14:textId="77777777" w:rsidTr="00862C6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CAB39F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Canarias </w:t>
            </w:r>
          </w:p>
        </w:tc>
        <w:tc>
          <w:tcPr>
            <w:tcW w:w="1701" w:type="dxa"/>
            <w:vAlign w:val="bottom"/>
          </w:tcPr>
          <w:p w14:paraId="1FDB00E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2.901 €</w:t>
            </w:r>
          </w:p>
        </w:tc>
        <w:tc>
          <w:tcPr>
            <w:tcW w:w="1559" w:type="dxa"/>
            <w:vAlign w:val="bottom"/>
          </w:tcPr>
          <w:p w14:paraId="2FBEB81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42AA500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13,2%</w:t>
            </w:r>
          </w:p>
        </w:tc>
        <w:tc>
          <w:tcPr>
            <w:tcW w:w="1700" w:type="dxa"/>
            <w:vAlign w:val="bottom"/>
          </w:tcPr>
          <w:p w14:paraId="1ACE1E4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w:t>
            </w:r>
          </w:p>
        </w:tc>
      </w:tr>
      <w:tr w:rsidR="00862C60" w14:paraId="1DD8C985" w14:textId="77777777" w:rsidTr="00862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3F5CC0D"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Asturias </w:t>
            </w:r>
          </w:p>
        </w:tc>
        <w:tc>
          <w:tcPr>
            <w:tcW w:w="1701" w:type="dxa"/>
            <w:vAlign w:val="bottom"/>
          </w:tcPr>
          <w:p w14:paraId="07A1CC6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1.895 €</w:t>
            </w:r>
          </w:p>
        </w:tc>
        <w:tc>
          <w:tcPr>
            <w:tcW w:w="1559" w:type="dxa"/>
            <w:vAlign w:val="bottom"/>
          </w:tcPr>
          <w:p w14:paraId="652ADE9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38AAEF0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12,9%</w:t>
            </w:r>
          </w:p>
        </w:tc>
        <w:tc>
          <w:tcPr>
            <w:tcW w:w="1700" w:type="dxa"/>
            <w:vAlign w:val="bottom"/>
          </w:tcPr>
          <w:p w14:paraId="10A17A2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-25,2%</w:t>
            </w:r>
          </w:p>
        </w:tc>
      </w:tr>
      <w:tr w:rsidR="00862C60" w14:paraId="1FE1A398" w14:textId="77777777" w:rsidTr="00862C6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0B7BD7F"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Cantabria </w:t>
            </w:r>
          </w:p>
        </w:tc>
        <w:tc>
          <w:tcPr>
            <w:tcW w:w="1701" w:type="dxa"/>
            <w:vAlign w:val="bottom"/>
          </w:tcPr>
          <w:p w14:paraId="43ED843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2.180 €</w:t>
            </w:r>
          </w:p>
        </w:tc>
        <w:tc>
          <w:tcPr>
            <w:tcW w:w="1559" w:type="dxa"/>
            <w:vAlign w:val="bottom"/>
          </w:tcPr>
          <w:p w14:paraId="09F6B623"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w:t>
            </w:r>
          </w:p>
        </w:tc>
        <w:tc>
          <w:tcPr>
            <w:tcW w:w="1701" w:type="dxa"/>
            <w:vAlign w:val="bottom"/>
          </w:tcPr>
          <w:p w14:paraId="58B6030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10,9%</w:t>
            </w:r>
          </w:p>
        </w:tc>
        <w:tc>
          <w:tcPr>
            <w:tcW w:w="1700" w:type="dxa"/>
            <w:vAlign w:val="bottom"/>
          </w:tcPr>
          <w:p w14:paraId="599E103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-14,0%</w:t>
            </w:r>
          </w:p>
        </w:tc>
      </w:tr>
      <w:tr w:rsidR="00862C60" w14:paraId="02EC229C" w14:textId="77777777" w:rsidTr="00862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E4DB0DF"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País Vasco </w:t>
            </w:r>
          </w:p>
        </w:tc>
        <w:tc>
          <w:tcPr>
            <w:tcW w:w="1701" w:type="dxa"/>
            <w:vAlign w:val="bottom"/>
          </w:tcPr>
          <w:p w14:paraId="75872CC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3.423 €</w:t>
            </w:r>
          </w:p>
        </w:tc>
        <w:tc>
          <w:tcPr>
            <w:tcW w:w="1559" w:type="dxa"/>
            <w:vAlign w:val="bottom"/>
          </w:tcPr>
          <w:p w14:paraId="5DCCEED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0,5%</w:t>
            </w:r>
          </w:p>
        </w:tc>
        <w:tc>
          <w:tcPr>
            <w:tcW w:w="1701" w:type="dxa"/>
            <w:vAlign w:val="bottom"/>
          </w:tcPr>
          <w:p w14:paraId="19F3520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8,9%</w:t>
            </w:r>
          </w:p>
        </w:tc>
        <w:tc>
          <w:tcPr>
            <w:tcW w:w="1700" w:type="dxa"/>
            <w:vAlign w:val="bottom"/>
          </w:tcPr>
          <w:p w14:paraId="269D7DB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35,1%</w:t>
            </w:r>
          </w:p>
        </w:tc>
      </w:tr>
      <w:tr w:rsidR="00862C60" w14:paraId="3B47536F" w14:textId="77777777" w:rsidTr="00862C6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7F86156"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1701" w:type="dxa"/>
            <w:vAlign w:val="bottom"/>
          </w:tcPr>
          <w:p w14:paraId="4EBAEF9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1.907 €</w:t>
            </w:r>
          </w:p>
        </w:tc>
        <w:tc>
          <w:tcPr>
            <w:tcW w:w="1559" w:type="dxa"/>
            <w:vAlign w:val="bottom"/>
          </w:tcPr>
          <w:p w14:paraId="7486726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64DFF7F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8,6%</w:t>
            </w:r>
          </w:p>
        </w:tc>
        <w:tc>
          <w:tcPr>
            <w:tcW w:w="1700" w:type="dxa"/>
            <w:vAlign w:val="bottom"/>
          </w:tcPr>
          <w:p w14:paraId="7F38A60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-24,7%</w:t>
            </w:r>
          </w:p>
        </w:tc>
      </w:tr>
      <w:tr w:rsidR="00862C60" w14:paraId="31C2453F" w14:textId="77777777" w:rsidTr="00862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A5895FA"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Cataluña </w:t>
            </w:r>
          </w:p>
        </w:tc>
        <w:tc>
          <w:tcPr>
            <w:tcW w:w="1701" w:type="dxa"/>
            <w:vAlign w:val="bottom"/>
          </w:tcPr>
          <w:p w14:paraId="737E6AB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2.954 €</w:t>
            </w:r>
          </w:p>
        </w:tc>
        <w:tc>
          <w:tcPr>
            <w:tcW w:w="1559" w:type="dxa"/>
            <w:vAlign w:val="bottom"/>
          </w:tcPr>
          <w:p w14:paraId="53CFDE18"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688817C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5,9%</w:t>
            </w:r>
          </w:p>
        </w:tc>
        <w:tc>
          <w:tcPr>
            <w:tcW w:w="1700" w:type="dxa"/>
            <w:vAlign w:val="bottom"/>
          </w:tcPr>
          <w:p w14:paraId="480638E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w:t>
            </w:r>
          </w:p>
        </w:tc>
      </w:tr>
      <w:tr w:rsidR="00862C60" w14:paraId="6770E461" w14:textId="77777777" w:rsidTr="00862C6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4E74C5F"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 y León </w:t>
            </w:r>
          </w:p>
        </w:tc>
        <w:tc>
          <w:tcPr>
            <w:tcW w:w="1701" w:type="dxa"/>
            <w:vAlign w:val="bottom"/>
          </w:tcPr>
          <w:p w14:paraId="38697AC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1.580 €</w:t>
            </w:r>
          </w:p>
        </w:tc>
        <w:tc>
          <w:tcPr>
            <w:tcW w:w="1559" w:type="dxa"/>
            <w:vAlign w:val="bottom"/>
          </w:tcPr>
          <w:p w14:paraId="4197185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5C8D1CA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5,1%</w:t>
            </w:r>
          </w:p>
        </w:tc>
        <w:tc>
          <w:tcPr>
            <w:tcW w:w="1700" w:type="dxa"/>
            <w:vAlign w:val="bottom"/>
          </w:tcPr>
          <w:p w14:paraId="2C9190E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-37,6%</w:t>
            </w:r>
          </w:p>
        </w:tc>
      </w:tr>
      <w:tr w:rsidR="00862C60" w14:paraId="74313565" w14:textId="77777777" w:rsidTr="00862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0F63DB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1701" w:type="dxa"/>
            <w:vAlign w:val="bottom"/>
          </w:tcPr>
          <w:p w14:paraId="31ABA06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1.699 €</w:t>
            </w:r>
          </w:p>
        </w:tc>
        <w:tc>
          <w:tcPr>
            <w:tcW w:w="1559" w:type="dxa"/>
            <w:vAlign w:val="bottom"/>
          </w:tcPr>
          <w:p w14:paraId="20365FE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610AB0E8"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2,8%</w:t>
            </w:r>
          </w:p>
        </w:tc>
        <w:tc>
          <w:tcPr>
            <w:tcW w:w="1700" w:type="dxa"/>
            <w:vAlign w:val="bottom"/>
          </w:tcPr>
          <w:p w14:paraId="72319BC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-32,9%</w:t>
            </w:r>
          </w:p>
        </w:tc>
      </w:tr>
      <w:tr w:rsidR="00862C60" w14:paraId="6D222E52" w14:textId="77777777" w:rsidTr="00862C6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EDA4E51"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Navarra </w:t>
            </w:r>
          </w:p>
        </w:tc>
        <w:tc>
          <w:tcPr>
            <w:tcW w:w="1701" w:type="dxa"/>
            <w:vAlign w:val="bottom"/>
          </w:tcPr>
          <w:p w14:paraId="37FB3F2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2.071 €</w:t>
            </w:r>
          </w:p>
        </w:tc>
        <w:tc>
          <w:tcPr>
            <w:tcW w:w="1559" w:type="dxa"/>
            <w:vAlign w:val="bottom"/>
          </w:tcPr>
          <w:p w14:paraId="3CB3CC0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58A7469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w:t>
            </w:r>
          </w:p>
        </w:tc>
        <w:tc>
          <w:tcPr>
            <w:tcW w:w="1700" w:type="dxa"/>
            <w:vAlign w:val="bottom"/>
          </w:tcPr>
          <w:p w14:paraId="244B059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-18,2%</w:t>
            </w:r>
          </w:p>
        </w:tc>
      </w:tr>
      <w:tr w:rsidR="00862C60" w14:paraId="4F323278" w14:textId="77777777" w:rsidTr="00862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357F008"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Aragón </w:t>
            </w:r>
          </w:p>
        </w:tc>
        <w:tc>
          <w:tcPr>
            <w:tcW w:w="1701" w:type="dxa"/>
            <w:vAlign w:val="bottom"/>
          </w:tcPr>
          <w:p w14:paraId="6FA040A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1.751 €</w:t>
            </w:r>
          </w:p>
        </w:tc>
        <w:tc>
          <w:tcPr>
            <w:tcW w:w="1559" w:type="dxa"/>
            <w:vAlign w:val="bottom"/>
          </w:tcPr>
          <w:p w14:paraId="71DCB65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3B4BC44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w:t>
            </w:r>
          </w:p>
        </w:tc>
        <w:tc>
          <w:tcPr>
            <w:tcW w:w="1700" w:type="dxa"/>
            <w:vAlign w:val="bottom"/>
          </w:tcPr>
          <w:p w14:paraId="64B6ADB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-30,9%</w:t>
            </w:r>
          </w:p>
        </w:tc>
      </w:tr>
      <w:tr w:rsidR="00862C60" w14:paraId="4BA50F04" w14:textId="77777777" w:rsidTr="00862C60">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3C7174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Extremadura </w:t>
            </w:r>
          </w:p>
        </w:tc>
        <w:tc>
          <w:tcPr>
            <w:tcW w:w="1701" w:type="dxa"/>
            <w:vAlign w:val="bottom"/>
          </w:tcPr>
          <w:p w14:paraId="17D42DE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1.220 €</w:t>
            </w:r>
          </w:p>
        </w:tc>
        <w:tc>
          <w:tcPr>
            <w:tcW w:w="1559" w:type="dxa"/>
            <w:vAlign w:val="bottom"/>
          </w:tcPr>
          <w:p w14:paraId="41F0974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45E7913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0,6%</w:t>
            </w:r>
          </w:p>
        </w:tc>
        <w:tc>
          <w:tcPr>
            <w:tcW w:w="1700" w:type="dxa"/>
            <w:vAlign w:val="bottom"/>
          </w:tcPr>
          <w:p w14:paraId="5FBC08A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-51,9%</w:t>
            </w:r>
          </w:p>
        </w:tc>
      </w:tr>
      <w:tr w:rsidR="00862C60" w14:paraId="20A48E4A" w14:textId="77777777" w:rsidTr="00862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63DDB35"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Castilla-La Mancha </w:t>
            </w:r>
          </w:p>
        </w:tc>
        <w:tc>
          <w:tcPr>
            <w:tcW w:w="1701" w:type="dxa"/>
            <w:vAlign w:val="bottom"/>
          </w:tcPr>
          <w:p w14:paraId="5E0F300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1.191 €</w:t>
            </w:r>
          </w:p>
        </w:tc>
        <w:tc>
          <w:tcPr>
            <w:tcW w:w="1559" w:type="dxa"/>
            <w:vAlign w:val="bottom"/>
          </w:tcPr>
          <w:p w14:paraId="07B384F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0CFFF50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-2,2%</w:t>
            </w:r>
          </w:p>
        </w:tc>
        <w:tc>
          <w:tcPr>
            <w:tcW w:w="1700" w:type="dxa"/>
            <w:vAlign w:val="bottom"/>
          </w:tcPr>
          <w:p w14:paraId="5268FC5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-53,0%</w:t>
            </w:r>
          </w:p>
        </w:tc>
      </w:tr>
      <w:tr w:rsidR="00862C60" w14:paraId="422DFA3C" w14:textId="77777777" w:rsidTr="00862C60">
        <w:trPr>
          <w:trHeight w:val="260"/>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3F35EB5"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 xml:space="preserve"> España </w:t>
            </w:r>
          </w:p>
        </w:tc>
        <w:tc>
          <w:tcPr>
            <w:tcW w:w="1701" w:type="dxa"/>
            <w:vAlign w:val="bottom"/>
          </w:tcPr>
          <w:p w14:paraId="0A853DF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2.534 €</w:t>
            </w:r>
          </w:p>
        </w:tc>
        <w:tc>
          <w:tcPr>
            <w:tcW w:w="1559" w:type="dxa"/>
            <w:vAlign w:val="bottom"/>
          </w:tcPr>
          <w:p w14:paraId="34A6078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1,8%</w:t>
            </w:r>
          </w:p>
        </w:tc>
        <w:tc>
          <w:tcPr>
            <w:tcW w:w="1701" w:type="dxa"/>
            <w:vAlign w:val="bottom"/>
          </w:tcPr>
          <w:p w14:paraId="607B18E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11,7%</w:t>
            </w:r>
          </w:p>
        </w:tc>
        <w:tc>
          <w:tcPr>
            <w:tcW w:w="1700" w:type="dxa"/>
            <w:vAlign w:val="bottom"/>
          </w:tcPr>
          <w:p w14:paraId="6D787BB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r>
    </w:tbl>
    <w:p w14:paraId="78E5ADD4" w14:textId="77777777" w:rsidR="00862C60"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 xml:space="preserve">Provincias </w:t>
      </w:r>
    </w:p>
    <w:p w14:paraId="1E4A9CA6" w14:textId="77777777" w:rsidR="00862C60"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45 de las 50 provincias analizadas (en el 90%) sube el precio interanual de la vivienda en el mes de abril. En 15 provincias se supera el 10%, en concreto en Alicante (24,1%), Illes Balears (22,2%), Murcia (19,1%), Valencia (18,5%), Castellón (17,5%), Málaga (15,9%), Lugo (15,6%), Madrid (14,3%), Las Palmas (13,5%), Pontevedra (13,5%), Granada (12,9%), Asturias (12,9%), Cantabria (10,9%), Palencia (10,6%) y Cádiz (10,2%). Por otro lado, las provincias con descensos son Ávila (-5,0%), Soria (-1,7%), Albacete (-1,5%), Córdoba (-1,1%) y Ciudad Real (-0,1%).</w:t>
      </w:r>
    </w:p>
    <w:p w14:paraId="2F683EE2" w14:textId="77777777" w:rsidR="00862C60" w:rsidRDefault="00862C60">
      <w:pPr>
        <w:spacing w:line="276" w:lineRule="auto"/>
        <w:jc w:val="both"/>
        <w:rPr>
          <w:rFonts w:ascii="Open Sans" w:eastAsia="Open Sans" w:hAnsi="Open Sans" w:cs="Open Sans"/>
          <w:color w:val="000000"/>
        </w:rPr>
      </w:pPr>
    </w:p>
    <w:p w14:paraId="4D412EE1" w14:textId="77777777" w:rsidR="00862C60"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color w:val="000000"/>
        </w:rPr>
      </w:pPr>
      <w:r>
        <w:rPr>
          <w:rFonts w:ascii="Open Sans" w:eastAsia="Open Sans" w:hAnsi="Open Sans" w:cs="Open Sans"/>
          <w:color w:val="000000"/>
        </w:rPr>
        <w:t xml:space="preserve">En cuanto a los precios, Illes Balears, Madrid y Málaga han superado los 4.000 euros por metro cuadrado. </w:t>
      </w:r>
      <w:r>
        <w:rPr>
          <w:rFonts w:ascii="Open Sans" w:eastAsia="Open Sans" w:hAnsi="Open Sans" w:cs="Open Sans"/>
          <w:b/>
          <w:color w:val="000000"/>
        </w:rPr>
        <w:t>Las tres provincias con el precio más elevado son: Illes Balears es la provincia más cara con 4.907 euros/m</w:t>
      </w:r>
      <w:r>
        <w:rPr>
          <w:rFonts w:ascii="Open Sans" w:eastAsia="Open Sans" w:hAnsi="Open Sans" w:cs="Open Sans"/>
          <w:b/>
          <w:color w:val="000000"/>
          <w:vertAlign w:val="superscript"/>
        </w:rPr>
        <w:t>2</w:t>
      </w:r>
      <w:r>
        <w:rPr>
          <w:rFonts w:ascii="Open Sans" w:eastAsia="Open Sans" w:hAnsi="Open Sans" w:cs="Open Sans"/>
          <w:b/>
          <w:color w:val="000000"/>
        </w:rPr>
        <w:t>, seguida de Madrid con 4.624 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y Málaga con 4.101</w:t>
      </w:r>
      <w:r>
        <w:rPr>
          <w:rFonts w:ascii="Open Sans" w:eastAsia="Open Sans" w:hAnsi="Open Sans" w:cs="Open Sans"/>
          <w:color w:val="000000"/>
        </w:rPr>
        <w:t xml:space="preserve"> </w:t>
      </w:r>
      <w:r>
        <w:rPr>
          <w:rFonts w:ascii="Open Sans" w:eastAsia="Open Sans" w:hAnsi="Open Sans" w:cs="Open Sans"/>
          <w:b/>
          <w:color w:val="000000"/>
        </w:rPr>
        <w:t>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w:t>
      </w:r>
      <w:r>
        <w:rPr>
          <w:rFonts w:ascii="Open Sans" w:eastAsia="Open Sans" w:hAnsi="Open Sans" w:cs="Open Sans"/>
          <w:color w:val="000000"/>
        </w:rPr>
        <w:t>Por otro lado, la provincia con el precio por metro cuadrado por debajo de los 1.000 euros es Ciudad Real con 968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p w14:paraId="5661EE5F" w14:textId="0D264A95" w:rsidR="00F05959" w:rsidRPr="00F05959" w:rsidRDefault="00F05959" w:rsidP="00F05959">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color w:val="303AB2"/>
          <w:sz w:val="28"/>
          <w:szCs w:val="28"/>
        </w:rPr>
        <w:lastRenderedPageBreak/>
        <w:t>Precio de la vivienda por provincias</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862C60" w14:paraId="77E52BD5" w14:textId="77777777" w:rsidTr="00862C6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8B05237"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7F4EF812"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138FC08E"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0CDABE5D"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3EC5A0CB"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3EB66FA0"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862C60" w14:paraId="6A1527C6"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DCF7AFF"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4" w:type="dxa"/>
            <w:vAlign w:val="bottom"/>
          </w:tcPr>
          <w:p w14:paraId="0BAE62C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2.643 €</w:t>
            </w:r>
          </w:p>
        </w:tc>
        <w:tc>
          <w:tcPr>
            <w:tcW w:w="1559" w:type="dxa"/>
            <w:vAlign w:val="bottom"/>
          </w:tcPr>
          <w:p w14:paraId="3C10337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3,2%</w:t>
            </w:r>
          </w:p>
        </w:tc>
        <w:tc>
          <w:tcPr>
            <w:tcW w:w="1701" w:type="dxa"/>
            <w:vAlign w:val="bottom"/>
          </w:tcPr>
          <w:p w14:paraId="5493983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24,1%</w:t>
            </w:r>
          </w:p>
        </w:tc>
        <w:tc>
          <w:tcPr>
            <w:tcW w:w="1700" w:type="dxa"/>
            <w:vAlign w:val="bottom"/>
          </w:tcPr>
          <w:p w14:paraId="3D43B8C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862C60" w14:paraId="79E0E0E6"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A3C39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4D92C6C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4.907 €</w:t>
            </w:r>
          </w:p>
        </w:tc>
        <w:tc>
          <w:tcPr>
            <w:tcW w:w="1559" w:type="dxa"/>
            <w:vAlign w:val="bottom"/>
          </w:tcPr>
          <w:p w14:paraId="12E09B1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9C0006"/>
                <w:sz w:val="22"/>
                <w:szCs w:val="22"/>
              </w:rPr>
              <w:t>-1,3%</w:t>
            </w:r>
          </w:p>
        </w:tc>
        <w:tc>
          <w:tcPr>
            <w:tcW w:w="1701" w:type="dxa"/>
            <w:vAlign w:val="bottom"/>
          </w:tcPr>
          <w:p w14:paraId="4DAB3A5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22,2%</w:t>
            </w:r>
          </w:p>
        </w:tc>
        <w:tc>
          <w:tcPr>
            <w:tcW w:w="1700" w:type="dxa"/>
            <w:vAlign w:val="bottom"/>
          </w:tcPr>
          <w:p w14:paraId="3CEA0C2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93,7%</w:t>
            </w:r>
          </w:p>
        </w:tc>
      </w:tr>
      <w:tr w:rsidR="00862C60" w14:paraId="5E700954"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20C241"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5AC9044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1.598 €</w:t>
            </w:r>
          </w:p>
        </w:tc>
        <w:tc>
          <w:tcPr>
            <w:tcW w:w="1559" w:type="dxa"/>
            <w:vAlign w:val="bottom"/>
          </w:tcPr>
          <w:p w14:paraId="6CB5779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08B9183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19,1%</w:t>
            </w:r>
          </w:p>
        </w:tc>
        <w:tc>
          <w:tcPr>
            <w:tcW w:w="1700" w:type="dxa"/>
            <w:vAlign w:val="bottom"/>
          </w:tcPr>
          <w:p w14:paraId="3FE20F4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-36,9%</w:t>
            </w:r>
          </w:p>
        </w:tc>
      </w:tr>
      <w:tr w:rsidR="00862C60" w14:paraId="154F0B42"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B22B7C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4DF0319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1.993 €</w:t>
            </w:r>
          </w:p>
        </w:tc>
        <w:tc>
          <w:tcPr>
            <w:tcW w:w="1559" w:type="dxa"/>
            <w:vAlign w:val="bottom"/>
          </w:tcPr>
          <w:p w14:paraId="12AB5CD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701" w:type="dxa"/>
            <w:vAlign w:val="bottom"/>
          </w:tcPr>
          <w:p w14:paraId="5314E4D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18,5%</w:t>
            </w:r>
          </w:p>
        </w:tc>
        <w:tc>
          <w:tcPr>
            <w:tcW w:w="1700" w:type="dxa"/>
            <w:vAlign w:val="bottom"/>
          </w:tcPr>
          <w:p w14:paraId="639CE6C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-21,3%</w:t>
            </w:r>
          </w:p>
        </w:tc>
      </w:tr>
      <w:tr w:rsidR="00862C60" w14:paraId="7A9744A7"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46FB31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1C35C06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1.522 €</w:t>
            </w:r>
          </w:p>
        </w:tc>
        <w:tc>
          <w:tcPr>
            <w:tcW w:w="1559" w:type="dxa"/>
            <w:vAlign w:val="bottom"/>
          </w:tcPr>
          <w:p w14:paraId="5523542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4761795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17,5%</w:t>
            </w:r>
          </w:p>
        </w:tc>
        <w:tc>
          <w:tcPr>
            <w:tcW w:w="1700" w:type="dxa"/>
            <w:vAlign w:val="bottom"/>
          </w:tcPr>
          <w:p w14:paraId="01782E5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-39,9%</w:t>
            </w:r>
          </w:p>
        </w:tc>
      </w:tr>
      <w:tr w:rsidR="00862C60" w14:paraId="2D082B82"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831B495"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45E9652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4.101 €</w:t>
            </w:r>
          </w:p>
        </w:tc>
        <w:tc>
          <w:tcPr>
            <w:tcW w:w="1559" w:type="dxa"/>
            <w:vAlign w:val="bottom"/>
          </w:tcPr>
          <w:p w14:paraId="25DAB61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5288E5F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15,9%</w:t>
            </w:r>
          </w:p>
        </w:tc>
        <w:tc>
          <w:tcPr>
            <w:tcW w:w="1700" w:type="dxa"/>
            <w:vAlign w:val="bottom"/>
          </w:tcPr>
          <w:p w14:paraId="68EB7C3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61,9%</w:t>
            </w:r>
          </w:p>
        </w:tc>
      </w:tr>
      <w:tr w:rsidR="00862C60" w14:paraId="204CA7E3"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D79ED8C"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399AED1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1.463 €</w:t>
            </w:r>
          </w:p>
        </w:tc>
        <w:tc>
          <w:tcPr>
            <w:tcW w:w="1559" w:type="dxa"/>
            <w:vAlign w:val="bottom"/>
          </w:tcPr>
          <w:p w14:paraId="0786BEB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5750064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15,6%</w:t>
            </w:r>
          </w:p>
        </w:tc>
        <w:tc>
          <w:tcPr>
            <w:tcW w:w="1700" w:type="dxa"/>
            <w:vAlign w:val="bottom"/>
          </w:tcPr>
          <w:p w14:paraId="340E367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-42,2%</w:t>
            </w:r>
          </w:p>
        </w:tc>
      </w:tr>
      <w:tr w:rsidR="00862C60" w14:paraId="6A7CEA5A"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7D16078"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766EAD7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4.624 €</w:t>
            </w:r>
          </w:p>
        </w:tc>
        <w:tc>
          <w:tcPr>
            <w:tcW w:w="1559" w:type="dxa"/>
            <w:vAlign w:val="bottom"/>
          </w:tcPr>
          <w:p w14:paraId="0F0282B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6E5D1B9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14,3%</w:t>
            </w:r>
          </w:p>
        </w:tc>
        <w:tc>
          <w:tcPr>
            <w:tcW w:w="1700" w:type="dxa"/>
            <w:vAlign w:val="bottom"/>
          </w:tcPr>
          <w:p w14:paraId="04F9494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82,5%</w:t>
            </w:r>
          </w:p>
        </w:tc>
      </w:tr>
      <w:tr w:rsidR="00862C60" w14:paraId="5412B805"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5377C6D"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4CAD337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2.455 €</w:t>
            </w:r>
          </w:p>
        </w:tc>
        <w:tc>
          <w:tcPr>
            <w:tcW w:w="1559" w:type="dxa"/>
            <w:vAlign w:val="bottom"/>
          </w:tcPr>
          <w:p w14:paraId="2B9D571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4E220F6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13,5%</w:t>
            </w:r>
          </w:p>
        </w:tc>
        <w:tc>
          <w:tcPr>
            <w:tcW w:w="1700" w:type="dxa"/>
            <w:vAlign w:val="bottom"/>
          </w:tcPr>
          <w:p w14:paraId="0BB5AF4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r>
      <w:tr w:rsidR="00862C60" w14:paraId="61A57166"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D2A879B"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13A145D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2.383 €</w:t>
            </w:r>
          </w:p>
        </w:tc>
        <w:tc>
          <w:tcPr>
            <w:tcW w:w="1559" w:type="dxa"/>
            <w:vAlign w:val="bottom"/>
          </w:tcPr>
          <w:p w14:paraId="2D0003D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749F5F2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13,5%</w:t>
            </w:r>
          </w:p>
        </w:tc>
        <w:tc>
          <w:tcPr>
            <w:tcW w:w="1700" w:type="dxa"/>
            <w:vAlign w:val="bottom"/>
          </w:tcPr>
          <w:p w14:paraId="211299D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-5,9%</w:t>
            </w:r>
          </w:p>
        </w:tc>
      </w:tr>
      <w:tr w:rsidR="00862C60" w14:paraId="254A1739"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2FC4626"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431BEF7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2.282 €</w:t>
            </w:r>
          </w:p>
        </w:tc>
        <w:tc>
          <w:tcPr>
            <w:tcW w:w="1559" w:type="dxa"/>
            <w:vAlign w:val="bottom"/>
          </w:tcPr>
          <w:p w14:paraId="21BE123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701" w:type="dxa"/>
            <w:vAlign w:val="bottom"/>
          </w:tcPr>
          <w:p w14:paraId="13CD1F4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12,9%</w:t>
            </w:r>
          </w:p>
        </w:tc>
        <w:tc>
          <w:tcPr>
            <w:tcW w:w="1700" w:type="dxa"/>
            <w:vAlign w:val="bottom"/>
          </w:tcPr>
          <w:p w14:paraId="3F36683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-9,9%</w:t>
            </w:r>
          </w:p>
        </w:tc>
      </w:tr>
      <w:tr w:rsidR="00862C60" w14:paraId="4AC505AD"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669B37C"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4017645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1.895 €</w:t>
            </w:r>
          </w:p>
        </w:tc>
        <w:tc>
          <w:tcPr>
            <w:tcW w:w="1559" w:type="dxa"/>
            <w:vAlign w:val="bottom"/>
          </w:tcPr>
          <w:p w14:paraId="5C71B56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1148E8B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12,9%</w:t>
            </w:r>
          </w:p>
        </w:tc>
        <w:tc>
          <w:tcPr>
            <w:tcW w:w="1700" w:type="dxa"/>
            <w:vAlign w:val="bottom"/>
          </w:tcPr>
          <w:p w14:paraId="3513919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-25,2%</w:t>
            </w:r>
          </w:p>
        </w:tc>
      </w:tr>
      <w:tr w:rsidR="00862C60" w14:paraId="5A01C281"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377A40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1FDD574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2.180 €</w:t>
            </w:r>
          </w:p>
        </w:tc>
        <w:tc>
          <w:tcPr>
            <w:tcW w:w="1559" w:type="dxa"/>
            <w:vAlign w:val="bottom"/>
          </w:tcPr>
          <w:p w14:paraId="0969D60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3C44637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10,9%</w:t>
            </w:r>
          </w:p>
        </w:tc>
        <w:tc>
          <w:tcPr>
            <w:tcW w:w="1700" w:type="dxa"/>
            <w:vAlign w:val="bottom"/>
          </w:tcPr>
          <w:p w14:paraId="26A9C54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-14,0%</w:t>
            </w:r>
          </w:p>
        </w:tc>
      </w:tr>
      <w:tr w:rsidR="00862C60" w14:paraId="59B97949"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08FB1EC"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73A9632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1.551 €</w:t>
            </w:r>
          </w:p>
        </w:tc>
        <w:tc>
          <w:tcPr>
            <w:tcW w:w="1559" w:type="dxa"/>
            <w:vAlign w:val="bottom"/>
          </w:tcPr>
          <w:p w14:paraId="444DC6C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76CEB00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10,6%</w:t>
            </w:r>
          </w:p>
        </w:tc>
        <w:tc>
          <w:tcPr>
            <w:tcW w:w="1700" w:type="dxa"/>
            <w:vAlign w:val="bottom"/>
          </w:tcPr>
          <w:p w14:paraId="7244F00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-38,8%</w:t>
            </w:r>
          </w:p>
        </w:tc>
      </w:tr>
      <w:tr w:rsidR="00862C60" w14:paraId="7564E69A"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B6ED4A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25E0595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2.117 €</w:t>
            </w:r>
          </w:p>
        </w:tc>
        <w:tc>
          <w:tcPr>
            <w:tcW w:w="1559" w:type="dxa"/>
            <w:vAlign w:val="bottom"/>
          </w:tcPr>
          <w:p w14:paraId="2AD1310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3653D1F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10,2%</w:t>
            </w:r>
          </w:p>
        </w:tc>
        <w:tc>
          <w:tcPr>
            <w:tcW w:w="1700" w:type="dxa"/>
            <w:vAlign w:val="bottom"/>
          </w:tcPr>
          <w:p w14:paraId="48AB799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-16,4%</w:t>
            </w:r>
          </w:p>
        </w:tc>
      </w:tr>
      <w:tr w:rsidR="00862C60" w14:paraId="25237CFE"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AEFA41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16771A3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3.891 €</w:t>
            </w:r>
          </w:p>
        </w:tc>
        <w:tc>
          <w:tcPr>
            <w:tcW w:w="1559" w:type="dxa"/>
            <w:vAlign w:val="bottom"/>
          </w:tcPr>
          <w:p w14:paraId="72348BB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64E1A58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9,0%</w:t>
            </w:r>
          </w:p>
        </w:tc>
        <w:tc>
          <w:tcPr>
            <w:tcW w:w="1700" w:type="dxa"/>
            <w:vAlign w:val="bottom"/>
          </w:tcPr>
          <w:p w14:paraId="3F97299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53,6%</w:t>
            </w:r>
          </w:p>
        </w:tc>
      </w:tr>
      <w:tr w:rsidR="00862C60" w14:paraId="16393CC4"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D7EEEC5"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699AD4E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3.163 €</w:t>
            </w:r>
          </w:p>
        </w:tc>
        <w:tc>
          <w:tcPr>
            <w:tcW w:w="1559" w:type="dxa"/>
            <w:vAlign w:val="bottom"/>
          </w:tcPr>
          <w:p w14:paraId="73E5A95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4C9EFE4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8,7%</w:t>
            </w:r>
          </w:p>
        </w:tc>
        <w:tc>
          <w:tcPr>
            <w:tcW w:w="1700" w:type="dxa"/>
            <w:vAlign w:val="bottom"/>
          </w:tcPr>
          <w:p w14:paraId="0A8E755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24,8%</w:t>
            </w:r>
          </w:p>
        </w:tc>
      </w:tr>
      <w:tr w:rsidR="00862C60" w14:paraId="372E754C"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DCE5B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3165BEB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3.296 €</w:t>
            </w:r>
          </w:p>
        </w:tc>
        <w:tc>
          <w:tcPr>
            <w:tcW w:w="1559" w:type="dxa"/>
            <w:vAlign w:val="bottom"/>
          </w:tcPr>
          <w:p w14:paraId="2752BB3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2BE4F80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8,2%</w:t>
            </w:r>
          </w:p>
        </w:tc>
        <w:tc>
          <w:tcPr>
            <w:tcW w:w="1700" w:type="dxa"/>
            <w:vAlign w:val="bottom"/>
          </w:tcPr>
          <w:p w14:paraId="0A0D317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30,1%</w:t>
            </w:r>
          </w:p>
        </w:tc>
      </w:tr>
      <w:tr w:rsidR="00862C60" w14:paraId="42A3B215"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C56B5C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7587A27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1.553 €</w:t>
            </w:r>
          </w:p>
        </w:tc>
        <w:tc>
          <w:tcPr>
            <w:tcW w:w="1559" w:type="dxa"/>
            <w:vAlign w:val="bottom"/>
          </w:tcPr>
          <w:p w14:paraId="6F7000D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36DD746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8,0%</w:t>
            </w:r>
          </w:p>
        </w:tc>
        <w:tc>
          <w:tcPr>
            <w:tcW w:w="1700" w:type="dxa"/>
            <w:vAlign w:val="bottom"/>
          </w:tcPr>
          <w:p w14:paraId="68C758B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-38,7%</w:t>
            </w:r>
          </w:p>
        </w:tc>
      </w:tr>
      <w:tr w:rsidR="00862C60" w14:paraId="593C6CE3"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F3B9A8"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4D26165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1.876 €</w:t>
            </w:r>
          </w:p>
        </w:tc>
        <w:tc>
          <w:tcPr>
            <w:tcW w:w="1559" w:type="dxa"/>
            <w:vAlign w:val="bottom"/>
          </w:tcPr>
          <w:p w14:paraId="49338C7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01" w:type="dxa"/>
            <w:vAlign w:val="bottom"/>
          </w:tcPr>
          <w:p w14:paraId="59A0F6B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7,4%</w:t>
            </w:r>
          </w:p>
        </w:tc>
        <w:tc>
          <w:tcPr>
            <w:tcW w:w="1700" w:type="dxa"/>
            <w:vAlign w:val="bottom"/>
          </w:tcPr>
          <w:p w14:paraId="0F26A95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-25,9%</w:t>
            </w:r>
          </w:p>
        </w:tc>
      </w:tr>
      <w:tr w:rsidR="00862C60" w14:paraId="0A11563A"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E2A365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347303A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1.741 €</w:t>
            </w:r>
          </w:p>
        </w:tc>
        <w:tc>
          <w:tcPr>
            <w:tcW w:w="1559" w:type="dxa"/>
            <w:vAlign w:val="bottom"/>
          </w:tcPr>
          <w:p w14:paraId="3B5F7D3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701" w:type="dxa"/>
            <w:vAlign w:val="bottom"/>
          </w:tcPr>
          <w:p w14:paraId="5953DAF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6,9%</w:t>
            </w:r>
          </w:p>
        </w:tc>
        <w:tc>
          <w:tcPr>
            <w:tcW w:w="1700" w:type="dxa"/>
            <w:vAlign w:val="bottom"/>
          </w:tcPr>
          <w:p w14:paraId="0103CE6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-31,3%</w:t>
            </w:r>
          </w:p>
        </w:tc>
      </w:tr>
      <w:tr w:rsidR="00862C60" w14:paraId="7B9BB230"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25B3A1"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7F69148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1.596 €</w:t>
            </w:r>
          </w:p>
        </w:tc>
        <w:tc>
          <w:tcPr>
            <w:tcW w:w="1559" w:type="dxa"/>
            <w:vAlign w:val="bottom"/>
          </w:tcPr>
          <w:p w14:paraId="7D4613F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047944D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6,8%</w:t>
            </w:r>
          </w:p>
        </w:tc>
        <w:tc>
          <w:tcPr>
            <w:tcW w:w="1700" w:type="dxa"/>
            <w:vAlign w:val="bottom"/>
          </w:tcPr>
          <w:p w14:paraId="3B53096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-37,0%</w:t>
            </w:r>
          </w:p>
        </w:tc>
      </w:tr>
      <w:tr w:rsidR="00862C60" w14:paraId="678CDE6B"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0FE77B"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40301FE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1.440 €</w:t>
            </w:r>
          </w:p>
        </w:tc>
        <w:tc>
          <w:tcPr>
            <w:tcW w:w="1559" w:type="dxa"/>
            <w:vAlign w:val="bottom"/>
          </w:tcPr>
          <w:p w14:paraId="11444F3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04A08FB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w:t>
            </w:r>
          </w:p>
        </w:tc>
        <w:tc>
          <w:tcPr>
            <w:tcW w:w="1700" w:type="dxa"/>
            <w:vAlign w:val="bottom"/>
          </w:tcPr>
          <w:p w14:paraId="1EB6D818"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-43,2%</w:t>
            </w:r>
          </w:p>
        </w:tc>
      </w:tr>
      <w:tr w:rsidR="00862C60" w14:paraId="34538730"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23D969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2FC647D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1.828 €</w:t>
            </w:r>
          </w:p>
        </w:tc>
        <w:tc>
          <w:tcPr>
            <w:tcW w:w="1559" w:type="dxa"/>
            <w:vAlign w:val="bottom"/>
          </w:tcPr>
          <w:p w14:paraId="64BFC78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2C570CA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c>
          <w:tcPr>
            <w:tcW w:w="1700" w:type="dxa"/>
            <w:vAlign w:val="bottom"/>
          </w:tcPr>
          <w:p w14:paraId="228DC88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-27,8%</w:t>
            </w:r>
          </w:p>
        </w:tc>
      </w:tr>
      <w:tr w:rsidR="00862C60" w14:paraId="59A3BB59"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3761E9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6580851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1.623 €</w:t>
            </w:r>
          </w:p>
        </w:tc>
        <w:tc>
          <w:tcPr>
            <w:tcW w:w="1559" w:type="dxa"/>
            <w:vAlign w:val="bottom"/>
          </w:tcPr>
          <w:p w14:paraId="0E7F5F7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1" w:type="dxa"/>
            <w:vAlign w:val="bottom"/>
          </w:tcPr>
          <w:p w14:paraId="477EE97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c>
          <w:tcPr>
            <w:tcW w:w="1700" w:type="dxa"/>
            <w:vAlign w:val="bottom"/>
          </w:tcPr>
          <w:p w14:paraId="6AD0719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-35,9%</w:t>
            </w:r>
          </w:p>
        </w:tc>
      </w:tr>
      <w:tr w:rsidR="00862C60" w14:paraId="35A525BD"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9573665"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21CEC49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1.470 €</w:t>
            </w:r>
          </w:p>
        </w:tc>
        <w:tc>
          <w:tcPr>
            <w:tcW w:w="1559" w:type="dxa"/>
            <w:vAlign w:val="bottom"/>
          </w:tcPr>
          <w:p w14:paraId="1457BC8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c>
          <w:tcPr>
            <w:tcW w:w="1701" w:type="dxa"/>
            <w:vAlign w:val="bottom"/>
          </w:tcPr>
          <w:p w14:paraId="04E8565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c>
          <w:tcPr>
            <w:tcW w:w="1700" w:type="dxa"/>
            <w:vAlign w:val="bottom"/>
          </w:tcPr>
          <w:p w14:paraId="6044420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-42,0%</w:t>
            </w:r>
          </w:p>
        </w:tc>
      </w:tr>
      <w:tr w:rsidR="00862C60" w14:paraId="3755D110"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BA5836D"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37AFB62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1.353 €</w:t>
            </w:r>
          </w:p>
        </w:tc>
        <w:tc>
          <w:tcPr>
            <w:tcW w:w="1559" w:type="dxa"/>
            <w:vAlign w:val="bottom"/>
          </w:tcPr>
          <w:p w14:paraId="6AECC46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1838488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c>
          <w:tcPr>
            <w:tcW w:w="1700" w:type="dxa"/>
            <w:vAlign w:val="bottom"/>
          </w:tcPr>
          <w:p w14:paraId="42439FC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-46,6%</w:t>
            </w:r>
          </w:p>
        </w:tc>
      </w:tr>
      <w:tr w:rsidR="00862C60" w14:paraId="2357F656"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24233F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70D187A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3.254 €</w:t>
            </w:r>
          </w:p>
        </w:tc>
        <w:tc>
          <w:tcPr>
            <w:tcW w:w="1559" w:type="dxa"/>
            <w:vAlign w:val="bottom"/>
          </w:tcPr>
          <w:p w14:paraId="314E704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293646C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c>
          <w:tcPr>
            <w:tcW w:w="1700" w:type="dxa"/>
            <w:vAlign w:val="bottom"/>
          </w:tcPr>
          <w:p w14:paraId="2247461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28,4%</w:t>
            </w:r>
          </w:p>
        </w:tc>
      </w:tr>
      <w:tr w:rsidR="00862C60" w14:paraId="5B3C5669"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091F3E6"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7A4669E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1.630 €</w:t>
            </w:r>
          </w:p>
        </w:tc>
        <w:tc>
          <w:tcPr>
            <w:tcW w:w="1559" w:type="dxa"/>
            <w:vAlign w:val="bottom"/>
          </w:tcPr>
          <w:p w14:paraId="7A5AFC8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701" w:type="dxa"/>
            <w:vAlign w:val="bottom"/>
          </w:tcPr>
          <w:p w14:paraId="0F975C8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c>
          <w:tcPr>
            <w:tcW w:w="1700" w:type="dxa"/>
            <w:vAlign w:val="bottom"/>
          </w:tcPr>
          <w:p w14:paraId="3CC48C0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-35,6%</w:t>
            </w:r>
          </w:p>
        </w:tc>
      </w:tr>
      <w:tr w:rsidR="00862C60" w14:paraId="37CE0552"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4CBD5A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0ACF796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2.736 €</w:t>
            </w:r>
          </w:p>
        </w:tc>
        <w:tc>
          <w:tcPr>
            <w:tcW w:w="1559" w:type="dxa"/>
            <w:vAlign w:val="bottom"/>
          </w:tcPr>
          <w:p w14:paraId="5470235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6D0823F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c>
          <w:tcPr>
            <w:tcW w:w="1700" w:type="dxa"/>
            <w:vAlign w:val="bottom"/>
          </w:tcPr>
          <w:p w14:paraId="6C59458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862C60" w14:paraId="1029EAD1"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5AEDF3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50B57B2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1.248 €</w:t>
            </w:r>
          </w:p>
        </w:tc>
        <w:tc>
          <w:tcPr>
            <w:tcW w:w="1559" w:type="dxa"/>
            <w:vAlign w:val="bottom"/>
          </w:tcPr>
          <w:p w14:paraId="5D422F8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4F2730C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w:t>
            </w:r>
          </w:p>
        </w:tc>
        <w:tc>
          <w:tcPr>
            <w:tcW w:w="1700" w:type="dxa"/>
            <w:vAlign w:val="bottom"/>
          </w:tcPr>
          <w:p w14:paraId="2D86319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-50,7%</w:t>
            </w:r>
          </w:p>
        </w:tc>
      </w:tr>
      <w:tr w:rsidR="00862C60" w14:paraId="0D0BB8E3"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3220FCB"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3CC4BD9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1.811 €</w:t>
            </w:r>
          </w:p>
        </w:tc>
        <w:tc>
          <w:tcPr>
            <w:tcW w:w="1559" w:type="dxa"/>
            <w:vAlign w:val="bottom"/>
          </w:tcPr>
          <w:p w14:paraId="62AABB7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4AE7EF5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w:t>
            </w:r>
          </w:p>
        </w:tc>
        <w:tc>
          <w:tcPr>
            <w:tcW w:w="1700" w:type="dxa"/>
            <w:vAlign w:val="bottom"/>
          </w:tcPr>
          <w:p w14:paraId="3ED5041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-28,5%</w:t>
            </w:r>
          </w:p>
        </w:tc>
      </w:tr>
      <w:tr w:rsidR="00862C60" w14:paraId="1A09B93D"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C0829B"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155F393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2.750 €</w:t>
            </w:r>
          </w:p>
        </w:tc>
        <w:tc>
          <w:tcPr>
            <w:tcW w:w="1559" w:type="dxa"/>
            <w:vAlign w:val="bottom"/>
          </w:tcPr>
          <w:p w14:paraId="0123DD9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57F78F3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c>
          <w:tcPr>
            <w:tcW w:w="1700" w:type="dxa"/>
            <w:vAlign w:val="bottom"/>
          </w:tcPr>
          <w:p w14:paraId="4F3E09C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862C60" w14:paraId="3D5A3DDA"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2141781"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57D6682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1.644 €</w:t>
            </w:r>
          </w:p>
        </w:tc>
        <w:tc>
          <w:tcPr>
            <w:tcW w:w="1559" w:type="dxa"/>
            <w:vAlign w:val="bottom"/>
          </w:tcPr>
          <w:p w14:paraId="5765CA0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c>
          <w:tcPr>
            <w:tcW w:w="1701" w:type="dxa"/>
            <w:vAlign w:val="bottom"/>
          </w:tcPr>
          <w:p w14:paraId="7703572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c>
          <w:tcPr>
            <w:tcW w:w="1700" w:type="dxa"/>
            <w:vAlign w:val="bottom"/>
          </w:tcPr>
          <w:p w14:paraId="5634A993"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-35,1%</w:t>
            </w:r>
          </w:p>
        </w:tc>
      </w:tr>
      <w:tr w:rsidR="00862C60" w14:paraId="0FDB12E0"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A0398A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4" w:type="dxa"/>
            <w:vAlign w:val="bottom"/>
          </w:tcPr>
          <w:p w14:paraId="070525C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1.934 €</w:t>
            </w:r>
          </w:p>
        </w:tc>
        <w:tc>
          <w:tcPr>
            <w:tcW w:w="1559" w:type="dxa"/>
            <w:vAlign w:val="bottom"/>
          </w:tcPr>
          <w:p w14:paraId="6B87F41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59AC5FF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c>
          <w:tcPr>
            <w:tcW w:w="1700" w:type="dxa"/>
            <w:vAlign w:val="bottom"/>
          </w:tcPr>
          <w:p w14:paraId="44EB3EF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-23,7%</w:t>
            </w:r>
          </w:p>
        </w:tc>
      </w:tr>
      <w:tr w:rsidR="00862C60" w14:paraId="2BFA650C"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26FD4F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774B084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1.906 €</w:t>
            </w:r>
          </w:p>
        </w:tc>
        <w:tc>
          <w:tcPr>
            <w:tcW w:w="1559" w:type="dxa"/>
            <w:vAlign w:val="bottom"/>
          </w:tcPr>
          <w:p w14:paraId="1488D313"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6016468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1700" w:type="dxa"/>
            <w:vAlign w:val="bottom"/>
          </w:tcPr>
          <w:p w14:paraId="519DC0C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-24,8%</w:t>
            </w:r>
          </w:p>
        </w:tc>
      </w:tr>
      <w:tr w:rsidR="00862C60" w14:paraId="0FF9B8AD"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033867"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5697A65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1.237 €</w:t>
            </w:r>
          </w:p>
        </w:tc>
        <w:tc>
          <w:tcPr>
            <w:tcW w:w="1559" w:type="dxa"/>
            <w:vAlign w:val="bottom"/>
          </w:tcPr>
          <w:p w14:paraId="12D5A9D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29E2044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700" w:type="dxa"/>
            <w:vAlign w:val="bottom"/>
          </w:tcPr>
          <w:p w14:paraId="5ECA3FA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-51,2%</w:t>
            </w:r>
          </w:p>
        </w:tc>
      </w:tr>
      <w:tr w:rsidR="00862C60" w14:paraId="29060987"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A2E7CB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6474723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1.699 €</w:t>
            </w:r>
          </w:p>
        </w:tc>
        <w:tc>
          <w:tcPr>
            <w:tcW w:w="1559" w:type="dxa"/>
            <w:vAlign w:val="bottom"/>
          </w:tcPr>
          <w:p w14:paraId="624DB4A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5A18C90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700" w:type="dxa"/>
            <w:vAlign w:val="bottom"/>
          </w:tcPr>
          <w:p w14:paraId="03E5FC2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-32,9%</w:t>
            </w:r>
          </w:p>
        </w:tc>
      </w:tr>
      <w:tr w:rsidR="00862C60" w14:paraId="7A433A47"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7A858D5"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Zaragoza</w:t>
            </w:r>
          </w:p>
        </w:tc>
        <w:tc>
          <w:tcPr>
            <w:tcW w:w="1984" w:type="dxa"/>
            <w:vAlign w:val="bottom"/>
          </w:tcPr>
          <w:p w14:paraId="4064C69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1.826 €</w:t>
            </w:r>
          </w:p>
        </w:tc>
        <w:tc>
          <w:tcPr>
            <w:tcW w:w="1559" w:type="dxa"/>
            <w:vAlign w:val="bottom"/>
          </w:tcPr>
          <w:p w14:paraId="75232ED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701" w:type="dxa"/>
            <w:vAlign w:val="bottom"/>
          </w:tcPr>
          <w:p w14:paraId="61C92A2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w:t>
            </w:r>
          </w:p>
        </w:tc>
        <w:tc>
          <w:tcPr>
            <w:tcW w:w="1700" w:type="dxa"/>
            <w:vAlign w:val="bottom"/>
          </w:tcPr>
          <w:p w14:paraId="7D63D73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-27,9%</w:t>
            </w:r>
          </w:p>
        </w:tc>
      </w:tr>
      <w:tr w:rsidR="00862C60" w14:paraId="4D3FA69C"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01FC117"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5D3F363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2.071 €</w:t>
            </w:r>
          </w:p>
        </w:tc>
        <w:tc>
          <w:tcPr>
            <w:tcW w:w="1559" w:type="dxa"/>
            <w:vAlign w:val="bottom"/>
          </w:tcPr>
          <w:p w14:paraId="5D10CCC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688CD7D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2,0%</w:t>
            </w:r>
          </w:p>
        </w:tc>
        <w:tc>
          <w:tcPr>
            <w:tcW w:w="1700" w:type="dxa"/>
            <w:vAlign w:val="bottom"/>
          </w:tcPr>
          <w:p w14:paraId="7E4236D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-18,2%</w:t>
            </w:r>
          </w:p>
        </w:tc>
      </w:tr>
      <w:tr w:rsidR="00862C60" w14:paraId="6DDE1641"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DE77EEC"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54FCEBD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1.101 €</w:t>
            </w:r>
          </w:p>
        </w:tc>
        <w:tc>
          <w:tcPr>
            <w:tcW w:w="1559" w:type="dxa"/>
            <w:vAlign w:val="bottom"/>
          </w:tcPr>
          <w:p w14:paraId="05EF80B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502A243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w:t>
            </w:r>
          </w:p>
        </w:tc>
        <w:tc>
          <w:tcPr>
            <w:tcW w:w="1700" w:type="dxa"/>
            <w:vAlign w:val="bottom"/>
          </w:tcPr>
          <w:p w14:paraId="7BBBC76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-56,5%</w:t>
            </w:r>
          </w:p>
        </w:tc>
      </w:tr>
      <w:tr w:rsidR="00862C60" w14:paraId="3FD885F3"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C08B96A"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75BE16C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1.193 €</w:t>
            </w:r>
          </w:p>
        </w:tc>
        <w:tc>
          <w:tcPr>
            <w:tcW w:w="1559" w:type="dxa"/>
            <w:vAlign w:val="bottom"/>
          </w:tcPr>
          <w:p w14:paraId="187DF46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3316720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w:t>
            </w:r>
          </w:p>
        </w:tc>
        <w:tc>
          <w:tcPr>
            <w:tcW w:w="1700" w:type="dxa"/>
            <w:vAlign w:val="bottom"/>
          </w:tcPr>
          <w:p w14:paraId="7F21697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-52,9%</w:t>
            </w:r>
          </w:p>
        </w:tc>
      </w:tr>
      <w:tr w:rsidR="00862C60" w14:paraId="77D607E3"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097954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0246315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1.244 €</w:t>
            </w:r>
          </w:p>
        </w:tc>
        <w:tc>
          <w:tcPr>
            <w:tcW w:w="1559" w:type="dxa"/>
            <w:vAlign w:val="bottom"/>
          </w:tcPr>
          <w:p w14:paraId="59DE9B3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4BF53598"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0,9%</w:t>
            </w:r>
          </w:p>
        </w:tc>
        <w:tc>
          <w:tcPr>
            <w:tcW w:w="1700" w:type="dxa"/>
            <w:vAlign w:val="bottom"/>
          </w:tcPr>
          <w:p w14:paraId="1915E3E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-50,9%</w:t>
            </w:r>
          </w:p>
        </w:tc>
      </w:tr>
      <w:tr w:rsidR="00862C60" w14:paraId="79C7EB73"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8F974EA"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4507331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1.003 €</w:t>
            </w:r>
          </w:p>
        </w:tc>
        <w:tc>
          <w:tcPr>
            <w:tcW w:w="1559" w:type="dxa"/>
            <w:vAlign w:val="bottom"/>
          </w:tcPr>
          <w:p w14:paraId="4040ADE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0C5C9D5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0,4%</w:t>
            </w:r>
          </w:p>
        </w:tc>
        <w:tc>
          <w:tcPr>
            <w:tcW w:w="1700" w:type="dxa"/>
            <w:vAlign w:val="bottom"/>
          </w:tcPr>
          <w:p w14:paraId="580CAFF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-60,4%</w:t>
            </w:r>
          </w:p>
        </w:tc>
      </w:tr>
      <w:tr w:rsidR="00862C60" w14:paraId="565B2655"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5A08E9F"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7B8C165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1.203 €</w:t>
            </w:r>
          </w:p>
        </w:tc>
        <w:tc>
          <w:tcPr>
            <w:tcW w:w="1559" w:type="dxa"/>
            <w:vAlign w:val="bottom"/>
          </w:tcPr>
          <w:p w14:paraId="48420AB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701" w:type="dxa"/>
            <w:vAlign w:val="bottom"/>
          </w:tcPr>
          <w:p w14:paraId="28A27CF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0,3%</w:t>
            </w:r>
          </w:p>
        </w:tc>
        <w:tc>
          <w:tcPr>
            <w:tcW w:w="1700" w:type="dxa"/>
            <w:vAlign w:val="bottom"/>
          </w:tcPr>
          <w:p w14:paraId="7CA162E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-52,5%</w:t>
            </w:r>
          </w:p>
        </w:tc>
      </w:tr>
      <w:tr w:rsidR="00862C60" w14:paraId="21313E3B"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DA679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32C3F39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968 €</w:t>
            </w:r>
          </w:p>
        </w:tc>
        <w:tc>
          <w:tcPr>
            <w:tcW w:w="1559" w:type="dxa"/>
            <w:vAlign w:val="bottom"/>
          </w:tcPr>
          <w:p w14:paraId="2265313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w:t>
            </w:r>
          </w:p>
        </w:tc>
        <w:tc>
          <w:tcPr>
            <w:tcW w:w="1701" w:type="dxa"/>
            <w:vAlign w:val="bottom"/>
          </w:tcPr>
          <w:p w14:paraId="1F1CF1E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-0,1%</w:t>
            </w:r>
          </w:p>
        </w:tc>
        <w:tc>
          <w:tcPr>
            <w:tcW w:w="1700" w:type="dxa"/>
            <w:vAlign w:val="bottom"/>
          </w:tcPr>
          <w:p w14:paraId="3479013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-61,8%</w:t>
            </w:r>
          </w:p>
        </w:tc>
      </w:tr>
      <w:tr w:rsidR="00862C60" w14:paraId="2EC10023"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92D125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512529D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1.492 €</w:t>
            </w:r>
          </w:p>
        </w:tc>
        <w:tc>
          <w:tcPr>
            <w:tcW w:w="1559" w:type="dxa"/>
            <w:vAlign w:val="bottom"/>
          </w:tcPr>
          <w:p w14:paraId="19C3B4D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03FC6BE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-1,1%</w:t>
            </w:r>
          </w:p>
        </w:tc>
        <w:tc>
          <w:tcPr>
            <w:tcW w:w="1700" w:type="dxa"/>
            <w:vAlign w:val="bottom"/>
          </w:tcPr>
          <w:p w14:paraId="05C341D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-41,1%</w:t>
            </w:r>
          </w:p>
        </w:tc>
      </w:tr>
      <w:tr w:rsidR="00862C60" w14:paraId="2A809588"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D2F194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52EA8FF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1.427 €</w:t>
            </w:r>
          </w:p>
        </w:tc>
        <w:tc>
          <w:tcPr>
            <w:tcW w:w="1559" w:type="dxa"/>
            <w:vAlign w:val="bottom"/>
          </w:tcPr>
          <w:p w14:paraId="0BA1CD4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594CC86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-1,5%</w:t>
            </w:r>
          </w:p>
        </w:tc>
        <w:tc>
          <w:tcPr>
            <w:tcW w:w="1700" w:type="dxa"/>
            <w:vAlign w:val="bottom"/>
          </w:tcPr>
          <w:p w14:paraId="71B0E65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-43,7%</w:t>
            </w:r>
          </w:p>
        </w:tc>
      </w:tr>
      <w:tr w:rsidR="00862C60" w14:paraId="2BF6B70D" w14:textId="77777777" w:rsidTr="00862C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1F54FA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5AFDC44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1.521 €</w:t>
            </w:r>
          </w:p>
        </w:tc>
        <w:tc>
          <w:tcPr>
            <w:tcW w:w="1559" w:type="dxa"/>
            <w:vAlign w:val="bottom"/>
          </w:tcPr>
          <w:p w14:paraId="545FFFB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w:t>
            </w:r>
          </w:p>
        </w:tc>
        <w:tc>
          <w:tcPr>
            <w:tcW w:w="1701" w:type="dxa"/>
            <w:vAlign w:val="bottom"/>
          </w:tcPr>
          <w:p w14:paraId="01E19EC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-1,7%</w:t>
            </w:r>
          </w:p>
        </w:tc>
        <w:tc>
          <w:tcPr>
            <w:tcW w:w="1700" w:type="dxa"/>
            <w:vAlign w:val="bottom"/>
          </w:tcPr>
          <w:p w14:paraId="4794A12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-40,0%</w:t>
            </w:r>
          </w:p>
        </w:tc>
      </w:tr>
      <w:tr w:rsidR="00862C60" w14:paraId="670EC46E" w14:textId="77777777" w:rsidTr="00862C60">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2D9377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52312CC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1.057 €</w:t>
            </w:r>
          </w:p>
        </w:tc>
        <w:tc>
          <w:tcPr>
            <w:tcW w:w="1559" w:type="dxa"/>
            <w:vAlign w:val="bottom"/>
          </w:tcPr>
          <w:p w14:paraId="43901E7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701" w:type="dxa"/>
            <w:vAlign w:val="bottom"/>
          </w:tcPr>
          <w:p w14:paraId="0AECC5D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-5,0%</w:t>
            </w:r>
          </w:p>
        </w:tc>
        <w:tc>
          <w:tcPr>
            <w:tcW w:w="1700" w:type="dxa"/>
            <w:vAlign w:val="bottom"/>
          </w:tcPr>
          <w:p w14:paraId="386DCAE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-58,3%</w:t>
            </w:r>
          </w:p>
        </w:tc>
      </w:tr>
    </w:tbl>
    <w:p w14:paraId="76C4FA8C" w14:textId="77777777" w:rsidR="00F05959" w:rsidRDefault="00F05959">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p>
    <w:p w14:paraId="60AE41C0" w14:textId="1107E410" w:rsidR="00862C60"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provincias</w:t>
      </w:r>
    </w:p>
    <w:p w14:paraId="181D4775" w14:textId="77777777" w:rsidR="00862C60"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47 de las 50 capitales de provincia con variación interanual sube el precio en abril respecto al año anterior, de los cuales </w:t>
      </w:r>
      <w:r>
        <w:rPr>
          <w:rFonts w:ascii="Open Sans" w:eastAsia="Open Sans" w:hAnsi="Open Sans" w:cs="Open Sans"/>
          <w:b/>
          <w:color w:val="000000"/>
        </w:rPr>
        <w:t xml:space="preserve">21 de las capitales tienen un incremento superior al 10% </w:t>
      </w:r>
      <w:r>
        <w:rPr>
          <w:rFonts w:ascii="Open Sans" w:eastAsia="Open Sans" w:hAnsi="Open Sans" w:cs="Open Sans"/>
          <w:color w:val="000000"/>
        </w:rPr>
        <w:t>y son: Teruel capital (22,7%), Lugo capital (19,6%), Oviedo (18,5%), Castellón de la Plana / Castelló de la Plana (18,4%), León capital (18,2%), Alicante / Alacant (16,7%), Palma de Mallorca (15,6%), Granada capital (15,4%), Albacete capital (15,3%), Burgos capital (15,3%), Valencia capital (15,1%), Madrid capital (14,4%), Palencia capital (13,2%), Cuenca capital (13,1%), Valladolid capital (13,1%), Segovia capital (12,9%), Lleida capital (12,8%), Salamanca capital (12,3%), Las Palmas de Gran Canaria (12,1%), Ourense capital (12,1%) y Huelva capital (10,2%). Por otro lado, las capitales con descensos interanuales son Girona capital (-2,3%), Ávila capital (-2,3%) y Huesca capital (-0,7%).</w:t>
      </w:r>
    </w:p>
    <w:p w14:paraId="364B0BC7" w14:textId="77777777" w:rsidR="00862C60"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Respecto a los precios, la capital de provincia más cara es Donostia - San Sebastián con 6.789 euros/m</w:t>
      </w:r>
      <w:r>
        <w:rPr>
          <w:rFonts w:ascii="Open Sans" w:eastAsia="Open Sans" w:hAnsi="Open Sans" w:cs="Open Sans"/>
          <w:color w:val="000000"/>
          <w:vertAlign w:val="superscript"/>
        </w:rPr>
        <w:t>2</w:t>
      </w:r>
      <w:r>
        <w:rPr>
          <w:rFonts w:ascii="Open Sans" w:eastAsia="Open Sans" w:hAnsi="Open Sans" w:cs="Open Sans"/>
          <w:color w:val="000000"/>
        </w:rPr>
        <w:t>, seguida de Madrid capital con 5.936 euros/m</w:t>
      </w:r>
      <w:r>
        <w:rPr>
          <w:rFonts w:ascii="Open Sans" w:eastAsia="Open Sans" w:hAnsi="Open Sans" w:cs="Open Sans"/>
          <w:color w:val="000000"/>
          <w:vertAlign w:val="superscript"/>
        </w:rPr>
        <w:t>2</w:t>
      </w:r>
      <w:r>
        <w:rPr>
          <w:rFonts w:ascii="Open Sans" w:eastAsia="Open Sans" w:hAnsi="Open Sans" w:cs="Open Sans"/>
          <w:color w:val="000000"/>
        </w:rPr>
        <w:t>, Barcelona capital con 5.007 euros/m</w:t>
      </w:r>
      <w:r>
        <w:rPr>
          <w:rFonts w:ascii="Open Sans" w:eastAsia="Open Sans" w:hAnsi="Open Sans" w:cs="Open Sans"/>
          <w:color w:val="000000"/>
          <w:vertAlign w:val="superscript"/>
        </w:rPr>
        <w:t>2</w:t>
      </w:r>
      <w:r>
        <w:rPr>
          <w:rFonts w:ascii="Open Sans" w:eastAsia="Open Sans" w:hAnsi="Open Sans" w:cs="Open Sans"/>
          <w:color w:val="000000"/>
        </w:rPr>
        <w:t>, Palma de Mallorca con 4.822 euros/m</w:t>
      </w:r>
      <w:r>
        <w:rPr>
          <w:rFonts w:ascii="Open Sans" w:eastAsia="Open Sans" w:hAnsi="Open Sans" w:cs="Open Sans"/>
          <w:color w:val="000000"/>
          <w:vertAlign w:val="superscript"/>
        </w:rPr>
        <w:t>2</w:t>
      </w:r>
      <w:r>
        <w:rPr>
          <w:rFonts w:ascii="Open Sans" w:eastAsia="Open Sans" w:hAnsi="Open Sans" w:cs="Open Sans"/>
          <w:color w:val="000000"/>
        </w:rPr>
        <w:t>, Málaga capital con 4.076 euros/m</w:t>
      </w:r>
      <w:r>
        <w:rPr>
          <w:rFonts w:ascii="Open Sans" w:eastAsia="Open Sans" w:hAnsi="Open Sans" w:cs="Open Sans"/>
          <w:color w:val="000000"/>
          <w:vertAlign w:val="superscript"/>
        </w:rPr>
        <w:t>2</w:t>
      </w:r>
      <w:r>
        <w:rPr>
          <w:rFonts w:ascii="Open Sans" w:eastAsia="Open Sans" w:hAnsi="Open Sans" w:cs="Open Sans"/>
          <w:color w:val="000000"/>
        </w:rPr>
        <w:t>, Bilbao con 3.810 euros/m</w:t>
      </w:r>
      <w:r>
        <w:rPr>
          <w:rFonts w:ascii="Open Sans" w:eastAsia="Open Sans" w:hAnsi="Open Sans" w:cs="Open Sans"/>
          <w:color w:val="000000"/>
          <w:vertAlign w:val="superscript"/>
        </w:rPr>
        <w:t>2</w:t>
      </w:r>
      <w:r>
        <w:rPr>
          <w:rFonts w:ascii="Open Sans" w:eastAsia="Open Sans" w:hAnsi="Open Sans" w:cs="Open Sans"/>
          <w:color w:val="000000"/>
        </w:rPr>
        <w:t>, Valencia capital con 3.243 euros/m</w:t>
      </w:r>
      <w:r>
        <w:rPr>
          <w:rFonts w:ascii="Open Sans" w:eastAsia="Open Sans" w:hAnsi="Open Sans" w:cs="Open Sans"/>
          <w:color w:val="000000"/>
          <w:vertAlign w:val="superscript"/>
        </w:rPr>
        <w:t>2</w:t>
      </w:r>
      <w:r>
        <w:rPr>
          <w:rFonts w:ascii="Open Sans" w:eastAsia="Open Sans" w:hAnsi="Open Sans" w:cs="Open Sans"/>
          <w:color w:val="000000"/>
        </w:rPr>
        <w:t>, Cádiz capital con 3.180 euros/m</w:t>
      </w:r>
      <w:r>
        <w:rPr>
          <w:rFonts w:ascii="Open Sans" w:eastAsia="Open Sans" w:hAnsi="Open Sans" w:cs="Open Sans"/>
          <w:color w:val="000000"/>
          <w:vertAlign w:val="superscript"/>
        </w:rPr>
        <w:t>2</w:t>
      </w:r>
      <w:r>
        <w:rPr>
          <w:rFonts w:ascii="Open Sans" w:eastAsia="Open Sans" w:hAnsi="Open Sans" w:cs="Open Sans"/>
          <w:color w:val="000000"/>
        </w:rPr>
        <w:t xml:space="preserve"> y Pamplona / Iruña con 3.169 euros/m</w:t>
      </w:r>
      <w:r>
        <w:rPr>
          <w:rFonts w:ascii="Open Sans" w:eastAsia="Open Sans" w:hAnsi="Open Sans" w:cs="Open Sans"/>
          <w:color w:val="000000"/>
          <w:vertAlign w:val="superscript"/>
        </w:rPr>
        <w:t>2</w:t>
      </w:r>
      <w:r>
        <w:rPr>
          <w:rFonts w:ascii="Open Sans" w:eastAsia="Open Sans" w:hAnsi="Open Sans" w:cs="Open Sans"/>
          <w:color w:val="000000"/>
        </w:rPr>
        <w:t>.</w:t>
      </w:r>
    </w:p>
    <w:p w14:paraId="3487B4B3" w14:textId="77777777" w:rsidR="00F05959" w:rsidRDefault="00F05959">
      <w:pPr>
        <w:pBdr>
          <w:top w:val="nil"/>
          <w:left w:val="nil"/>
          <w:bottom w:val="nil"/>
          <w:right w:val="nil"/>
          <w:between w:val="nil"/>
        </w:pBdr>
        <w:spacing w:before="280" w:after="280" w:line="276" w:lineRule="auto"/>
        <w:jc w:val="both"/>
        <w:rPr>
          <w:rFonts w:ascii="Open Sans" w:eastAsia="Open Sans" w:hAnsi="Open Sans" w:cs="Open Sans"/>
          <w:color w:val="000000"/>
        </w:rPr>
      </w:pPr>
    </w:p>
    <w:p w14:paraId="14510030" w14:textId="77777777" w:rsidR="00F05959" w:rsidRDefault="00F05959">
      <w:pPr>
        <w:pBdr>
          <w:top w:val="nil"/>
          <w:left w:val="nil"/>
          <w:bottom w:val="nil"/>
          <w:right w:val="nil"/>
          <w:between w:val="nil"/>
        </w:pBdr>
        <w:spacing w:before="280" w:after="280" w:line="276" w:lineRule="auto"/>
        <w:jc w:val="both"/>
        <w:rPr>
          <w:rFonts w:ascii="Open Sans" w:eastAsia="Open Sans" w:hAnsi="Open Sans" w:cs="Open Sans"/>
          <w:color w:val="000000"/>
        </w:rPr>
      </w:pPr>
    </w:p>
    <w:p w14:paraId="28925762" w14:textId="75C93D42" w:rsidR="00F05959" w:rsidRDefault="00F05959" w:rsidP="00F05959">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color w:val="303AB2"/>
          <w:sz w:val="28"/>
          <w:szCs w:val="28"/>
        </w:rPr>
        <w:lastRenderedPageBreak/>
        <w:t>Provincias con mayor incremento interanual</w:t>
      </w: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862C60" w14:paraId="704B4771" w14:textId="77777777" w:rsidTr="00862C60">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80F949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08C3CFF4" w14:textId="77777777" w:rsidR="00862C60"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5B0D838E"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307CB61A"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3B62E347"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5BB600D8"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62C60" w14:paraId="14566E2B"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300A640"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268" w:type="dxa"/>
            <w:vAlign w:val="bottom"/>
          </w:tcPr>
          <w:p w14:paraId="1AF6A3D1"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Teruel capital</w:t>
            </w:r>
          </w:p>
        </w:tc>
        <w:tc>
          <w:tcPr>
            <w:tcW w:w="1984" w:type="dxa"/>
            <w:vAlign w:val="bottom"/>
          </w:tcPr>
          <w:p w14:paraId="02F7561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1.862 €</w:t>
            </w:r>
          </w:p>
        </w:tc>
        <w:tc>
          <w:tcPr>
            <w:tcW w:w="1559" w:type="dxa"/>
            <w:vAlign w:val="bottom"/>
          </w:tcPr>
          <w:p w14:paraId="65AF00B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692" w:type="dxa"/>
            <w:vAlign w:val="bottom"/>
          </w:tcPr>
          <w:p w14:paraId="05BBE54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22,7%</w:t>
            </w:r>
          </w:p>
        </w:tc>
      </w:tr>
      <w:tr w:rsidR="00862C60" w14:paraId="66C26173"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2CD17A6"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211125B4"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29E0418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1.640 €</w:t>
            </w:r>
          </w:p>
        </w:tc>
        <w:tc>
          <w:tcPr>
            <w:tcW w:w="1559" w:type="dxa"/>
            <w:vAlign w:val="bottom"/>
          </w:tcPr>
          <w:p w14:paraId="1B3EE1C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5667CA2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19,6%</w:t>
            </w:r>
          </w:p>
        </w:tc>
      </w:tr>
      <w:tr w:rsidR="00862C60" w14:paraId="7DBC2884"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217695"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00CF0AFF"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21E59C7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2.244 €</w:t>
            </w:r>
          </w:p>
        </w:tc>
        <w:tc>
          <w:tcPr>
            <w:tcW w:w="1559" w:type="dxa"/>
            <w:vAlign w:val="bottom"/>
          </w:tcPr>
          <w:p w14:paraId="00AFAA0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6E1A304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18,5%</w:t>
            </w:r>
          </w:p>
        </w:tc>
      </w:tr>
      <w:tr w:rsidR="00862C60" w14:paraId="19CE7E97"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66B4D9C"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268" w:type="dxa"/>
            <w:vAlign w:val="bottom"/>
          </w:tcPr>
          <w:p w14:paraId="4D8D24AD"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3AC4D3D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1.701 €</w:t>
            </w:r>
          </w:p>
        </w:tc>
        <w:tc>
          <w:tcPr>
            <w:tcW w:w="1559" w:type="dxa"/>
            <w:vAlign w:val="bottom"/>
          </w:tcPr>
          <w:p w14:paraId="2C00CF6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692" w:type="dxa"/>
            <w:vAlign w:val="bottom"/>
          </w:tcPr>
          <w:p w14:paraId="36208D03"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18,4%</w:t>
            </w:r>
          </w:p>
        </w:tc>
      </w:tr>
      <w:tr w:rsidR="00862C60" w14:paraId="7913A100"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DB19CF"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268" w:type="dxa"/>
            <w:vAlign w:val="bottom"/>
          </w:tcPr>
          <w:p w14:paraId="6D79E174"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77CB156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1.878 €</w:t>
            </w:r>
          </w:p>
        </w:tc>
        <w:tc>
          <w:tcPr>
            <w:tcW w:w="1559" w:type="dxa"/>
            <w:vAlign w:val="bottom"/>
          </w:tcPr>
          <w:p w14:paraId="44FFF5F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2A8CDD5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18,2%</w:t>
            </w:r>
          </w:p>
        </w:tc>
      </w:tr>
      <w:tr w:rsidR="00862C60" w14:paraId="3A26C554"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11473C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268" w:type="dxa"/>
            <w:vAlign w:val="bottom"/>
          </w:tcPr>
          <w:p w14:paraId="08A9D5F0"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7681005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2.785 €</w:t>
            </w:r>
          </w:p>
        </w:tc>
        <w:tc>
          <w:tcPr>
            <w:tcW w:w="1559" w:type="dxa"/>
            <w:vAlign w:val="bottom"/>
          </w:tcPr>
          <w:p w14:paraId="4DF7497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22C9FE2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16,7%</w:t>
            </w:r>
          </w:p>
        </w:tc>
      </w:tr>
      <w:tr w:rsidR="00862C60" w14:paraId="57CAF202"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C6CE7BA"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268" w:type="dxa"/>
            <w:vAlign w:val="bottom"/>
          </w:tcPr>
          <w:p w14:paraId="7902BDF5"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793E55B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4.822 €</w:t>
            </w:r>
          </w:p>
        </w:tc>
        <w:tc>
          <w:tcPr>
            <w:tcW w:w="1559" w:type="dxa"/>
            <w:vAlign w:val="bottom"/>
          </w:tcPr>
          <w:p w14:paraId="676B351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w:t>
            </w:r>
          </w:p>
        </w:tc>
        <w:tc>
          <w:tcPr>
            <w:tcW w:w="1692" w:type="dxa"/>
            <w:vAlign w:val="bottom"/>
          </w:tcPr>
          <w:p w14:paraId="16E12EB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15,6%</w:t>
            </w:r>
          </w:p>
        </w:tc>
      </w:tr>
      <w:tr w:rsidR="00862C60" w14:paraId="48F286B8"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FB31F67"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35C882BE"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684C821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2.833 €</w:t>
            </w:r>
          </w:p>
        </w:tc>
        <w:tc>
          <w:tcPr>
            <w:tcW w:w="1559" w:type="dxa"/>
            <w:vAlign w:val="bottom"/>
          </w:tcPr>
          <w:p w14:paraId="5A26DE9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692" w:type="dxa"/>
            <w:vAlign w:val="bottom"/>
          </w:tcPr>
          <w:p w14:paraId="2035BF2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15,4%</w:t>
            </w:r>
          </w:p>
        </w:tc>
      </w:tr>
      <w:tr w:rsidR="00862C60" w14:paraId="4BBE5020"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B2714F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268" w:type="dxa"/>
            <w:vAlign w:val="bottom"/>
          </w:tcPr>
          <w:p w14:paraId="455D0713"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1CE5439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1.945 €</w:t>
            </w:r>
          </w:p>
        </w:tc>
        <w:tc>
          <w:tcPr>
            <w:tcW w:w="1559" w:type="dxa"/>
            <w:vAlign w:val="bottom"/>
          </w:tcPr>
          <w:p w14:paraId="225EA99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692" w:type="dxa"/>
            <w:vAlign w:val="bottom"/>
          </w:tcPr>
          <w:p w14:paraId="249D908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15,3%</w:t>
            </w:r>
          </w:p>
        </w:tc>
      </w:tr>
      <w:tr w:rsidR="00862C60" w14:paraId="17589789"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F14C798"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268" w:type="dxa"/>
            <w:vAlign w:val="bottom"/>
          </w:tcPr>
          <w:p w14:paraId="3B3A089B"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3C68FBD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2.206 €</w:t>
            </w:r>
          </w:p>
        </w:tc>
        <w:tc>
          <w:tcPr>
            <w:tcW w:w="1559" w:type="dxa"/>
            <w:vAlign w:val="bottom"/>
          </w:tcPr>
          <w:p w14:paraId="22928FF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92" w:type="dxa"/>
            <w:vAlign w:val="bottom"/>
          </w:tcPr>
          <w:p w14:paraId="6BAAED2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15,3%</w:t>
            </w:r>
          </w:p>
        </w:tc>
      </w:tr>
      <w:tr w:rsidR="00862C60" w14:paraId="5BCAD154"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CBA163F"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268" w:type="dxa"/>
            <w:vAlign w:val="bottom"/>
          </w:tcPr>
          <w:p w14:paraId="49F4408F"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3A5D875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3.243 €</w:t>
            </w:r>
          </w:p>
        </w:tc>
        <w:tc>
          <w:tcPr>
            <w:tcW w:w="1559" w:type="dxa"/>
            <w:vAlign w:val="bottom"/>
          </w:tcPr>
          <w:p w14:paraId="311DE2D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692" w:type="dxa"/>
            <w:vAlign w:val="bottom"/>
          </w:tcPr>
          <w:p w14:paraId="6293D12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15,1%</w:t>
            </w:r>
          </w:p>
        </w:tc>
      </w:tr>
      <w:tr w:rsidR="00862C60" w14:paraId="74BA114A"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ECD6467"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68" w:type="dxa"/>
            <w:vAlign w:val="bottom"/>
          </w:tcPr>
          <w:p w14:paraId="78917192"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7EBEEA0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5.936 €</w:t>
            </w:r>
          </w:p>
        </w:tc>
        <w:tc>
          <w:tcPr>
            <w:tcW w:w="1559" w:type="dxa"/>
            <w:vAlign w:val="bottom"/>
          </w:tcPr>
          <w:p w14:paraId="7D25998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267F17A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14,4%</w:t>
            </w:r>
          </w:p>
        </w:tc>
      </w:tr>
      <w:tr w:rsidR="00862C60" w14:paraId="3BA5BFF1"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363E9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268" w:type="dxa"/>
            <w:vAlign w:val="bottom"/>
          </w:tcPr>
          <w:p w14:paraId="390CFB41"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420FCDD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1.689 €</w:t>
            </w:r>
          </w:p>
        </w:tc>
        <w:tc>
          <w:tcPr>
            <w:tcW w:w="1559" w:type="dxa"/>
            <w:vAlign w:val="bottom"/>
          </w:tcPr>
          <w:p w14:paraId="7359B50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692" w:type="dxa"/>
            <w:vAlign w:val="bottom"/>
          </w:tcPr>
          <w:p w14:paraId="5381F52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13,2%</w:t>
            </w:r>
          </w:p>
        </w:tc>
      </w:tr>
      <w:tr w:rsidR="00862C60" w14:paraId="5DA32E88"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0C148E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268" w:type="dxa"/>
            <w:vAlign w:val="bottom"/>
          </w:tcPr>
          <w:p w14:paraId="7217BE21"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13E5F8D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1.703 €</w:t>
            </w:r>
          </w:p>
        </w:tc>
        <w:tc>
          <w:tcPr>
            <w:tcW w:w="1559" w:type="dxa"/>
            <w:vAlign w:val="bottom"/>
          </w:tcPr>
          <w:p w14:paraId="7889204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3FA9515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13,1%</w:t>
            </w:r>
          </w:p>
        </w:tc>
      </w:tr>
      <w:tr w:rsidR="00862C60" w14:paraId="61844D30"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83CF7C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268" w:type="dxa"/>
            <w:vAlign w:val="bottom"/>
          </w:tcPr>
          <w:p w14:paraId="35F9E44F"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4EB876D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2.189 €</w:t>
            </w:r>
          </w:p>
        </w:tc>
        <w:tc>
          <w:tcPr>
            <w:tcW w:w="1559" w:type="dxa"/>
            <w:vAlign w:val="bottom"/>
          </w:tcPr>
          <w:p w14:paraId="15B36B7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692" w:type="dxa"/>
            <w:vAlign w:val="bottom"/>
          </w:tcPr>
          <w:p w14:paraId="1F2ECD3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13,1%</w:t>
            </w:r>
          </w:p>
        </w:tc>
      </w:tr>
      <w:tr w:rsidR="00862C60" w14:paraId="5E37D10F"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B9214D6"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268" w:type="dxa"/>
            <w:vAlign w:val="bottom"/>
          </w:tcPr>
          <w:p w14:paraId="1E362CE3"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1F64BD7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2.128 €</w:t>
            </w:r>
          </w:p>
        </w:tc>
        <w:tc>
          <w:tcPr>
            <w:tcW w:w="1559" w:type="dxa"/>
            <w:vAlign w:val="bottom"/>
          </w:tcPr>
          <w:p w14:paraId="76C505C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7F7C4A3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12,9%</w:t>
            </w:r>
          </w:p>
        </w:tc>
      </w:tr>
      <w:tr w:rsidR="00862C60" w14:paraId="38ACFCA3"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E5C056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268" w:type="dxa"/>
            <w:vAlign w:val="bottom"/>
          </w:tcPr>
          <w:p w14:paraId="4B47981B"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14A3284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1.584 €</w:t>
            </w:r>
          </w:p>
        </w:tc>
        <w:tc>
          <w:tcPr>
            <w:tcW w:w="1559" w:type="dxa"/>
            <w:vAlign w:val="bottom"/>
          </w:tcPr>
          <w:p w14:paraId="524D689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7EB31EA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12,8%</w:t>
            </w:r>
          </w:p>
        </w:tc>
      </w:tr>
      <w:tr w:rsidR="00862C60" w14:paraId="08B85021"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F64C3C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268" w:type="dxa"/>
            <w:vAlign w:val="bottom"/>
          </w:tcPr>
          <w:p w14:paraId="37B72C24"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984" w:type="dxa"/>
            <w:vAlign w:val="bottom"/>
          </w:tcPr>
          <w:p w14:paraId="0925372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2.285 €</w:t>
            </w:r>
          </w:p>
        </w:tc>
        <w:tc>
          <w:tcPr>
            <w:tcW w:w="1559" w:type="dxa"/>
            <w:vAlign w:val="bottom"/>
          </w:tcPr>
          <w:p w14:paraId="73C2618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92" w:type="dxa"/>
            <w:vAlign w:val="bottom"/>
          </w:tcPr>
          <w:p w14:paraId="03239FD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12,3%</w:t>
            </w:r>
          </w:p>
        </w:tc>
      </w:tr>
      <w:tr w:rsidR="00862C60" w14:paraId="283F2728"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E6C4FB"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268" w:type="dxa"/>
            <w:vAlign w:val="bottom"/>
          </w:tcPr>
          <w:p w14:paraId="2D1F8420"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2D1C9E0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2.795 €</w:t>
            </w:r>
          </w:p>
        </w:tc>
        <w:tc>
          <w:tcPr>
            <w:tcW w:w="1559" w:type="dxa"/>
            <w:vAlign w:val="bottom"/>
          </w:tcPr>
          <w:p w14:paraId="3DE6241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692" w:type="dxa"/>
            <w:vAlign w:val="bottom"/>
          </w:tcPr>
          <w:p w14:paraId="4102ECB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12,1%</w:t>
            </w:r>
          </w:p>
        </w:tc>
      </w:tr>
      <w:tr w:rsidR="00862C60" w14:paraId="5C785E77"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9CDEFB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268" w:type="dxa"/>
            <w:vAlign w:val="bottom"/>
          </w:tcPr>
          <w:p w14:paraId="0C730712"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33E2F61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1.777 €</w:t>
            </w:r>
          </w:p>
        </w:tc>
        <w:tc>
          <w:tcPr>
            <w:tcW w:w="1559" w:type="dxa"/>
            <w:vAlign w:val="bottom"/>
          </w:tcPr>
          <w:p w14:paraId="25086F5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692" w:type="dxa"/>
            <w:vAlign w:val="bottom"/>
          </w:tcPr>
          <w:p w14:paraId="4FA3DD9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12,1%</w:t>
            </w:r>
          </w:p>
        </w:tc>
      </w:tr>
      <w:tr w:rsidR="00862C60" w14:paraId="4B96B3F5"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CCE40F"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1F55CB59"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3966DC2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1.576 €</w:t>
            </w:r>
          </w:p>
        </w:tc>
        <w:tc>
          <w:tcPr>
            <w:tcW w:w="1559" w:type="dxa"/>
            <w:vAlign w:val="bottom"/>
          </w:tcPr>
          <w:p w14:paraId="3A181D8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692" w:type="dxa"/>
            <w:vAlign w:val="bottom"/>
          </w:tcPr>
          <w:p w14:paraId="4A30C23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10,2%</w:t>
            </w:r>
          </w:p>
        </w:tc>
      </w:tr>
      <w:tr w:rsidR="00862C60" w14:paraId="2178C673"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F8295E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268" w:type="dxa"/>
            <w:vAlign w:val="bottom"/>
          </w:tcPr>
          <w:p w14:paraId="7FBD4E80"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1C797C5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3.035 €</w:t>
            </w:r>
          </w:p>
        </w:tc>
        <w:tc>
          <w:tcPr>
            <w:tcW w:w="1559" w:type="dxa"/>
            <w:vAlign w:val="bottom"/>
          </w:tcPr>
          <w:p w14:paraId="7BA2CD9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692" w:type="dxa"/>
            <w:vAlign w:val="bottom"/>
          </w:tcPr>
          <w:p w14:paraId="2FB72E5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9,6%</w:t>
            </w:r>
          </w:p>
        </w:tc>
      </w:tr>
      <w:tr w:rsidR="00862C60" w14:paraId="6957F16D"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61E845"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268" w:type="dxa"/>
            <w:vAlign w:val="bottom"/>
          </w:tcPr>
          <w:p w14:paraId="14186547"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06F20FD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4.076 €</w:t>
            </w:r>
          </w:p>
        </w:tc>
        <w:tc>
          <w:tcPr>
            <w:tcW w:w="1559" w:type="dxa"/>
            <w:vAlign w:val="bottom"/>
          </w:tcPr>
          <w:p w14:paraId="0F5663A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692" w:type="dxa"/>
            <w:vAlign w:val="bottom"/>
          </w:tcPr>
          <w:p w14:paraId="003AC30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9,5%</w:t>
            </w:r>
          </w:p>
        </w:tc>
      </w:tr>
      <w:tr w:rsidR="00862C60" w14:paraId="5491D96F"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D5CA4C"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268" w:type="dxa"/>
            <w:vAlign w:val="bottom"/>
          </w:tcPr>
          <w:p w14:paraId="3DBEBCD2"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595E9DD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2.065 €</w:t>
            </w:r>
          </w:p>
        </w:tc>
        <w:tc>
          <w:tcPr>
            <w:tcW w:w="1559" w:type="dxa"/>
            <w:vAlign w:val="bottom"/>
          </w:tcPr>
          <w:p w14:paraId="1DD9AA2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92" w:type="dxa"/>
            <w:vAlign w:val="bottom"/>
          </w:tcPr>
          <w:p w14:paraId="42626A3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9,5%</w:t>
            </w:r>
          </w:p>
        </w:tc>
      </w:tr>
      <w:tr w:rsidR="00862C60" w14:paraId="3389914B"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A4F512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268" w:type="dxa"/>
            <w:vAlign w:val="bottom"/>
          </w:tcPr>
          <w:p w14:paraId="4FE989EE"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4D5D490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1.849 €</w:t>
            </w:r>
          </w:p>
        </w:tc>
        <w:tc>
          <w:tcPr>
            <w:tcW w:w="1559" w:type="dxa"/>
            <w:vAlign w:val="bottom"/>
          </w:tcPr>
          <w:p w14:paraId="0EC6612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692" w:type="dxa"/>
            <w:vAlign w:val="bottom"/>
          </w:tcPr>
          <w:p w14:paraId="6B8A4BC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9,5%</w:t>
            </w:r>
          </w:p>
        </w:tc>
      </w:tr>
      <w:tr w:rsidR="00862C60" w14:paraId="0DD0A560"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F97C416"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268" w:type="dxa"/>
            <w:vAlign w:val="bottom"/>
          </w:tcPr>
          <w:p w14:paraId="3C4A51AA"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0A2BC02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1.551 €</w:t>
            </w:r>
          </w:p>
        </w:tc>
        <w:tc>
          <w:tcPr>
            <w:tcW w:w="1559" w:type="dxa"/>
            <w:vAlign w:val="bottom"/>
          </w:tcPr>
          <w:p w14:paraId="4B77400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92" w:type="dxa"/>
            <w:vAlign w:val="bottom"/>
          </w:tcPr>
          <w:p w14:paraId="38E03EA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9,3%</w:t>
            </w:r>
          </w:p>
        </w:tc>
      </w:tr>
      <w:tr w:rsidR="00862C60" w14:paraId="0148D66D"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8650E66"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268" w:type="dxa"/>
            <w:vAlign w:val="bottom"/>
          </w:tcPr>
          <w:p w14:paraId="77E60D35"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4F95A64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2.260 €</w:t>
            </w:r>
          </w:p>
        </w:tc>
        <w:tc>
          <w:tcPr>
            <w:tcW w:w="1559" w:type="dxa"/>
            <w:vAlign w:val="bottom"/>
          </w:tcPr>
          <w:p w14:paraId="3B18237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281679B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9,1%</w:t>
            </w:r>
          </w:p>
        </w:tc>
      </w:tr>
      <w:tr w:rsidR="00862C60" w14:paraId="58132200"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56BEC1"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34E0E3EE"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3295036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5.007 €</w:t>
            </w:r>
          </w:p>
        </w:tc>
        <w:tc>
          <w:tcPr>
            <w:tcW w:w="1559" w:type="dxa"/>
            <w:vAlign w:val="bottom"/>
          </w:tcPr>
          <w:p w14:paraId="19AFFCA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0F7D618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9,0%</w:t>
            </w:r>
          </w:p>
        </w:tc>
      </w:tr>
      <w:tr w:rsidR="00862C60" w14:paraId="6A9C1372"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0C4F6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268" w:type="dxa"/>
            <w:vAlign w:val="bottom"/>
          </w:tcPr>
          <w:p w14:paraId="004F6131"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0050339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6.789 €</w:t>
            </w:r>
          </w:p>
        </w:tc>
        <w:tc>
          <w:tcPr>
            <w:tcW w:w="1559" w:type="dxa"/>
            <w:vAlign w:val="bottom"/>
          </w:tcPr>
          <w:p w14:paraId="1FD8412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92" w:type="dxa"/>
            <w:vAlign w:val="bottom"/>
          </w:tcPr>
          <w:p w14:paraId="46489C2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9,0%</w:t>
            </w:r>
          </w:p>
        </w:tc>
      </w:tr>
      <w:tr w:rsidR="00862C60" w14:paraId="392BEFCF"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0A2DB47"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268" w:type="dxa"/>
            <w:vAlign w:val="bottom"/>
          </w:tcPr>
          <w:p w14:paraId="02C2E4A0"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09C9799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1.473 €</w:t>
            </w:r>
          </w:p>
        </w:tc>
        <w:tc>
          <w:tcPr>
            <w:tcW w:w="1559" w:type="dxa"/>
            <w:vAlign w:val="bottom"/>
          </w:tcPr>
          <w:p w14:paraId="114A3BF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692" w:type="dxa"/>
            <w:vAlign w:val="bottom"/>
          </w:tcPr>
          <w:p w14:paraId="67EAE3A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8,8%</w:t>
            </w:r>
          </w:p>
        </w:tc>
      </w:tr>
      <w:tr w:rsidR="00862C60" w14:paraId="6E9F3E0A"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59B9AE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268" w:type="dxa"/>
            <w:vAlign w:val="bottom"/>
          </w:tcPr>
          <w:p w14:paraId="1D91C345"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7BFCE88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3.180 €</w:t>
            </w:r>
          </w:p>
        </w:tc>
        <w:tc>
          <w:tcPr>
            <w:tcW w:w="1559" w:type="dxa"/>
            <w:vAlign w:val="bottom"/>
          </w:tcPr>
          <w:p w14:paraId="3070B72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6F2EB9E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8,8%</w:t>
            </w:r>
          </w:p>
        </w:tc>
      </w:tr>
      <w:tr w:rsidR="00862C60" w14:paraId="175EA012"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E1C0588"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268" w:type="dxa"/>
            <w:vAlign w:val="bottom"/>
          </w:tcPr>
          <w:p w14:paraId="440D3502"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984" w:type="dxa"/>
            <w:vAlign w:val="bottom"/>
          </w:tcPr>
          <w:p w14:paraId="49B7584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1.706 €</w:t>
            </w:r>
          </w:p>
        </w:tc>
        <w:tc>
          <w:tcPr>
            <w:tcW w:w="1559" w:type="dxa"/>
            <w:vAlign w:val="bottom"/>
          </w:tcPr>
          <w:p w14:paraId="19C291B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92" w:type="dxa"/>
            <w:vAlign w:val="bottom"/>
          </w:tcPr>
          <w:p w14:paraId="585D890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8,7%</w:t>
            </w:r>
          </w:p>
        </w:tc>
      </w:tr>
      <w:tr w:rsidR="00862C60" w14:paraId="67FE0D7E"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42F93C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268" w:type="dxa"/>
            <w:vAlign w:val="bottom"/>
          </w:tcPr>
          <w:p w14:paraId="50460154"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28ADD5E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1.684 €</w:t>
            </w:r>
          </w:p>
        </w:tc>
        <w:tc>
          <w:tcPr>
            <w:tcW w:w="1559" w:type="dxa"/>
            <w:vAlign w:val="bottom"/>
          </w:tcPr>
          <w:p w14:paraId="2FF39EF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92" w:type="dxa"/>
            <w:vAlign w:val="bottom"/>
          </w:tcPr>
          <w:p w14:paraId="30271FD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8,2%</w:t>
            </w:r>
          </w:p>
        </w:tc>
      </w:tr>
      <w:tr w:rsidR="00862C60" w14:paraId="4EF3B04F"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8587B0F"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268" w:type="dxa"/>
            <w:vAlign w:val="bottom"/>
          </w:tcPr>
          <w:p w14:paraId="1575B197"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5F2A97B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2.406 €</w:t>
            </w:r>
          </w:p>
        </w:tc>
        <w:tc>
          <w:tcPr>
            <w:tcW w:w="1559" w:type="dxa"/>
            <w:vAlign w:val="bottom"/>
          </w:tcPr>
          <w:p w14:paraId="000C1C1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6B9F079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8,1%</w:t>
            </w:r>
          </w:p>
        </w:tc>
      </w:tr>
      <w:tr w:rsidR="00862C60" w14:paraId="73530D97"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BF96A5"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268" w:type="dxa"/>
            <w:vAlign w:val="bottom"/>
          </w:tcPr>
          <w:p w14:paraId="520330E0"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5F76E1C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1.726 €</w:t>
            </w:r>
          </w:p>
        </w:tc>
        <w:tc>
          <w:tcPr>
            <w:tcW w:w="1559" w:type="dxa"/>
            <w:vAlign w:val="bottom"/>
          </w:tcPr>
          <w:p w14:paraId="6EC1934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692" w:type="dxa"/>
            <w:vAlign w:val="bottom"/>
          </w:tcPr>
          <w:p w14:paraId="133BAC7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7,7%</w:t>
            </w:r>
          </w:p>
        </w:tc>
      </w:tr>
      <w:tr w:rsidR="00862C60" w14:paraId="3F901086"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43D4FF1"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268" w:type="dxa"/>
            <w:vAlign w:val="bottom"/>
          </w:tcPr>
          <w:p w14:paraId="4F30B494"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1A8C7E6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2.990 €</w:t>
            </w:r>
          </w:p>
        </w:tc>
        <w:tc>
          <w:tcPr>
            <w:tcW w:w="1559" w:type="dxa"/>
            <w:vAlign w:val="bottom"/>
          </w:tcPr>
          <w:p w14:paraId="1ADA6A8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48354B2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6,8%</w:t>
            </w:r>
          </w:p>
        </w:tc>
      </w:tr>
      <w:tr w:rsidR="00862C60" w14:paraId="04004290"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4D6AEDD"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Ciudad Real</w:t>
            </w:r>
          </w:p>
        </w:tc>
        <w:tc>
          <w:tcPr>
            <w:tcW w:w="2268" w:type="dxa"/>
            <w:vAlign w:val="bottom"/>
          </w:tcPr>
          <w:p w14:paraId="0AFF0105"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73D6E12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1.478 €</w:t>
            </w:r>
          </w:p>
        </w:tc>
        <w:tc>
          <w:tcPr>
            <w:tcW w:w="1559" w:type="dxa"/>
            <w:vAlign w:val="bottom"/>
          </w:tcPr>
          <w:p w14:paraId="158861D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692" w:type="dxa"/>
            <w:vAlign w:val="bottom"/>
          </w:tcPr>
          <w:p w14:paraId="2C1D883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r>
      <w:tr w:rsidR="00862C60" w14:paraId="7765F52F"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9063CD8"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1F58FC98"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33DF09B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2.097 €</w:t>
            </w:r>
          </w:p>
        </w:tc>
        <w:tc>
          <w:tcPr>
            <w:tcW w:w="1559" w:type="dxa"/>
            <w:vAlign w:val="bottom"/>
          </w:tcPr>
          <w:p w14:paraId="0E83A72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692" w:type="dxa"/>
            <w:vAlign w:val="bottom"/>
          </w:tcPr>
          <w:p w14:paraId="6BB0C44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r>
      <w:tr w:rsidR="00862C60" w14:paraId="001FF3ED"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D7C0AC8"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268" w:type="dxa"/>
            <w:vAlign w:val="bottom"/>
          </w:tcPr>
          <w:p w14:paraId="3AB65420"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7FC635A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3.810 €</w:t>
            </w:r>
          </w:p>
        </w:tc>
        <w:tc>
          <w:tcPr>
            <w:tcW w:w="1559" w:type="dxa"/>
            <w:vAlign w:val="bottom"/>
          </w:tcPr>
          <w:p w14:paraId="720616D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92" w:type="dxa"/>
            <w:vAlign w:val="bottom"/>
          </w:tcPr>
          <w:p w14:paraId="6EA6628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r>
      <w:tr w:rsidR="00862C60" w14:paraId="7796442F"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DD74D5"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1ED7EFE4"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5D1ABDE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2.663 €</w:t>
            </w:r>
          </w:p>
        </w:tc>
        <w:tc>
          <w:tcPr>
            <w:tcW w:w="1559" w:type="dxa"/>
            <w:vAlign w:val="bottom"/>
          </w:tcPr>
          <w:p w14:paraId="65F3B94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692" w:type="dxa"/>
            <w:vAlign w:val="bottom"/>
          </w:tcPr>
          <w:p w14:paraId="5217D6B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r>
      <w:tr w:rsidR="00862C60" w14:paraId="5FB5F2A6"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AC2C75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7D674A92"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7EA4B2A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2.446 €</w:t>
            </w:r>
          </w:p>
        </w:tc>
        <w:tc>
          <w:tcPr>
            <w:tcW w:w="1559" w:type="dxa"/>
            <w:vAlign w:val="bottom"/>
          </w:tcPr>
          <w:p w14:paraId="0F67AFE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692" w:type="dxa"/>
            <w:vAlign w:val="bottom"/>
          </w:tcPr>
          <w:p w14:paraId="17D4F48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w:t>
            </w:r>
          </w:p>
        </w:tc>
      </w:tr>
      <w:tr w:rsidR="00862C60" w14:paraId="7FB26D66"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2AC410"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268" w:type="dxa"/>
            <w:vAlign w:val="bottom"/>
          </w:tcPr>
          <w:p w14:paraId="1DB07A06"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1645F45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1.369 €</w:t>
            </w:r>
          </w:p>
        </w:tc>
        <w:tc>
          <w:tcPr>
            <w:tcW w:w="1559" w:type="dxa"/>
            <w:vAlign w:val="bottom"/>
          </w:tcPr>
          <w:p w14:paraId="14BBCEB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03F5971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r>
      <w:tr w:rsidR="00862C60" w14:paraId="10325E78"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1BE1A7"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268" w:type="dxa"/>
            <w:vAlign w:val="bottom"/>
          </w:tcPr>
          <w:p w14:paraId="77ACD0C1"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984" w:type="dxa"/>
            <w:vAlign w:val="bottom"/>
          </w:tcPr>
          <w:p w14:paraId="3BD17D8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1.968 €</w:t>
            </w:r>
          </w:p>
        </w:tc>
        <w:tc>
          <w:tcPr>
            <w:tcW w:w="1559" w:type="dxa"/>
            <w:vAlign w:val="bottom"/>
          </w:tcPr>
          <w:p w14:paraId="6EC8FF1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2FEF7398"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r>
      <w:tr w:rsidR="00862C60" w14:paraId="32029E25"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75EE9AC"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0F3761A6"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984" w:type="dxa"/>
            <w:vAlign w:val="bottom"/>
          </w:tcPr>
          <w:p w14:paraId="5AA9E203"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3.162 €</w:t>
            </w:r>
          </w:p>
        </w:tc>
        <w:tc>
          <w:tcPr>
            <w:tcW w:w="1559" w:type="dxa"/>
            <w:vAlign w:val="bottom"/>
          </w:tcPr>
          <w:p w14:paraId="42507C9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692" w:type="dxa"/>
            <w:vAlign w:val="bottom"/>
          </w:tcPr>
          <w:p w14:paraId="24C844C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r>
      <w:tr w:rsidR="00862C60" w14:paraId="15177B6C"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979B8DA"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3DB53AA5"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6C978F4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2.730 €</w:t>
            </w:r>
          </w:p>
        </w:tc>
        <w:tc>
          <w:tcPr>
            <w:tcW w:w="1559" w:type="dxa"/>
            <w:vAlign w:val="bottom"/>
          </w:tcPr>
          <w:p w14:paraId="0D61622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692" w:type="dxa"/>
            <w:vAlign w:val="bottom"/>
          </w:tcPr>
          <w:p w14:paraId="6BFE47D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r>
      <w:tr w:rsidR="00862C60" w14:paraId="5D89485E"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0E69036"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268" w:type="dxa"/>
            <w:vAlign w:val="bottom"/>
          </w:tcPr>
          <w:p w14:paraId="68374760"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2BBA0CF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1.762 €</w:t>
            </w:r>
          </w:p>
        </w:tc>
        <w:tc>
          <w:tcPr>
            <w:tcW w:w="1559" w:type="dxa"/>
            <w:vAlign w:val="bottom"/>
          </w:tcPr>
          <w:p w14:paraId="1B90001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c>
          <w:tcPr>
            <w:tcW w:w="1692" w:type="dxa"/>
            <w:vAlign w:val="bottom"/>
          </w:tcPr>
          <w:p w14:paraId="7E60AAE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0,6%</w:t>
            </w:r>
          </w:p>
        </w:tc>
      </w:tr>
      <w:tr w:rsidR="00862C60" w14:paraId="2D6E1A4B"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6AA201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268" w:type="dxa"/>
            <w:vAlign w:val="bottom"/>
          </w:tcPr>
          <w:p w14:paraId="779D889D"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984" w:type="dxa"/>
            <w:vAlign w:val="bottom"/>
          </w:tcPr>
          <w:p w14:paraId="718ED7D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1.732 €</w:t>
            </w:r>
          </w:p>
        </w:tc>
        <w:tc>
          <w:tcPr>
            <w:tcW w:w="1559" w:type="dxa"/>
            <w:vAlign w:val="bottom"/>
          </w:tcPr>
          <w:p w14:paraId="0FFBF14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-1,7%</w:t>
            </w:r>
          </w:p>
        </w:tc>
        <w:tc>
          <w:tcPr>
            <w:tcW w:w="1692" w:type="dxa"/>
            <w:vAlign w:val="bottom"/>
          </w:tcPr>
          <w:p w14:paraId="4F633ED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0,3%</w:t>
            </w:r>
          </w:p>
        </w:tc>
      </w:tr>
      <w:tr w:rsidR="00862C60" w14:paraId="78DFBBED"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3F36976"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268" w:type="dxa"/>
            <w:vAlign w:val="bottom"/>
          </w:tcPr>
          <w:p w14:paraId="5C21D93D"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Huesca capital</w:t>
            </w:r>
          </w:p>
        </w:tc>
        <w:tc>
          <w:tcPr>
            <w:tcW w:w="1984" w:type="dxa"/>
            <w:vAlign w:val="bottom"/>
          </w:tcPr>
          <w:p w14:paraId="1997DF4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1.630 €</w:t>
            </w:r>
          </w:p>
        </w:tc>
        <w:tc>
          <w:tcPr>
            <w:tcW w:w="1559" w:type="dxa"/>
            <w:vAlign w:val="bottom"/>
          </w:tcPr>
          <w:p w14:paraId="725DE37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3,3%</w:t>
            </w:r>
          </w:p>
        </w:tc>
        <w:tc>
          <w:tcPr>
            <w:tcW w:w="1692" w:type="dxa"/>
            <w:vAlign w:val="bottom"/>
          </w:tcPr>
          <w:p w14:paraId="16EC0DF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-0,7%</w:t>
            </w:r>
          </w:p>
        </w:tc>
      </w:tr>
      <w:tr w:rsidR="00862C60" w14:paraId="176C30CE"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A396A16"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268" w:type="dxa"/>
            <w:vAlign w:val="bottom"/>
          </w:tcPr>
          <w:p w14:paraId="47A7928D"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984" w:type="dxa"/>
            <w:vAlign w:val="bottom"/>
          </w:tcPr>
          <w:p w14:paraId="02AE0CC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1.320 €</w:t>
            </w:r>
          </w:p>
        </w:tc>
        <w:tc>
          <w:tcPr>
            <w:tcW w:w="1559" w:type="dxa"/>
            <w:vAlign w:val="bottom"/>
          </w:tcPr>
          <w:p w14:paraId="6A2D1B2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-2,6%</w:t>
            </w:r>
          </w:p>
        </w:tc>
        <w:tc>
          <w:tcPr>
            <w:tcW w:w="1692" w:type="dxa"/>
            <w:vAlign w:val="bottom"/>
          </w:tcPr>
          <w:p w14:paraId="5F77F12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-2,3%</w:t>
            </w:r>
          </w:p>
        </w:tc>
      </w:tr>
      <w:tr w:rsidR="00862C60" w14:paraId="6B1A01DF"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990011"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04A44C9E"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1984" w:type="dxa"/>
            <w:vAlign w:val="bottom"/>
          </w:tcPr>
          <w:p w14:paraId="2E1C04F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2.652 €</w:t>
            </w:r>
          </w:p>
        </w:tc>
        <w:tc>
          <w:tcPr>
            <w:tcW w:w="1559" w:type="dxa"/>
            <w:vAlign w:val="bottom"/>
          </w:tcPr>
          <w:p w14:paraId="03F7611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w:t>
            </w:r>
          </w:p>
        </w:tc>
        <w:tc>
          <w:tcPr>
            <w:tcW w:w="1692" w:type="dxa"/>
            <w:vAlign w:val="bottom"/>
          </w:tcPr>
          <w:p w14:paraId="445424F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-2,3%</w:t>
            </w:r>
          </w:p>
        </w:tc>
      </w:tr>
    </w:tbl>
    <w:p w14:paraId="5FC6BD6C" w14:textId="77777777" w:rsidR="00862C60"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665DCA59" w14:textId="77777777" w:rsidR="00862C60"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el 84% de los 667 municipios con variación interanual analizados </w:t>
      </w:r>
      <w:r>
        <w:rPr>
          <w:rFonts w:ascii="Open Sans" w:eastAsia="Open Sans" w:hAnsi="Open Sans" w:cs="Open Sans"/>
        </w:rPr>
        <w:t xml:space="preserve">por </w:t>
      </w:r>
      <w:hyperlink r:id="rId12">
        <w:r w:rsidR="00862C60">
          <w:rPr>
            <w:rFonts w:ascii="Open Sans" w:eastAsia="Open Sans" w:hAnsi="Open Sans" w:cs="Open Sans"/>
            <w:color w:val="0000FF"/>
            <w:u w:val="single"/>
          </w:rPr>
          <w:t>Fotocasa</w:t>
        </w:r>
      </w:hyperlink>
      <w:r>
        <w:rPr>
          <w:rFonts w:ascii="Open Sans" w:eastAsia="Open Sans" w:hAnsi="Open Sans" w:cs="Open Sans"/>
        </w:rPr>
        <w:t xml:space="preserve">. En 11 (2%) </w:t>
      </w:r>
      <w:r>
        <w:rPr>
          <w:rFonts w:ascii="Open Sans" w:eastAsia="Open Sans" w:hAnsi="Open Sans" w:cs="Open Sans"/>
          <w:color w:val="000000"/>
        </w:rPr>
        <w:t>de los municipios sube el valor interanual de la vivienda por encima del 50% y son:</w:t>
      </w:r>
      <w:r>
        <w:t xml:space="preserve"> </w:t>
      </w:r>
      <w:r>
        <w:rPr>
          <w:rFonts w:ascii="Open Sans" w:eastAsia="Open Sans" w:hAnsi="Open Sans" w:cs="Open Sans"/>
          <w:color w:val="000000"/>
        </w:rPr>
        <w:t>Bigastro (76,7%</w:t>
      </w:r>
      <w:r>
        <w:rPr>
          <w:rFonts w:ascii="Open Sans" w:eastAsia="Open Sans" w:hAnsi="Open Sans" w:cs="Open Sans"/>
        </w:rPr>
        <w:t xml:space="preserve">), </w:t>
      </w:r>
      <w:r>
        <w:rPr>
          <w:rFonts w:ascii="Open Sans" w:eastAsia="Open Sans" w:hAnsi="Open Sans" w:cs="Open Sans"/>
          <w:color w:val="000000"/>
        </w:rPr>
        <w:t>Los Alcázares (72,7%</w:t>
      </w:r>
      <w:r>
        <w:rPr>
          <w:rFonts w:ascii="Open Sans" w:eastAsia="Open Sans" w:hAnsi="Open Sans" w:cs="Open Sans"/>
        </w:rPr>
        <w:t xml:space="preserve">), </w:t>
      </w:r>
      <w:r>
        <w:rPr>
          <w:rFonts w:ascii="Open Sans" w:eastAsia="Open Sans" w:hAnsi="Open Sans" w:cs="Open Sans"/>
          <w:color w:val="000000"/>
        </w:rPr>
        <w:t>Mutxamel (67,1%</w:t>
      </w:r>
      <w:r>
        <w:rPr>
          <w:rFonts w:ascii="Open Sans" w:eastAsia="Open Sans" w:hAnsi="Open Sans" w:cs="Open Sans"/>
        </w:rPr>
        <w:t xml:space="preserve">), </w:t>
      </w:r>
      <w:r>
        <w:rPr>
          <w:rFonts w:ascii="Open Sans" w:eastAsia="Open Sans" w:hAnsi="Open Sans" w:cs="Open Sans"/>
          <w:color w:val="000000"/>
        </w:rPr>
        <w:t>La Nucia (63,9%</w:t>
      </w:r>
      <w:r>
        <w:rPr>
          <w:rFonts w:ascii="Open Sans" w:eastAsia="Open Sans" w:hAnsi="Open Sans" w:cs="Open Sans"/>
        </w:rPr>
        <w:t xml:space="preserve">), </w:t>
      </w:r>
      <w:r>
        <w:rPr>
          <w:rFonts w:ascii="Open Sans" w:eastAsia="Open Sans" w:hAnsi="Open Sans" w:cs="Open Sans"/>
          <w:color w:val="000000"/>
        </w:rPr>
        <w:t>San Pedro del Pinatar (63,5%</w:t>
      </w:r>
      <w:r>
        <w:rPr>
          <w:rFonts w:ascii="Open Sans" w:eastAsia="Open Sans" w:hAnsi="Open Sans" w:cs="Open Sans"/>
        </w:rPr>
        <w:t xml:space="preserve">), </w:t>
      </w:r>
      <w:r>
        <w:rPr>
          <w:rFonts w:ascii="Open Sans" w:eastAsia="Open Sans" w:hAnsi="Open Sans" w:cs="Open Sans"/>
          <w:color w:val="000000"/>
        </w:rPr>
        <w:t>Marín (62,4%</w:t>
      </w:r>
      <w:r>
        <w:rPr>
          <w:rFonts w:ascii="Open Sans" w:eastAsia="Open Sans" w:hAnsi="Open Sans" w:cs="Open Sans"/>
        </w:rPr>
        <w:t xml:space="preserve">), </w:t>
      </w:r>
      <w:r>
        <w:rPr>
          <w:rFonts w:ascii="Open Sans" w:eastAsia="Open Sans" w:hAnsi="Open Sans" w:cs="Open Sans"/>
          <w:color w:val="000000"/>
        </w:rPr>
        <w:t>El Verger (60,9%</w:t>
      </w:r>
      <w:r>
        <w:rPr>
          <w:rFonts w:ascii="Open Sans" w:eastAsia="Open Sans" w:hAnsi="Open Sans" w:cs="Open Sans"/>
        </w:rPr>
        <w:t xml:space="preserve">), </w:t>
      </w:r>
      <w:r>
        <w:rPr>
          <w:rFonts w:ascii="Open Sans" w:eastAsia="Open Sans" w:hAnsi="Open Sans" w:cs="Open Sans"/>
          <w:color w:val="000000"/>
        </w:rPr>
        <w:t>Pego (52,7%</w:t>
      </w:r>
      <w:r>
        <w:rPr>
          <w:rFonts w:ascii="Open Sans" w:eastAsia="Open Sans" w:hAnsi="Open Sans" w:cs="Open Sans"/>
        </w:rPr>
        <w:t xml:space="preserve">), </w:t>
      </w:r>
      <w:r>
        <w:rPr>
          <w:rFonts w:ascii="Open Sans" w:eastAsia="Open Sans" w:hAnsi="Open Sans" w:cs="Open Sans"/>
          <w:color w:val="000000"/>
        </w:rPr>
        <w:t>Dolores (52,3%</w:t>
      </w:r>
      <w:r>
        <w:rPr>
          <w:rFonts w:ascii="Open Sans" w:eastAsia="Open Sans" w:hAnsi="Open Sans" w:cs="Open Sans"/>
        </w:rPr>
        <w:t xml:space="preserve">), </w:t>
      </w:r>
      <w:r>
        <w:rPr>
          <w:rFonts w:ascii="Open Sans" w:eastAsia="Open Sans" w:hAnsi="Open Sans" w:cs="Open Sans"/>
          <w:color w:val="000000"/>
        </w:rPr>
        <w:t>Campos (51,5%</w:t>
      </w:r>
      <w:r>
        <w:rPr>
          <w:rFonts w:ascii="Open Sans" w:eastAsia="Open Sans" w:hAnsi="Open Sans" w:cs="Open Sans"/>
        </w:rPr>
        <w:t xml:space="preserve">) y </w:t>
      </w:r>
      <w:r>
        <w:rPr>
          <w:rFonts w:ascii="Open Sans" w:eastAsia="Open Sans" w:hAnsi="Open Sans" w:cs="Open Sans"/>
          <w:color w:val="000000"/>
        </w:rPr>
        <w:t>Monforte del Cid (51,3%</w:t>
      </w:r>
      <w:r>
        <w:rPr>
          <w:rFonts w:ascii="Open Sans" w:eastAsia="Open Sans" w:hAnsi="Open Sans" w:cs="Open Sans"/>
        </w:rPr>
        <w:t xml:space="preserve">). Por otro lado, las diez ciudades con los mayores descensos interanuales son </w:t>
      </w:r>
      <w:r>
        <w:rPr>
          <w:rFonts w:ascii="Open Sans" w:eastAsia="Open Sans" w:hAnsi="Open Sans" w:cs="Open Sans"/>
          <w:color w:val="000000"/>
        </w:rPr>
        <w:t>Cartaya (-43,1%</w:t>
      </w:r>
      <w:r>
        <w:rPr>
          <w:rFonts w:ascii="Open Sans" w:eastAsia="Open Sans" w:hAnsi="Open Sans" w:cs="Open Sans"/>
        </w:rPr>
        <w:t xml:space="preserve">), </w:t>
      </w:r>
      <w:r>
        <w:rPr>
          <w:rFonts w:ascii="Open Sans" w:eastAsia="Open Sans" w:hAnsi="Open Sans" w:cs="Open Sans"/>
          <w:color w:val="000000"/>
        </w:rPr>
        <w:t>Sanlúcar la Mayor (-35,4%</w:t>
      </w:r>
      <w:r>
        <w:rPr>
          <w:rFonts w:ascii="Open Sans" w:eastAsia="Open Sans" w:hAnsi="Open Sans" w:cs="Open Sans"/>
        </w:rPr>
        <w:t xml:space="preserve">), </w:t>
      </w:r>
      <w:r>
        <w:rPr>
          <w:rFonts w:ascii="Open Sans" w:eastAsia="Open Sans" w:hAnsi="Open Sans" w:cs="Open Sans"/>
          <w:color w:val="000000"/>
        </w:rPr>
        <w:t>Peligros (-18,0%</w:t>
      </w:r>
      <w:r>
        <w:rPr>
          <w:rFonts w:ascii="Open Sans" w:eastAsia="Open Sans" w:hAnsi="Open Sans" w:cs="Open Sans"/>
        </w:rPr>
        <w:t xml:space="preserve">), </w:t>
      </w:r>
      <w:r>
        <w:rPr>
          <w:rFonts w:ascii="Open Sans" w:eastAsia="Open Sans" w:hAnsi="Open Sans" w:cs="Open Sans"/>
          <w:color w:val="000000"/>
        </w:rPr>
        <w:t>Miguelturra (-15,1%</w:t>
      </w:r>
      <w:r>
        <w:rPr>
          <w:rFonts w:ascii="Open Sans" w:eastAsia="Open Sans" w:hAnsi="Open Sans" w:cs="Open Sans"/>
        </w:rPr>
        <w:t xml:space="preserve">), </w:t>
      </w:r>
      <w:r>
        <w:rPr>
          <w:rFonts w:ascii="Open Sans" w:eastAsia="Open Sans" w:hAnsi="Open Sans" w:cs="Open Sans"/>
          <w:color w:val="000000"/>
        </w:rPr>
        <w:t>La Orotava (-14,9%</w:t>
      </w:r>
      <w:r>
        <w:rPr>
          <w:rFonts w:ascii="Open Sans" w:eastAsia="Open Sans" w:hAnsi="Open Sans" w:cs="Open Sans"/>
        </w:rPr>
        <w:t xml:space="preserve">), </w:t>
      </w:r>
      <w:r>
        <w:rPr>
          <w:rFonts w:ascii="Open Sans" w:eastAsia="Open Sans" w:hAnsi="Open Sans" w:cs="Open Sans"/>
          <w:color w:val="000000"/>
        </w:rPr>
        <w:t>Salt (-14,8%</w:t>
      </w:r>
      <w:r>
        <w:rPr>
          <w:rFonts w:ascii="Open Sans" w:eastAsia="Open Sans" w:hAnsi="Open Sans" w:cs="Open Sans"/>
        </w:rPr>
        <w:t xml:space="preserve">), </w:t>
      </w:r>
      <w:r>
        <w:rPr>
          <w:rFonts w:ascii="Open Sans" w:eastAsia="Open Sans" w:hAnsi="Open Sans" w:cs="Open Sans"/>
          <w:color w:val="000000"/>
        </w:rPr>
        <w:t>Calahorra (-12,5%</w:t>
      </w:r>
      <w:r>
        <w:rPr>
          <w:rFonts w:ascii="Open Sans" w:eastAsia="Open Sans" w:hAnsi="Open Sans" w:cs="Open Sans"/>
        </w:rPr>
        <w:t xml:space="preserve">), </w:t>
      </w:r>
      <w:r>
        <w:rPr>
          <w:rFonts w:ascii="Open Sans" w:eastAsia="Open Sans" w:hAnsi="Open Sans" w:cs="Open Sans"/>
          <w:color w:val="000000"/>
        </w:rPr>
        <w:t>Barreiros (-12,1%</w:t>
      </w:r>
      <w:r>
        <w:rPr>
          <w:rFonts w:ascii="Open Sans" w:eastAsia="Open Sans" w:hAnsi="Open Sans" w:cs="Open Sans"/>
        </w:rPr>
        <w:t xml:space="preserve">), </w:t>
      </w:r>
      <w:r>
        <w:rPr>
          <w:rFonts w:ascii="Open Sans" w:eastAsia="Open Sans" w:hAnsi="Open Sans" w:cs="Open Sans"/>
          <w:color w:val="000000"/>
        </w:rPr>
        <w:t>Sant Celoni (-10,7%</w:t>
      </w:r>
      <w:r>
        <w:rPr>
          <w:rFonts w:ascii="Open Sans" w:eastAsia="Open Sans" w:hAnsi="Open Sans" w:cs="Open Sans"/>
        </w:rPr>
        <w:t xml:space="preserve">) y </w:t>
      </w:r>
      <w:r>
        <w:rPr>
          <w:rFonts w:ascii="Open Sans" w:eastAsia="Open Sans" w:hAnsi="Open Sans" w:cs="Open Sans"/>
          <w:color w:val="000000"/>
        </w:rPr>
        <w:t>Marchena (-10,0%</w:t>
      </w:r>
      <w:r>
        <w:rPr>
          <w:rFonts w:ascii="Open Sans" w:eastAsia="Open Sans" w:hAnsi="Open Sans" w:cs="Open Sans"/>
        </w:rPr>
        <w:t>).</w:t>
      </w:r>
    </w:p>
    <w:p w14:paraId="3728AAAC" w14:textId="77777777" w:rsidR="00862C60"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abril, vemos que el orden de las ciudades con un precio superior a los 5.000 euros/m</w:t>
      </w:r>
      <w:r>
        <w:rPr>
          <w:rFonts w:ascii="Open Sans" w:eastAsia="Open Sans" w:hAnsi="Open Sans" w:cs="Open Sans"/>
          <w:color w:val="000000"/>
          <w:vertAlign w:val="superscript"/>
        </w:rPr>
        <w:t>2</w:t>
      </w:r>
      <w:r>
        <w:rPr>
          <w:rFonts w:ascii="Open Sans" w:eastAsia="Open Sans" w:hAnsi="Open Sans" w:cs="Open Sans"/>
          <w:color w:val="000000"/>
        </w:rPr>
        <w:t xml:space="preserve">: Santa Eulària des </w:t>
      </w:r>
      <w:proofErr w:type="spellStart"/>
      <w:r>
        <w:rPr>
          <w:rFonts w:ascii="Open Sans" w:eastAsia="Open Sans" w:hAnsi="Open Sans" w:cs="Open Sans"/>
          <w:color w:val="000000"/>
        </w:rPr>
        <w:t>Riu</w:t>
      </w:r>
      <w:proofErr w:type="spellEnd"/>
      <w:r>
        <w:rPr>
          <w:rFonts w:ascii="Open Sans" w:eastAsia="Open Sans" w:hAnsi="Open Sans" w:cs="Open Sans"/>
          <w:color w:val="000000"/>
        </w:rPr>
        <w:t xml:space="preserve"> con 8.347 euros/m</w:t>
      </w:r>
      <w:r>
        <w:rPr>
          <w:rFonts w:ascii="Open Sans" w:eastAsia="Open Sans" w:hAnsi="Open Sans" w:cs="Open Sans"/>
          <w:color w:val="000000"/>
          <w:vertAlign w:val="superscript"/>
        </w:rPr>
        <w:t>2</w:t>
      </w:r>
      <w:r>
        <w:rPr>
          <w:rFonts w:ascii="Open Sans" w:eastAsia="Open Sans" w:hAnsi="Open Sans" w:cs="Open Sans"/>
          <w:color w:val="000000"/>
        </w:rPr>
        <w:t>, Eivissa con 7.214 euros/m</w:t>
      </w:r>
      <w:r>
        <w:rPr>
          <w:rFonts w:ascii="Open Sans" w:eastAsia="Open Sans" w:hAnsi="Open Sans" w:cs="Open Sans"/>
          <w:color w:val="000000"/>
          <w:vertAlign w:val="superscript"/>
        </w:rPr>
        <w:t>2</w:t>
      </w:r>
      <w:r>
        <w:rPr>
          <w:rFonts w:ascii="Open Sans" w:eastAsia="Open Sans" w:hAnsi="Open Sans" w:cs="Open Sans"/>
          <w:color w:val="000000"/>
        </w:rPr>
        <w:t>, La Moraleja con 6.818 euros/m</w:t>
      </w:r>
      <w:r>
        <w:rPr>
          <w:rFonts w:ascii="Open Sans" w:eastAsia="Open Sans" w:hAnsi="Open Sans" w:cs="Open Sans"/>
          <w:color w:val="000000"/>
          <w:vertAlign w:val="superscript"/>
        </w:rPr>
        <w:t>2</w:t>
      </w:r>
      <w:r>
        <w:rPr>
          <w:rFonts w:ascii="Open Sans" w:eastAsia="Open Sans" w:hAnsi="Open Sans" w:cs="Open Sans"/>
          <w:color w:val="000000"/>
        </w:rPr>
        <w:t>, Donostia - San Sebastián con 6.789 euros/m</w:t>
      </w:r>
      <w:r>
        <w:rPr>
          <w:rFonts w:ascii="Open Sans" w:eastAsia="Open Sans" w:hAnsi="Open Sans" w:cs="Open Sans"/>
          <w:color w:val="000000"/>
          <w:vertAlign w:val="superscript"/>
        </w:rPr>
        <w:t>2</w:t>
      </w:r>
      <w:r>
        <w:rPr>
          <w:rFonts w:ascii="Open Sans" w:eastAsia="Open Sans" w:hAnsi="Open Sans" w:cs="Open Sans"/>
          <w:color w:val="000000"/>
        </w:rPr>
        <w:t>, Zarautz con 6.556 euros/m</w:t>
      </w:r>
      <w:r>
        <w:rPr>
          <w:rFonts w:ascii="Open Sans" w:eastAsia="Open Sans" w:hAnsi="Open Sans" w:cs="Open Sans"/>
          <w:color w:val="000000"/>
          <w:vertAlign w:val="superscript"/>
        </w:rPr>
        <w:t>2</w:t>
      </w:r>
      <w:r>
        <w:rPr>
          <w:rFonts w:ascii="Open Sans" w:eastAsia="Open Sans" w:hAnsi="Open Sans" w:cs="Open Sans"/>
          <w:color w:val="000000"/>
        </w:rPr>
        <w:t xml:space="preserve">, Sant Josep de </w:t>
      </w:r>
      <w:proofErr w:type="spellStart"/>
      <w:r>
        <w:rPr>
          <w:rFonts w:ascii="Open Sans" w:eastAsia="Open Sans" w:hAnsi="Open Sans" w:cs="Open Sans"/>
          <w:color w:val="000000"/>
        </w:rPr>
        <w:t>sa</w:t>
      </w:r>
      <w:proofErr w:type="spellEnd"/>
      <w:r>
        <w:rPr>
          <w:rFonts w:ascii="Open Sans" w:eastAsia="Open Sans" w:hAnsi="Open Sans" w:cs="Open Sans"/>
          <w:color w:val="000000"/>
        </w:rPr>
        <w:t xml:space="preserve"> Talaia con 6.516 euros/m</w:t>
      </w:r>
      <w:r>
        <w:rPr>
          <w:rFonts w:ascii="Open Sans" w:eastAsia="Open Sans" w:hAnsi="Open Sans" w:cs="Open Sans"/>
          <w:color w:val="000000"/>
          <w:vertAlign w:val="superscript"/>
        </w:rPr>
        <w:t>2</w:t>
      </w:r>
      <w:r>
        <w:rPr>
          <w:rFonts w:ascii="Open Sans" w:eastAsia="Open Sans" w:hAnsi="Open Sans" w:cs="Open Sans"/>
          <w:color w:val="000000"/>
        </w:rPr>
        <w:t>, Calvià con 6.298 euros/m</w:t>
      </w:r>
      <w:r>
        <w:rPr>
          <w:rFonts w:ascii="Open Sans" w:eastAsia="Open Sans" w:hAnsi="Open Sans" w:cs="Open Sans"/>
          <w:color w:val="000000"/>
          <w:vertAlign w:val="superscript"/>
        </w:rPr>
        <w:t>2</w:t>
      </w:r>
      <w:r>
        <w:rPr>
          <w:rFonts w:ascii="Open Sans" w:eastAsia="Open Sans" w:hAnsi="Open Sans" w:cs="Open Sans"/>
          <w:color w:val="000000"/>
        </w:rPr>
        <w:t>, Campos con 6.177 euros/m</w:t>
      </w:r>
      <w:r>
        <w:rPr>
          <w:rFonts w:ascii="Open Sans" w:eastAsia="Open Sans" w:hAnsi="Open Sans" w:cs="Open Sans"/>
          <w:color w:val="000000"/>
          <w:vertAlign w:val="superscript"/>
        </w:rPr>
        <w:t>2</w:t>
      </w:r>
      <w:r>
        <w:rPr>
          <w:rFonts w:ascii="Open Sans" w:eastAsia="Open Sans" w:hAnsi="Open Sans" w:cs="Open Sans"/>
          <w:color w:val="000000"/>
        </w:rPr>
        <w:t>, Madrid capital con 5.936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Benahavís</w:t>
      </w:r>
      <w:proofErr w:type="spellEnd"/>
      <w:r>
        <w:rPr>
          <w:rFonts w:ascii="Open Sans" w:eastAsia="Open Sans" w:hAnsi="Open Sans" w:cs="Open Sans"/>
          <w:color w:val="000000"/>
        </w:rPr>
        <w:t xml:space="preserve"> con 5.451 euros/m</w:t>
      </w:r>
      <w:r>
        <w:rPr>
          <w:rFonts w:ascii="Open Sans" w:eastAsia="Open Sans" w:hAnsi="Open Sans" w:cs="Open Sans"/>
          <w:color w:val="000000"/>
          <w:vertAlign w:val="superscript"/>
        </w:rPr>
        <w:t>2</w:t>
      </w:r>
      <w:r>
        <w:rPr>
          <w:rFonts w:ascii="Open Sans" w:eastAsia="Open Sans" w:hAnsi="Open Sans" w:cs="Open Sans"/>
          <w:color w:val="000000"/>
        </w:rPr>
        <w:t>, Sant Cugat del Vallès con 5.376 euros/m</w:t>
      </w:r>
      <w:r>
        <w:rPr>
          <w:rFonts w:ascii="Open Sans" w:eastAsia="Open Sans" w:hAnsi="Open Sans" w:cs="Open Sans"/>
          <w:color w:val="000000"/>
          <w:vertAlign w:val="superscript"/>
        </w:rPr>
        <w:t>2</w:t>
      </w:r>
      <w:r>
        <w:rPr>
          <w:rFonts w:ascii="Open Sans" w:eastAsia="Open Sans" w:hAnsi="Open Sans" w:cs="Open Sans"/>
          <w:color w:val="000000"/>
        </w:rPr>
        <w:t>, Pozuelo de Alarcón con 5.371 euros/m</w:t>
      </w:r>
      <w:r>
        <w:rPr>
          <w:rFonts w:ascii="Open Sans" w:eastAsia="Open Sans" w:hAnsi="Open Sans" w:cs="Open Sans"/>
          <w:color w:val="000000"/>
          <w:vertAlign w:val="superscript"/>
        </w:rPr>
        <w:t>2</w:t>
      </w:r>
      <w:r>
        <w:rPr>
          <w:rFonts w:ascii="Open Sans" w:eastAsia="Open Sans" w:hAnsi="Open Sans" w:cs="Open Sans"/>
          <w:color w:val="000000"/>
        </w:rPr>
        <w:t>, Santanyí con 5.222 euros/m</w:t>
      </w:r>
      <w:r>
        <w:rPr>
          <w:rFonts w:ascii="Open Sans" w:eastAsia="Open Sans" w:hAnsi="Open Sans" w:cs="Open Sans"/>
          <w:color w:val="000000"/>
          <w:vertAlign w:val="superscript"/>
        </w:rPr>
        <w:t>2</w:t>
      </w:r>
      <w:r>
        <w:rPr>
          <w:rFonts w:ascii="Open Sans" w:eastAsia="Open Sans" w:hAnsi="Open Sans" w:cs="Open Sans"/>
          <w:color w:val="000000"/>
        </w:rPr>
        <w:t>, Marbella con 5.211 euros/m</w:t>
      </w:r>
      <w:r>
        <w:rPr>
          <w:rFonts w:ascii="Open Sans" w:eastAsia="Open Sans" w:hAnsi="Open Sans" w:cs="Open Sans"/>
          <w:color w:val="000000"/>
          <w:vertAlign w:val="superscript"/>
        </w:rPr>
        <w:t>2</w:t>
      </w:r>
      <w:r>
        <w:rPr>
          <w:rFonts w:ascii="Open Sans" w:eastAsia="Open Sans" w:hAnsi="Open Sans" w:cs="Open Sans"/>
          <w:color w:val="000000"/>
        </w:rPr>
        <w:t>, Sitges con 5.161 euros/m</w:t>
      </w:r>
      <w:r>
        <w:rPr>
          <w:rFonts w:ascii="Open Sans" w:eastAsia="Open Sans" w:hAnsi="Open Sans" w:cs="Open Sans"/>
          <w:color w:val="000000"/>
          <w:vertAlign w:val="superscript"/>
        </w:rPr>
        <w:t>2</w:t>
      </w:r>
      <w:r>
        <w:rPr>
          <w:rFonts w:ascii="Open Sans" w:eastAsia="Open Sans" w:hAnsi="Open Sans" w:cs="Open Sans"/>
          <w:color w:val="000000"/>
        </w:rPr>
        <w:t>, Barcelona capital con 5.007 euros/m</w:t>
      </w:r>
      <w:r>
        <w:rPr>
          <w:rFonts w:ascii="Open Sans" w:eastAsia="Open Sans" w:hAnsi="Open Sans" w:cs="Open Sans"/>
          <w:color w:val="000000"/>
          <w:vertAlign w:val="superscript"/>
        </w:rPr>
        <w:t>2</w:t>
      </w:r>
      <w:r>
        <w:rPr>
          <w:rFonts w:ascii="Open Sans" w:eastAsia="Open Sans" w:hAnsi="Open Sans" w:cs="Open Sans"/>
          <w:color w:val="000000"/>
        </w:rPr>
        <w:t xml:space="preserve"> y </w:t>
      </w:r>
      <w:proofErr w:type="spellStart"/>
      <w:r>
        <w:rPr>
          <w:rFonts w:ascii="Open Sans" w:eastAsia="Open Sans" w:hAnsi="Open Sans" w:cs="Open Sans"/>
          <w:color w:val="000000"/>
        </w:rPr>
        <w:t>Ses</w:t>
      </w:r>
      <w:proofErr w:type="spellEnd"/>
      <w:r>
        <w:rPr>
          <w:rFonts w:ascii="Open Sans" w:eastAsia="Open Sans" w:hAnsi="Open Sans" w:cs="Open Sans"/>
          <w:color w:val="000000"/>
        </w:rPr>
        <w:t xml:space="preserve"> Salines con 5.001 euros/m</w:t>
      </w:r>
      <w:r>
        <w:rPr>
          <w:rFonts w:ascii="Open Sans" w:eastAsia="Open Sans" w:hAnsi="Open Sans" w:cs="Open Sans"/>
          <w:color w:val="000000"/>
          <w:vertAlign w:val="superscript"/>
        </w:rPr>
        <w:t>2</w:t>
      </w:r>
      <w:r>
        <w:rPr>
          <w:rFonts w:ascii="Open Sans" w:eastAsia="Open Sans" w:hAnsi="Open Sans" w:cs="Open Sans"/>
          <w:color w:val="000000"/>
        </w:rPr>
        <w:t>.</w:t>
      </w:r>
    </w:p>
    <w:p w14:paraId="2E28695E" w14:textId="77777777" w:rsidR="00862C60"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Por otro lado, los municipios más económicos son: Torreperogil con 623 euros/m</w:t>
      </w:r>
      <w:r>
        <w:rPr>
          <w:rFonts w:ascii="Open Sans" w:eastAsia="Open Sans" w:hAnsi="Open Sans" w:cs="Open Sans"/>
          <w:color w:val="000000"/>
          <w:vertAlign w:val="superscript"/>
        </w:rPr>
        <w:t>2</w:t>
      </w:r>
      <w:r>
        <w:rPr>
          <w:rFonts w:ascii="Open Sans" w:eastAsia="Open Sans" w:hAnsi="Open Sans" w:cs="Open Sans"/>
          <w:color w:val="000000"/>
        </w:rPr>
        <w:t xml:space="preserve">, Villanueva del </w:t>
      </w:r>
      <w:proofErr w:type="gramStart"/>
      <w:r>
        <w:rPr>
          <w:rFonts w:ascii="Open Sans" w:eastAsia="Open Sans" w:hAnsi="Open Sans" w:cs="Open Sans"/>
          <w:color w:val="000000"/>
        </w:rPr>
        <w:t>Arzobispo</w:t>
      </w:r>
      <w:proofErr w:type="gramEnd"/>
      <w:r>
        <w:rPr>
          <w:rFonts w:ascii="Open Sans" w:eastAsia="Open Sans" w:hAnsi="Open Sans" w:cs="Open Sans"/>
          <w:color w:val="000000"/>
        </w:rPr>
        <w:t xml:space="preserve"> con 637 euros/m</w:t>
      </w:r>
      <w:r>
        <w:rPr>
          <w:rFonts w:ascii="Open Sans" w:eastAsia="Open Sans" w:hAnsi="Open Sans" w:cs="Open Sans"/>
          <w:color w:val="000000"/>
          <w:vertAlign w:val="superscript"/>
        </w:rPr>
        <w:t>2</w:t>
      </w:r>
      <w:r>
        <w:rPr>
          <w:rFonts w:ascii="Open Sans" w:eastAsia="Open Sans" w:hAnsi="Open Sans" w:cs="Open Sans"/>
          <w:color w:val="000000"/>
        </w:rPr>
        <w:t>, Pozuelo de Calatrava con 662 euros/m</w:t>
      </w:r>
      <w:r>
        <w:rPr>
          <w:rFonts w:ascii="Open Sans" w:eastAsia="Open Sans" w:hAnsi="Open Sans" w:cs="Open Sans"/>
          <w:color w:val="000000"/>
          <w:vertAlign w:val="superscript"/>
        </w:rPr>
        <w:t>2</w:t>
      </w:r>
      <w:r>
        <w:rPr>
          <w:rFonts w:ascii="Open Sans" w:eastAsia="Open Sans" w:hAnsi="Open Sans" w:cs="Open Sans"/>
          <w:color w:val="000000"/>
        </w:rPr>
        <w:t xml:space="preserve"> y </w:t>
      </w:r>
      <w:proofErr w:type="spellStart"/>
      <w:r>
        <w:rPr>
          <w:rFonts w:ascii="Open Sans" w:eastAsia="Open Sans" w:hAnsi="Open Sans" w:cs="Open Sans"/>
          <w:color w:val="000000"/>
        </w:rPr>
        <w:t>Tobarra</w:t>
      </w:r>
      <w:proofErr w:type="spellEnd"/>
      <w:r>
        <w:rPr>
          <w:rFonts w:ascii="Open Sans" w:eastAsia="Open Sans" w:hAnsi="Open Sans" w:cs="Open Sans"/>
          <w:color w:val="000000"/>
        </w:rPr>
        <w:t xml:space="preserve"> con 671 euros/m</w:t>
      </w:r>
      <w:r>
        <w:rPr>
          <w:rFonts w:ascii="Open Sans" w:eastAsia="Open Sans" w:hAnsi="Open Sans" w:cs="Open Sans"/>
          <w:color w:val="000000"/>
          <w:vertAlign w:val="superscript"/>
        </w:rPr>
        <w:t>2</w:t>
      </w:r>
      <w:r>
        <w:rPr>
          <w:rFonts w:ascii="Open Sans" w:eastAsia="Open Sans" w:hAnsi="Open Sans" w:cs="Open Sans"/>
          <w:color w:val="000000"/>
        </w:rPr>
        <w:t>.</w:t>
      </w:r>
    </w:p>
    <w:p w14:paraId="5F5F0FAA" w14:textId="77777777" w:rsidR="00862C60"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862C60" w14:paraId="39AA53D3" w14:textId="77777777" w:rsidTr="00862C60">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CE8E8C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6E367247" w14:textId="77777777" w:rsidR="00862C60"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39CB0E25"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3DEA8120"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60" w:type="dxa"/>
            <w:vAlign w:val="center"/>
          </w:tcPr>
          <w:p w14:paraId="686880BD"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0C1FC3E1"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62C60" w14:paraId="59DF93EA"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65E8B4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0411595E"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Bigastro</w:t>
            </w:r>
          </w:p>
        </w:tc>
        <w:tc>
          <w:tcPr>
            <w:tcW w:w="1984" w:type="dxa"/>
            <w:vAlign w:val="bottom"/>
          </w:tcPr>
          <w:p w14:paraId="289E1E5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1.253 €</w:t>
            </w:r>
          </w:p>
        </w:tc>
        <w:tc>
          <w:tcPr>
            <w:tcW w:w="1560" w:type="dxa"/>
            <w:vAlign w:val="bottom"/>
          </w:tcPr>
          <w:p w14:paraId="54FE325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20,3%</w:t>
            </w:r>
          </w:p>
        </w:tc>
        <w:tc>
          <w:tcPr>
            <w:tcW w:w="1701" w:type="dxa"/>
            <w:vAlign w:val="bottom"/>
          </w:tcPr>
          <w:p w14:paraId="36DD10F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76,7%</w:t>
            </w:r>
          </w:p>
        </w:tc>
      </w:tr>
      <w:tr w:rsidR="00862C60" w14:paraId="458BB74E"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13A51D8"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6562C380"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Los Alcázares</w:t>
            </w:r>
          </w:p>
        </w:tc>
        <w:tc>
          <w:tcPr>
            <w:tcW w:w="1984" w:type="dxa"/>
            <w:vAlign w:val="bottom"/>
          </w:tcPr>
          <w:p w14:paraId="18F3056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2.603 €</w:t>
            </w:r>
          </w:p>
        </w:tc>
        <w:tc>
          <w:tcPr>
            <w:tcW w:w="1560" w:type="dxa"/>
            <w:vAlign w:val="bottom"/>
          </w:tcPr>
          <w:p w14:paraId="3E231C9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w:t>
            </w:r>
          </w:p>
        </w:tc>
        <w:tc>
          <w:tcPr>
            <w:tcW w:w="1701" w:type="dxa"/>
            <w:vAlign w:val="bottom"/>
          </w:tcPr>
          <w:p w14:paraId="640C43A3"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72,7%</w:t>
            </w:r>
          </w:p>
        </w:tc>
      </w:tr>
      <w:tr w:rsidR="00862C60" w14:paraId="3277CBAA"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C04052D"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61476105"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Mutxamel</w:t>
            </w:r>
          </w:p>
        </w:tc>
        <w:tc>
          <w:tcPr>
            <w:tcW w:w="1984" w:type="dxa"/>
            <w:vAlign w:val="bottom"/>
          </w:tcPr>
          <w:p w14:paraId="0A61D63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2.734 €</w:t>
            </w:r>
          </w:p>
        </w:tc>
        <w:tc>
          <w:tcPr>
            <w:tcW w:w="1560" w:type="dxa"/>
            <w:vAlign w:val="bottom"/>
          </w:tcPr>
          <w:p w14:paraId="66637D7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w:t>
            </w:r>
          </w:p>
        </w:tc>
        <w:tc>
          <w:tcPr>
            <w:tcW w:w="1701" w:type="dxa"/>
            <w:vAlign w:val="bottom"/>
          </w:tcPr>
          <w:p w14:paraId="11D1A37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67,1%</w:t>
            </w:r>
          </w:p>
        </w:tc>
      </w:tr>
      <w:tr w:rsidR="00862C60" w14:paraId="1F6919DB"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8CD19A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2F5D7D19"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Nucia</w:t>
            </w:r>
          </w:p>
        </w:tc>
        <w:tc>
          <w:tcPr>
            <w:tcW w:w="1984" w:type="dxa"/>
            <w:vAlign w:val="bottom"/>
          </w:tcPr>
          <w:p w14:paraId="3094FDB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2.892 €</w:t>
            </w:r>
          </w:p>
        </w:tc>
        <w:tc>
          <w:tcPr>
            <w:tcW w:w="1560" w:type="dxa"/>
            <w:vAlign w:val="bottom"/>
          </w:tcPr>
          <w:p w14:paraId="5ED693A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w:t>
            </w:r>
          </w:p>
        </w:tc>
        <w:tc>
          <w:tcPr>
            <w:tcW w:w="1701" w:type="dxa"/>
            <w:vAlign w:val="bottom"/>
          </w:tcPr>
          <w:p w14:paraId="68EB214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63,9%</w:t>
            </w:r>
          </w:p>
        </w:tc>
      </w:tr>
      <w:tr w:rsidR="00862C60" w14:paraId="1A13AA4A"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E11B7B5"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28C169BB"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Pedro del Pinatar</w:t>
            </w:r>
          </w:p>
        </w:tc>
        <w:tc>
          <w:tcPr>
            <w:tcW w:w="1984" w:type="dxa"/>
            <w:vAlign w:val="bottom"/>
          </w:tcPr>
          <w:p w14:paraId="1F01EFA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2.351 €</w:t>
            </w:r>
          </w:p>
        </w:tc>
        <w:tc>
          <w:tcPr>
            <w:tcW w:w="1560" w:type="dxa"/>
            <w:vAlign w:val="bottom"/>
          </w:tcPr>
          <w:p w14:paraId="2853561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5,5%</w:t>
            </w:r>
          </w:p>
        </w:tc>
        <w:tc>
          <w:tcPr>
            <w:tcW w:w="1701" w:type="dxa"/>
            <w:vAlign w:val="bottom"/>
          </w:tcPr>
          <w:p w14:paraId="2019D52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63,5%</w:t>
            </w:r>
          </w:p>
        </w:tc>
      </w:tr>
      <w:tr w:rsidR="00862C60" w14:paraId="63D2FB5D"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F78A04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5" w:type="dxa"/>
            <w:vAlign w:val="bottom"/>
          </w:tcPr>
          <w:p w14:paraId="51AA14B1"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Marín</w:t>
            </w:r>
          </w:p>
        </w:tc>
        <w:tc>
          <w:tcPr>
            <w:tcW w:w="1984" w:type="dxa"/>
            <w:vAlign w:val="bottom"/>
          </w:tcPr>
          <w:p w14:paraId="04E8B40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1.653 €</w:t>
            </w:r>
          </w:p>
        </w:tc>
        <w:tc>
          <w:tcPr>
            <w:tcW w:w="1560" w:type="dxa"/>
            <w:vAlign w:val="bottom"/>
          </w:tcPr>
          <w:p w14:paraId="6E4F2F5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3,6%</w:t>
            </w:r>
          </w:p>
        </w:tc>
        <w:tc>
          <w:tcPr>
            <w:tcW w:w="1701" w:type="dxa"/>
            <w:vAlign w:val="bottom"/>
          </w:tcPr>
          <w:p w14:paraId="6ED7B1F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62,4%</w:t>
            </w:r>
          </w:p>
        </w:tc>
      </w:tr>
      <w:tr w:rsidR="00862C60" w14:paraId="57383D9A"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002064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58B70C42"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 Verger</w:t>
            </w:r>
          </w:p>
        </w:tc>
        <w:tc>
          <w:tcPr>
            <w:tcW w:w="1984" w:type="dxa"/>
            <w:vAlign w:val="bottom"/>
          </w:tcPr>
          <w:p w14:paraId="015E2A9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3.596 €</w:t>
            </w:r>
          </w:p>
        </w:tc>
        <w:tc>
          <w:tcPr>
            <w:tcW w:w="1560" w:type="dxa"/>
            <w:vAlign w:val="bottom"/>
          </w:tcPr>
          <w:p w14:paraId="14951BA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w:t>
            </w:r>
          </w:p>
        </w:tc>
        <w:tc>
          <w:tcPr>
            <w:tcW w:w="1701" w:type="dxa"/>
            <w:vAlign w:val="bottom"/>
          </w:tcPr>
          <w:p w14:paraId="3751C67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60,9%</w:t>
            </w:r>
          </w:p>
        </w:tc>
      </w:tr>
      <w:tr w:rsidR="00862C60" w14:paraId="4333E858"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3A02818"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522EF0D1"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Pego</w:t>
            </w:r>
          </w:p>
        </w:tc>
        <w:tc>
          <w:tcPr>
            <w:tcW w:w="1984" w:type="dxa"/>
            <w:vAlign w:val="bottom"/>
          </w:tcPr>
          <w:p w14:paraId="6DD9626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1.404 €</w:t>
            </w:r>
          </w:p>
        </w:tc>
        <w:tc>
          <w:tcPr>
            <w:tcW w:w="1560" w:type="dxa"/>
            <w:vAlign w:val="bottom"/>
          </w:tcPr>
          <w:p w14:paraId="47A2145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c>
          <w:tcPr>
            <w:tcW w:w="1701" w:type="dxa"/>
            <w:vAlign w:val="bottom"/>
          </w:tcPr>
          <w:p w14:paraId="2FF41E1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52,7%</w:t>
            </w:r>
          </w:p>
        </w:tc>
      </w:tr>
      <w:tr w:rsidR="00862C60" w14:paraId="0C5B82C4"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9655F7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010B6C57"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Dolores</w:t>
            </w:r>
          </w:p>
        </w:tc>
        <w:tc>
          <w:tcPr>
            <w:tcW w:w="1984" w:type="dxa"/>
            <w:vAlign w:val="bottom"/>
          </w:tcPr>
          <w:p w14:paraId="2E47E38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1.543 €</w:t>
            </w:r>
          </w:p>
        </w:tc>
        <w:tc>
          <w:tcPr>
            <w:tcW w:w="1560" w:type="dxa"/>
            <w:vAlign w:val="bottom"/>
          </w:tcPr>
          <w:p w14:paraId="16EF918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19,4%</w:t>
            </w:r>
          </w:p>
        </w:tc>
        <w:tc>
          <w:tcPr>
            <w:tcW w:w="1701" w:type="dxa"/>
            <w:vAlign w:val="bottom"/>
          </w:tcPr>
          <w:p w14:paraId="7FAF8A5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52,3%</w:t>
            </w:r>
          </w:p>
        </w:tc>
      </w:tr>
      <w:tr w:rsidR="00862C60" w14:paraId="30E81E34"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DB44FD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5" w:type="dxa"/>
            <w:vAlign w:val="bottom"/>
          </w:tcPr>
          <w:p w14:paraId="79673B73"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Campos</w:t>
            </w:r>
          </w:p>
        </w:tc>
        <w:tc>
          <w:tcPr>
            <w:tcW w:w="1984" w:type="dxa"/>
            <w:vAlign w:val="bottom"/>
          </w:tcPr>
          <w:p w14:paraId="086096E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6.177 €</w:t>
            </w:r>
          </w:p>
        </w:tc>
        <w:tc>
          <w:tcPr>
            <w:tcW w:w="1560" w:type="dxa"/>
            <w:vAlign w:val="bottom"/>
          </w:tcPr>
          <w:p w14:paraId="7C89D39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-4,3%</w:t>
            </w:r>
          </w:p>
        </w:tc>
        <w:tc>
          <w:tcPr>
            <w:tcW w:w="1701" w:type="dxa"/>
            <w:vAlign w:val="bottom"/>
          </w:tcPr>
          <w:p w14:paraId="4E87201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51,5%</w:t>
            </w:r>
          </w:p>
        </w:tc>
      </w:tr>
    </w:tbl>
    <w:p w14:paraId="59ED8B2F" w14:textId="77777777" w:rsidR="00F05959" w:rsidRDefault="00F05959">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2624339A" w14:textId="09388FB3" w:rsidR="00862C60"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descenso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8"/>
        <w:gridCol w:w="2268"/>
        <w:gridCol w:w="1984"/>
        <w:gridCol w:w="1560"/>
        <w:gridCol w:w="1701"/>
      </w:tblGrid>
      <w:tr w:rsidR="00862C60" w14:paraId="65AE5B19" w14:textId="77777777" w:rsidTr="00862C60">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5DC64AC"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030F1080" w14:textId="77777777" w:rsidR="00862C60"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73F8B532"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274C2FEF"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60" w:type="dxa"/>
            <w:vAlign w:val="center"/>
          </w:tcPr>
          <w:p w14:paraId="30D7BC77"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5F65F67F"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62C60" w14:paraId="31586FC7"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CE9BCAC"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5DF81695"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Cartaya</w:t>
            </w:r>
          </w:p>
        </w:tc>
        <w:tc>
          <w:tcPr>
            <w:tcW w:w="1984" w:type="dxa"/>
            <w:vAlign w:val="bottom"/>
          </w:tcPr>
          <w:p w14:paraId="118734F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930 €</w:t>
            </w:r>
          </w:p>
        </w:tc>
        <w:tc>
          <w:tcPr>
            <w:tcW w:w="1560" w:type="dxa"/>
            <w:vAlign w:val="bottom"/>
          </w:tcPr>
          <w:p w14:paraId="0B078B4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-3,1%</w:t>
            </w:r>
          </w:p>
        </w:tc>
        <w:tc>
          <w:tcPr>
            <w:tcW w:w="1701" w:type="dxa"/>
            <w:vAlign w:val="bottom"/>
          </w:tcPr>
          <w:p w14:paraId="3B75CD7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-43,1%</w:t>
            </w:r>
          </w:p>
        </w:tc>
      </w:tr>
      <w:tr w:rsidR="00862C60" w14:paraId="63E9E5D1"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8C4F07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26492660"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Sanlúcar la Mayor</w:t>
            </w:r>
          </w:p>
        </w:tc>
        <w:tc>
          <w:tcPr>
            <w:tcW w:w="1984" w:type="dxa"/>
            <w:vAlign w:val="bottom"/>
          </w:tcPr>
          <w:p w14:paraId="5F51E5F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952 €</w:t>
            </w:r>
          </w:p>
        </w:tc>
        <w:tc>
          <w:tcPr>
            <w:tcW w:w="1560" w:type="dxa"/>
            <w:vAlign w:val="bottom"/>
          </w:tcPr>
          <w:p w14:paraId="63F15F8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3DEA632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-35,4%</w:t>
            </w:r>
          </w:p>
        </w:tc>
      </w:tr>
      <w:tr w:rsidR="00862C60" w14:paraId="0AF796E6" w14:textId="77777777" w:rsidTr="00862C6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1F22744B"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07D43445"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Peligros</w:t>
            </w:r>
          </w:p>
        </w:tc>
        <w:tc>
          <w:tcPr>
            <w:tcW w:w="1984" w:type="dxa"/>
            <w:vAlign w:val="bottom"/>
          </w:tcPr>
          <w:p w14:paraId="72E5F86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1.177 €</w:t>
            </w:r>
          </w:p>
        </w:tc>
        <w:tc>
          <w:tcPr>
            <w:tcW w:w="1560" w:type="dxa"/>
            <w:vAlign w:val="bottom"/>
          </w:tcPr>
          <w:p w14:paraId="7B788B18"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c>
          <w:tcPr>
            <w:tcW w:w="1701" w:type="dxa"/>
            <w:vAlign w:val="bottom"/>
          </w:tcPr>
          <w:p w14:paraId="5A7D10B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-18,0%</w:t>
            </w:r>
          </w:p>
        </w:tc>
      </w:tr>
      <w:tr w:rsidR="00862C60" w14:paraId="77CBBF2B"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5764BB8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268" w:type="dxa"/>
            <w:vAlign w:val="bottom"/>
          </w:tcPr>
          <w:p w14:paraId="4E7B69A2"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Miguelturra</w:t>
            </w:r>
          </w:p>
        </w:tc>
        <w:tc>
          <w:tcPr>
            <w:tcW w:w="1984" w:type="dxa"/>
            <w:vAlign w:val="bottom"/>
          </w:tcPr>
          <w:p w14:paraId="6F90572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917 €</w:t>
            </w:r>
          </w:p>
        </w:tc>
        <w:tc>
          <w:tcPr>
            <w:tcW w:w="1560" w:type="dxa"/>
            <w:vAlign w:val="bottom"/>
          </w:tcPr>
          <w:p w14:paraId="0F6C2AD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0,8%</w:t>
            </w:r>
          </w:p>
        </w:tc>
        <w:tc>
          <w:tcPr>
            <w:tcW w:w="1701" w:type="dxa"/>
            <w:vAlign w:val="bottom"/>
          </w:tcPr>
          <w:p w14:paraId="43B4527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-15,1%</w:t>
            </w:r>
          </w:p>
        </w:tc>
      </w:tr>
      <w:tr w:rsidR="00862C60" w14:paraId="720A1329"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5E71DA11"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50C7AB58"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Orotava</w:t>
            </w:r>
          </w:p>
        </w:tc>
        <w:tc>
          <w:tcPr>
            <w:tcW w:w="1984" w:type="dxa"/>
            <w:vAlign w:val="bottom"/>
          </w:tcPr>
          <w:p w14:paraId="170541C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1.560 €</w:t>
            </w:r>
          </w:p>
        </w:tc>
        <w:tc>
          <w:tcPr>
            <w:tcW w:w="1560" w:type="dxa"/>
            <w:vAlign w:val="bottom"/>
          </w:tcPr>
          <w:p w14:paraId="3FB893C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01" w:type="dxa"/>
            <w:vAlign w:val="bottom"/>
          </w:tcPr>
          <w:p w14:paraId="270B27F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-14,9%</w:t>
            </w:r>
          </w:p>
        </w:tc>
      </w:tr>
      <w:tr w:rsidR="00862C60" w14:paraId="7078F7D7"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78E0E9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6FD1C87C"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Salt</w:t>
            </w:r>
          </w:p>
        </w:tc>
        <w:tc>
          <w:tcPr>
            <w:tcW w:w="1984" w:type="dxa"/>
            <w:vAlign w:val="bottom"/>
          </w:tcPr>
          <w:p w14:paraId="5E0527E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1.193 €</w:t>
            </w:r>
          </w:p>
        </w:tc>
        <w:tc>
          <w:tcPr>
            <w:tcW w:w="1560" w:type="dxa"/>
            <w:vAlign w:val="bottom"/>
          </w:tcPr>
          <w:p w14:paraId="06D856E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-6,8%</w:t>
            </w:r>
          </w:p>
        </w:tc>
        <w:tc>
          <w:tcPr>
            <w:tcW w:w="1701" w:type="dxa"/>
            <w:vAlign w:val="bottom"/>
          </w:tcPr>
          <w:p w14:paraId="348BC10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-14,8%</w:t>
            </w:r>
          </w:p>
        </w:tc>
      </w:tr>
      <w:tr w:rsidR="00862C60" w14:paraId="4D24750C"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BC8EC30"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1619DBA9"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Calahorra</w:t>
            </w:r>
          </w:p>
        </w:tc>
        <w:tc>
          <w:tcPr>
            <w:tcW w:w="1984" w:type="dxa"/>
            <w:vAlign w:val="bottom"/>
          </w:tcPr>
          <w:p w14:paraId="790C9D5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1.237 €</w:t>
            </w:r>
          </w:p>
        </w:tc>
        <w:tc>
          <w:tcPr>
            <w:tcW w:w="1560" w:type="dxa"/>
            <w:vAlign w:val="bottom"/>
          </w:tcPr>
          <w:p w14:paraId="73FDD0C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701" w:type="dxa"/>
            <w:vAlign w:val="bottom"/>
          </w:tcPr>
          <w:p w14:paraId="6B3E392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-12,5%</w:t>
            </w:r>
          </w:p>
        </w:tc>
      </w:tr>
      <w:tr w:rsidR="00862C60" w14:paraId="1C8B2703"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AAB376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65788543"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Barreiros</w:t>
            </w:r>
          </w:p>
        </w:tc>
        <w:tc>
          <w:tcPr>
            <w:tcW w:w="1984" w:type="dxa"/>
            <w:vAlign w:val="bottom"/>
          </w:tcPr>
          <w:p w14:paraId="5B9D534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1.836 €</w:t>
            </w:r>
          </w:p>
        </w:tc>
        <w:tc>
          <w:tcPr>
            <w:tcW w:w="1560" w:type="dxa"/>
            <w:vAlign w:val="bottom"/>
          </w:tcPr>
          <w:p w14:paraId="3D91836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126A8C0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-12,1%</w:t>
            </w:r>
          </w:p>
        </w:tc>
      </w:tr>
      <w:tr w:rsidR="00862C60" w14:paraId="7A15B340"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1646D97"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24CD08FB"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Celoni</w:t>
            </w:r>
          </w:p>
        </w:tc>
        <w:tc>
          <w:tcPr>
            <w:tcW w:w="1984" w:type="dxa"/>
            <w:vAlign w:val="bottom"/>
          </w:tcPr>
          <w:p w14:paraId="68DE57D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1.688 €</w:t>
            </w:r>
          </w:p>
        </w:tc>
        <w:tc>
          <w:tcPr>
            <w:tcW w:w="1560" w:type="dxa"/>
            <w:vAlign w:val="bottom"/>
          </w:tcPr>
          <w:p w14:paraId="34DC474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-2,8%</w:t>
            </w:r>
          </w:p>
        </w:tc>
        <w:tc>
          <w:tcPr>
            <w:tcW w:w="1701" w:type="dxa"/>
            <w:vAlign w:val="bottom"/>
          </w:tcPr>
          <w:p w14:paraId="01A6E11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-10,7%</w:t>
            </w:r>
          </w:p>
        </w:tc>
      </w:tr>
      <w:tr w:rsidR="00862C60" w14:paraId="2BD60329"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D8A892D"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36BD4A28"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Marchena</w:t>
            </w:r>
          </w:p>
        </w:tc>
        <w:tc>
          <w:tcPr>
            <w:tcW w:w="1984" w:type="dxa"/>
            <w:vAlign w:val="bottom"/>
          </w:tcPr>
          <w:p w14:paraId="16D2ACF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907 €</w:t>
            </w:r>
          </w:p>
        </w:tc>
        <w:tc>
          <w:tcPr>
            <w:tcW w:w="1560" w:type="dxa"/>
            <w:vAlign w:val="bottom"/>
          </w:tcPr>
          <w:p w14:paraId="2B42175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-2,2%</w:t>
            </w:r>
          </w:p>
        </w:tc>
        <w:tc>
          <w:tcPr>
            <w:tcW w:w="1701" w:type="dxa"/>
            <w:vAlign w:val="bottom"/>
          </w:tcPr>
          <w:p w14:paraId="2185FA0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-10,0%</w:t>
            </w:r>
          </w:p>
        </w:tc>
      </w:tr>
    </w:tbl>
    <w:p w14:paraId="1925CE5C" w14:textId="77777777" w:rsidR="00F05959" w:rsidRDefault="00F05959">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3BFDF319" w14:textId="77777777" w:rsidR="00F05959" w:rsidRDefault="00F05959">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4C441835" w14:textId="5A6A52F9" w:rsidR="00862C60"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862C60" w14:paraId="5281F307" w14:textId="77777777" w:rsidTr="00862C60">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B617AB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15AD0FE1" w14:textId="77777777" w:rsidR="00862C60"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2B46DF1D"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58EA3419"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2BDD97BF"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6F134D1B"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62C60" w14:paraId="42191361"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E5534E0"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05DA4D58"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Santa Eulària des </w:t>
            </w:r>
            <w:proofErr w:type="spellStart"/>
            <w:r>
              <w:rPr>
                <w:rFonts w:ascii="Open Sans" w:eastAsia="Open Sans" w:hAnsi="Open Sans" w:cs="Open Sans"/>
                <w:sz w:val="22"/>
                <w:szCs w:val="22"/>
              </w:rPr>
              <w:t>Riu</w:t>
            </w:r>
            <w:proofErr w:type="spellEnd"/>
          </w:p>
        </w:tc>
        <w:tc>
          <w:tcPr>
            <w:tcW w:w="1985" w:type="dxa"/>
            <w:vAlign w:val="bottom"/>
          </w:tcPr>
          <w:p w14:paraId="22D5E5E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8.347 €</w:t>
            </w:r>
          </w:p>
        </w:tc>
        <w:tc>
          <w:tcPr>
            <w:tcW w:w="1701" w:type="dxa"/>
            <w:vAlign w:val="bottom"/>
          </w:tcPr>
          <w:p w14:paraId="02E102C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701" w:type="dxa"/>
            <w:vAlign w:val="bottom"/>
          </w:tcPr>
          <w:p w14:paraId="0D34EA9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49,3%</w:t>
            </w:r>
          </w:p>
        </w:tc>
      </w:tr>
      <w:tr w:rsidR="00862C60" w14:paraId="091F4F44"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7093D41"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187FCD0B"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79E9DE1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7.214 €</w:t>
            </w:r>
          </w:p>
        </w:tc>
        <w:tc>
          <w:tcPr>
            <w:tcW w:w="1701" w:type="dxa"/>
            <w:vAlign w:val="bottom"/>
          </w:tcPr>
          <w:p w14:paraId="1BF9C99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0,9%</w:t>
            </w:r>
          </w:p>
        </w:tc>
        <w:tc>
          <w:tcPr>
            <w:tcW w:w="1701" w:type="dxa"/>
            <w:vAlign w:val="bottom"/>
          </w:tcPr>
          <w:p w14:paraId="58B7400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3,2%</w:t>
            </w:r>
          </w:p>
        </w:tc>
      </w:tr>
      <w:tr w:rsidR="00862C60" w14:paraId="62596C5E"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130A29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11D97DBA"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985" w:type="dxa"/>
            <w:vAlign w:val="bottom"/>
          </w:tcPr>
          <w:p w14:paraId="5FB9155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6.818 €</w:t>
            </w:r>
          </w:p>
        </w:tc>
        <w:tc>
          <w:tcPr>
            <w:tcW w:w="1701" w:type="dxa"/>
            <w:vAlign w:val="bottom"/>
          </w:tcPr>
          <w:p w14:paraId="5A75BE5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w:t>
            </w:r>
          </w:p>
        </w:tc>
        <w:tc>
          <w:tcPr>
            <w:tcW w:w="1701" w:type="dxa"/>
            <w:vAlign w:val="bottom"/>
          </w:tcPr>
          <w:p w14:paraId="72131D5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20,3%</w:t>
            </w:r>
          </w:p>
        </w:tc>
      </w:tr>
      <w:tr w:rsidR="00862C60" w14:paraId="339D050A"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B9F435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47E8323B"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5" w:type="dxa"/>
            <w:vAlign w:val="bottom"/>
          </w:tcPr>
          <w:p w14:paraId="31DBED6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6.789 €</w:t>
            </w:r>
          </w:p>
        </w:tc>
        <w:tc>
          <w:tcPr>
            <w:tcW w:w="1701" w:type="dxa"/>
            <w:vAlign w:val="bottom"/>
          </w:tcPr>
          <w:p w14:paraId="5D2F7EC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w:t>
            </w:r>
          </w:p>
        </w:tc>
        <w:tc>
          <w:tcPr>
            <w:tcW w:w="1701" w:type="dxa"/>
            <w:vAlign w:val="bottom"/>
          </w:tcPr>
          <w:p w14:paraId="02207E6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9,0%</w:t>
            </w:r>
          </w:p>
        </w:tc>
      </w:tr>
      <w:tr w:rsidR="00862C60" w14:paraId="5FD5872F"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9D71426"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3B2CB32C"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Zarautz</w:t>
            </w:r>
          </w:p>
        </w:tc>
        <w:tc>
          <w:tcPr>
            <w:tcW w:w="1985" w:type="dxa"/>
            <w:vAlign w:val="bottom"/>
          </w:tcPr>
          <w:p w14:paraId="3CE26FC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6.556 €</w:t>
            </w:r>
          </w:p>
        </w:tc>
        <w:tc>
          <w:tcPr>
            <w:tcW w:w="1701" w:type="dxa"/>
            <w:vAlign w:val="bottom"/>
          </w:tcPr>
          <w:p w14:paraId="55E637F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-3,2%</w:t>
            </w:r>
          </w:p>
        </w:tc>
        <w:tc>
          <w:tcPr>
            <w:tcW w:w="1701" w:type="dxa"/>
            <w:vAlign w:val="bottom"/>
          </w:tcPr>
          <w:p w14:paraId="7BFE24C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9,5%</w:t>
            </w:r>
          </w:p>
        </w:tc>
      </w:tr>
      <w:tr w:rsidR="00862C60" w14:paraId="0044392A"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DB00C6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05D8048A"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Sant Josep de </w:t>
            </w:r>
            <w:proofErr w:type="spellStart"/>
            <w:r>
              <w:rPr>
                <w:rFonts w:ascii="Open Sans" w:eastAsia="Open Sans" w:hAnsi="Open Sans" w:cs="Open Sans"/>
                <w:sz w:val="22"/>
                <w:szCs w:val="22"/>
              </w:rPr>
              <w:t>sa</w:t>
            </w:r>
            <w:proofErr w:type="spellEnd"/>
            <w:r>
              <w:rPr>
                <w:rFonts w:ascii="Open Sans" w:eastAsia="Open Sans" w:hAnsi="Open Sans" w:cs="Open Sans"/>
                <w:sz w:val="22"/>
                <w:szCs w:val="22"/>
              </w:rPr>
              <w:t xml:space="preserve"> Talaia</w:t>
            </w:r>
          </w:p>
        </w:tc>
        <w:tc>
          <w:tcPr>
            <w:tcW w:w="1985" w:type="dxa"/>
            <w:vAlign w:val="bottom"/>
          </w:tcPr>
          <w:p w14:paraId="4B32DC0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6.516 €</w:t>
            </w:r>
          </w:p>
        </w:tc>
        <w:tc>
          <w:tcPr>
            <w:tcW w:w="1701" w:type="dxa"/>
            <w:vAlign w:val="bottom"/>
          </w:tcPr>
          <w:p w14:paraId="7930C83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3,9%</w:t>
            </w:r>
          </w:p>
        </w:tc>
        <w:tc>
          <w:tcPr>
            <w:tcW w:w="1701" w:type="dxa"/>
            <w:vAlign w:val="bottom"/>
          </w:tcPr>
          <w:p w14:paraId="5F7E02F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17,7%</w:t>
            </w:r>
          </w:p>
        </w:tc>
      </w:tr>
      <w:tr w:rsidR="00862C60" w14:paraId="33A3B9B1"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451B0A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CF32A45"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77A9905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6.298 €</w:t>
            </w:r>
          </w:p>
        </w:tc>
        <w:tc>
          <w:tcPr>
            <w:tcW w:w="1701" w:type="dxa"/>
            <w:vAlign w:val="bottom"/>
          </w:tcPr>
          <w:p w14:paraId="3F13AD2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701" w:type="dxa"/>
            <w:vAlign w:val="bottom"/>
          </w:tcPr>
          <w:p w14:paraId="70E59C2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862C60" w14:paraId="66564987"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B17802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3F9C7BF6"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Campos</w:t>
            </w:r>
          </w:p>
        </w:tc>
        <w:tc>
          <w:tcPr>
            <w:tcW w:w="1985" w:type="dxa"/>
            <w:vAlign w:val="bottom"/>
          </w:tcPr>
          <w:p w14:paraId="714C68C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6.177 €</w:t>
            </w:r>
          </w:p>
        </w:tc>
        <w:tc>
          <w:tcPr>
            <w:tcW w:w="1701" w:type="dxa"/>
            <w:vAlign w:val="bottom"/>
          </w:tcPr>
          <w:p w14:paraId="1B5B8C8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c>
          <w:tcPr>
            <w:tcW w:w="1701" w:type="dxa"/>
            <w:vAlign w:val="bottom"/>
          </w:tcPr>
          <w:p w14:paraId="222AFDC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51,5%</w:t>
            </w:r>
          </w:p>
        </w:tc>
      </w:tr>
      <w:tr w:rsidR="00862C60" w14:paraId="79599C75"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74FAD8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66C062E3"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7D9E98A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5.936 €</w:t>
            </w:r>
          </w:p>
        </w:tc>
        <w:tc>
          <w:tcPr>
            <w:tcW w:w="1701" w:type="dxa"/>
            <w:vAlign w:val="bottom"/>
          </w:tcPr>
          <w:p w14:paraId="4853E22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1701" w:type="dxa"/>
            <w:vAlign w:val="bottom"/>
          </w:tcPr>
          <w:p w14:paraId="55174908"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14,4%</w:t>
            </w:r>
          </w:p>
        </w:tc>
      </w:tr>
      <w:tr w:rsidR="00862C60" w14:paraId="02BCF190"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DD42B90"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4F982547"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Benahavís</w:t>
            </w:r>
            <w:proofErr w:type="spellEnd"/>
          </w:p>
        </w:tc>
        <w:tc>
          <w:tcPr>
            <w:tcW w:w="1985" w:type="dxa"/>
            <w:vAlign w:val="bottom"/>
          </w:tcPr>
          <w:p w14:paraId="1ADAF94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5.451 €</w:t>
            </w:r>
          </w:p>
        </w:tc>
        <w:tc>
          <w:tcPr>
            <w:tcW w:w="1701" w:type="dxa"/>
            <w:vAlign w:val="bottom"/>
          </w:tcPr>
          <w:p w14:paraId="5D99BC2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1701" w:type="dxa"/>
            <w:vAlign w:val="bottom"/>
          </w:tcPr>
          <w:p w14:paraId="6DD4408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8,4%</w:t>
            </w:r>
          </w:p>
        </w:tc>
      </w:tr>
    </w:tbl>
    <w:p w14:paraId="258BC581" w14:textId="77777777" w:rsidR="00862C60"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862C60" w14:paraId="563A47E3" w14:textId="77777777" w:rsidTr="00862C60">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E24B570"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615176C8" w14:textId="77777777" w:rsidR="00862C60"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0D46C27B"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6E9FAAC5"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7E672958"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56AA16D2"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62C60" w14:paraId="02DA1A7B"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4E4A1E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222353D0"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Torreperogil</w:t>
            </w:r>
          </w:p>
        </w:tc>
        <w:tc>
          <w:tcPr>
            <w:tcW w:w="1985" w:type="dxa"/>
            <w:vAlign w:val="bottom"/>
          </w:tcPr>
          <w:p w14:paraId="40531DF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623 €</w:t>
            </w:r>
          </w:p>
        </w:tc>
        <w:tc>
          <w:tcPr>
            <w:tcW w:w="1701" w:type="dxa"/>
            <w:vAlign w:val="bottom"/>
          </w:tcPr>
          <w:p w14:paraId="4FB0760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w:t>
            </w:r>
          </w:p>
        </w:tc>
        <w:tc>
          <w:tcPr>
            <w:tcW w:w="1701" w:type="dxa"/>
            <w:vAlign w:val="bottom"/>
          </w:tcPr>
          <w:p w14:paraId="3FAD9FD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-5,8%</w:t>
            </w:r>
          </w:p>
        </w:tc>
      </w:tr>
      <w:tr w:rsidR="00862C60" w14:paraId="0FD03FBC"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436A19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3EE1436B"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Villanueva del </w:t>
            </w:r>
            <w:proofErr w:type="gramStart"/>
            <w:r>
              <w:rPr>
                <w:rFonts w:ascii="Open Sans" w:eastAsia="Open Sans" w:hAnsi="Open Sans" w:cs="Open Sans"/>
                <w:sz w:val="22"/>
                <w:szCs w:val="22"/>
              </w:rPr>
              <w:t>Arzobispo</w:t>
            </w:r>
            <w:proofErr w:type="gramEnd"/>
          </w:p>
        </w:tc>
        <w:tc>
          <w:tcPr>
            <w:tcW w:w="1985" w:type="dxa"/>
            <w:vAlign w:val="bottom"/>
          </w:tcPr>
          <w:p w14:paraId="62E4477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637 €</w:t>
            </w:r>
          </w:p>
        </w:tc>
        <w:tc>
          <w:tcPr>
            <w:tcW w:w="1701" w:type="dxa"/>
            <w:vAlign w:val="bottom"/>
          </w:tcPr>
          <w:p w14:paraId="6A9758F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1701" w:type="dxa"/>
            <w:vAlign w:val="bottom"/>
          </w:tcPr>
          <w:p w14:paraId="4B3D757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-5,2%</w:t>
            </w:r>
          </w:p>
        </w:tc>
      </w:tr>
      <w:tr w:rsidR="00862C60" w14:paraId="2B813A5D"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329B92F"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32B20828"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Pozuelo de Calatrava</w:t>
            </w:r>
          </w:p>
        </w:tc>
        <w:tc>
          <w:tcPr>
            <w:tcW w:w="1985" w:type="dxa"/>
            <w:vAlign w:val="bottom"/>
          </w:tcPr>
          <w:p w14:paraId="72EFB65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662 €</w:t>
            </w:r>
          </w:p>
        </w:tc>
        <w:tc>
          <w:tcPr>
            <w:tcW w:w="1701" w:type="dxa"/>
            <w:vAlign w:val="bottom"/>
          </w:tcPr>
          <w:p w14:paraId="71329F8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-2,1%</w:t>
            </w:r>
          </w:p>
        </w:tc>
        <w:tc>
          <w:tcPr>
            <w:tcW w:w="1701" w:type="dxa"/>
            <w:vAlign w:val="bottom"/>
          </w:tcPr>
          <w:p w14:paraId="3E1E4D1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862C60" w14:paraId="0FC74363"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7A8B9AF"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3EE83562"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Tobarra</w:t>
            </w:r>
            <w:proofErr w:type="spellEnd"/>
          </w:p>
        </w:tc>
        <w:tc>
          <w:tcPr>
            <w:tcW w:w="1985" w:type="dxa"/>
            <w:vAlign w:val="bottom"/>
          </w:tcPr>
          <w:p w14:paraId="6D54BD0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671 €</w:t>
            </w:r>
          </w:p>
        </w:tc>
        <w:tc>
          <w:tcPr>
            <w:tcW w:w="1701" w:type="dxa"/>
            <w:vAlign w:val="bottom"/>
          </w:tcPr>
          <w:p w14:paraId="66E499D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w:t>
            </w:r>
          </w:p>
        </w:tc>
        <w:tc>
          <w:tcPr>
            <w:tcW w:w="1701" w:type="dxa"/>
            <w:vAlign w:val="bottom"/>
          </w:tcPr>
          <w:p w14:paraId="6AEFE23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862C60" w14:paraId="627F7F7D"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A70DEF1"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0725A350"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Montijo</w:t>
            </w:r>
          </w:p>
        </w:tc>
        <w:tc>
          <w:tcPr>
            <w:tcW w:w="1985" w:type="dxa"/>
            <w:vAlign w:val="bottom"/>
          </w:tcPr>
          <w:p w14:paraId="49F6ECC8"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700 €</w:t>
            </w:r>
          </w:p>
        </w:tc>
        <w:tc>
          <w:tcPr>
            <w:tcW w:w="1701" w:type="dxa"/>
            <w:vAlign w:val="bottom"/>
          </w:tcPr>
          <w:p w14:paraId="20E6A1C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0,3%</w:t>
            </w:r>
          </w:p>
        </w:tc>
        <w:tc>
          <w:tcPr>
            <w:tcW w:w="1701" w:type="dxa"/>
            <w:vAlign w:val="bottom"/>
          </w:tcPr>
          <w:p w14:paraId="4AD82E9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6,1%</w:t>
            </w:r>
          </w:p>
        </w:tc>
      </w:tr>
      <w:tr w:rsidR="00862C60" w14:paraId="07B4FC16"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04AC031"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5EBBF336"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Jamilena</w:t>
            </w:r>
            <w:proofErr w:type="spellEnd"/>
          </w:p>
        </w:tc>
        <w:tc>
          <w:tcPr>
            <w:tcW w:w="1985" w:type="dxa"/>
            <w:vAlign w:val="bottom"/>
          </w:tcPr>
          <w:p w14:paraId="6B6E4F8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714 €</w:t>
            </w:r>
          </w:p>
        </w:tc>
        <w:tc>
          <w:tcPr>
            <w:tcW w:w="1701" w:type="dxa"/>
            <w:vAlign w:val="bottom"/>
          </w:tcPr>
          <w:p w14:paraId="01EE0A5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1701" w:type="dxa"/>
            <w:vAlign w:val="bottom"/>
          </w:tcPr>
          <w:p w14:paraId="240FA83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-1,6%</w:t>
            </w:r>
          </w:p>
        </w:tc>
      </w:tr>
      <w:tr w:rsidR="00862C60" w14:paraId="4FFCCA49"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53781A7"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7D75BD34"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Mancha Real</w:t>
            </w:r>
          </w:p>
        </w:tc>
        <w:tc>
          <w:tcPr>
            <w:tcW w:w="1985" w:type="dxa"/>
            <w:vAlign w:val="bottom"/>
          </w:tcPr>
          <w:p w14:paraId="28E8766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726 €</w:t>
            </w:r>
          </w:p>
        </w:tc>
        <w:tc>
          <w:tcPr>
            <w:tcW w:w="1701" w:type="dxa"/>
            <w:vAlign w:val="bottom"/>
          </w:tcPr>
          <w:p w14:paraId="7913AA8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0281FE1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7,5%</w:t>
            </w:r>
          </w:p>
        </w:tc>
      </w:tr>
      <w:tr w:rsidR="00862C60" w14:paraId="04FE5910"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FE932E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2051C2D9"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Caudete</w:t>
            </w:r>
          </w:p>
        </w:tc>
        <w:tc>
          <w:tcPr>
            <w:tcW w:w="1985" w:type="dxa"/>
            <w:vAlign w:val="bottom"/>
          </w:tcPr>
          <w:p w14:paraId="7BACC1E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728 €</w:t>
            </w:r>
          </w:p>
        </w:tc>
        <w:tc>
          <w:tcPr>
            <w:tcW w:w="1701" w:type="dxa"/>
            <w:vAlign w:val="bottom"/>
          </w:tcPr>
          <w:p w14:paraId="2D97377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701" w:type="dxa"/>
            <w:vAlign w:val="bottom"/>
          </w:tcPr>
          <w:p w14:paraId="1D37E95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0,8%</w:t>
            </w:r>
          </w:p>
        </w:tc>
      </w:tr>
      <w:tr w:rsidR="00862C60" w14:paraId="4FAAC9FB" w14:textId="77777777" w:rsidTr="00862C6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AB7ABA"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49900916" w14:textId="77777777" w:rsidR="00862C6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Lorquí</w:t>
            </w:r>
            <w:proofErr w:type="spellEnd"/>
          </w:p>
        </w:tc>
        <w:tc>
          <w:tcPr>
            <w:tcW w:w="1985" w:type="dxa"/>
            <w:vAlign w:val="bottom"/>
          </w:tcPr>
          <w:p w14:paraId="35B970D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733 €</w:t>
            </w:r>
          </w:p>
        </w:tc>
        <w:tc>
          <w:tcPr>
            <w:tcW w:w="1701" w:type="dxa"/>
            <w:vAlign w:val="bottom"/>
          </w:tcPr>
          <w:p w14:paraId="262A34B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-3,5%</w:t>
            </w:r>
          </w:p>
        </w:tc>
        <w:tc>
          <w:tcPr>
            <w:tcW w:w="1701" w:type="dxa"/>
            <w:vAlign w:val="bottom"/>
          </w:tcPr>
          <w:p w14:paraId="3C34C65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862C60" w14:paraId="59ACDCC9" w14:textId="77777777" w:rsidTr="00862C60">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613871C"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163330B7" w14:textId="77777777" w:rsidR="00862C6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Calasparra</w:t>
            </w:r>
          </w:p>
        </w:tc>
        <w:tc>
          <w:tcPr>
            <w:tcW w:w="1985" w:type="dxa"/>
            <w:vAlign w:val="bottom"/>
          </w:tcPr>
          <w:p w14:paraId="44E0936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734 €</w:t>
            </w:r>
          </w:p>
        </w:tc>
        <w:tc>
          <w:tcPr>
            <w:tcW w:w="1701" w:type="dxa"/>
            <w:vAlign w:val="bottom"/>
          </w:tcPr>
          <w:p w14:paraId="7683B5B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c>
          <w:tcPr>
            <w:tcW w:w="1701" w:type="dxa"/>
            <w:vAlign w:val="bottom"/>
          </w:tcPr>
          <w:p w14:paraId="35DF7C35"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9,8%</w:t>
            </w:r>
          </w:p>
        </w:tc>
      </w:tr>
    </w:tbl>
    <w:p w14:paraId="579EFB90" w14:textId="77777777" w:rsidR="00862C60"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09259669" w14:textId="77777777" w:rsidR="00862C60" w:rsidRDefault="00000000">
      <w:pPr>
        <w:spacing w:line="276" w:lineRule="auto"/>
        <w:jc w:val="both"/>
        <w:rPr>
          <w:rFonts w:ascii="Open Sans" w:eastAsia="Open Sans" w:hAnsi="Open Sans" w:cs="Open Sans"/>
          <w:color w:val="000000"/>
        </w:rPr>
      </w:pPr>
      <w:r>
        <w:rPr>
          <w:rFonts w:ascii="Open Sans" w:eastAsia="Open Sans" w:hAnsi="Open Sans" w:cs="Open Sans"/>
          <w:b/>
          <w:color w:val="000000"/>
        </w:rPr>
        <w:t xml:space="preserve">El precio medio de la vivienda de segunda mano sube en los 21 distritos con variación interanual analizados por </w:t>
      </w:r>
      <w:hyperlink r:id="rId13">
        <w:r w:rsidR="00862C60">
          <w:rPr>
            <w:rFonts w:ascii="Open Sans" w:eastAsia="Open Sans" w:hAnsi="Open Sans" w:cs="Open Sans"/>
            <w:b/>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interanuales de la vivienda superiores al 15% son: Retiro (36,4%), Vicálvaro (22,9%), Ciudad Lineal (22,6%), Barrio de Salamanca (21,3%), Chamberí (20,6%), Arganzuela (19,9%), Moncloa - Aravaca (18,1%), San Blas (17,4%), Fuencarral - El Pardo (16,8%), Hortaleza (16,2%), Chamartín (16,1%) y Villaverde (15,9%).</w:t>
      </w:r>
    </w:p>
    <w:p w14:paraId="0207FE7C" w14:textId="77777777" w:rsidR="00862C60" w:rsidRDefault="00862C60">
      <w:pPr>
        <w:spacing w:line="276" w:lineRule="auto"/>
        <w:jc w:val="both"/>
        <w:rPr>
          <w:rFonts w:ascii="Open Sans" w:eastAsia="Open Sans" w:hAnsi="Open Sans" w:cs="Open Sans"/>
          <w:color w:val="000000"/>
        </w:rPr>
      </w:pPr>
    </w:p>
    <w:p w14:paraId="49E2DA4B" w14:textId="118ED689" w:rsidR="00F05959"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El orden de los distritos por encima de los 5.000 euros es: Barrio de Salamanca con 10.434 euros/m</w:t>
      </w:r>
      <w:r>
        <w:rPr>
          <w:rFonts w:ascii="Open Sans" w:eastAsia="Open Sans" w:hAnsi="Open Sans" w:cs="Open Sans"/>
          <w:color w:val="000000"/>
          <w:vertAlign w:val="superscript"/>
        </w:rPr>
        <w:t>2</w:t>
      </w:r>
      <w:r>
        <w:rPr>
          <w:rFonts w:ascii="Open Sans" w:eastAsia="Open Sans" w:hAnsi="Open Sans" w:cs="Open Sans"/>
          <w:color w:val="000000"/>
        </w:rPr>
        <w:t>, Chamberí con 8.895 euros/m</w:t>
      </w:r>
      <w:r>
        <w:rPr>
          <w:rFonts w:ascii="Open Sans" w:eastAsia="Open Sans" w:hAnsi="Open Sans" w:cs="Open Sans"/>
          <w:color w:val="000000"/>
          <w:vertAlign w:val="superscript"/>
        </w:rPr>
        <w:t>2</w:t>
      </w:r>
      <w:r>
        <w:rPr>
          <w:rFonts w:ascii="Open Sans" w:eastAsia="Open Sans" w:hAnsi="Open Sans" w:cs="Open Sans"/>
          <w:color w:val="000000"/>
        </w:rPr>
        <w:t>, Retiro con 8.504 euros/m</w:t>
      </w:r>
      <w:r>
        <w:rPr>
          <w:rFonts w:ascii="Open Sans" w:eastAsia="Open Sans" w:hAnsi="Open Sans" w:cs="Open Sans"/>
          <w:color w:val="000000"/>
          <w:vertAlign w:val="superscript"/>
        </w:rPr>
        <w:t>2</w:t>
      </w:r>
      <w:r>
        <w:rPr>
          <w:rFonts w:ascii="Open Sans" w:eastAsia="Open Sans" w:hAnsi="Open Sans" w:cs="Open Sans"/>
          <w:color w:val="000000"/>
        </w:rPr>
        <w:t>, Centro con 7.381 euros/m</w:t>
      </w:r>
      <w:r>
        <w:rPr>
          <w:rFonts w:ascii="Open Sans" w:eastAsia="Open Sans" w:hAnsi="Open Sans" w:cs="Open Sans"/>
          <w:color w:val="000000"/>
          <w:vertAlign w:val="superscript"/>
        </w:rPr>
        <w:t>2</w:t>
      </w:r>
      <w:r>
        <w:rPr>
          <w:rFonts w:ascii="Open Sans" w:eastAsia="Open Sans" w:hAnsi="Open Sans" w:cs="Open Sans"/>
          <w:color w:val="000000"/>
        </w:rPr>
        <w:t>, Chamartín con 7.205 euros/m</w:t>
      </w:r>
      <w:r>
        <w:rPr>
          <w:rFonts w:ascii="Open Sans" w:eastAsia="Open Sans" w:hAnsi="Open Sans" w:cs="Open Sans"/>
          <w:color w:val="000000"/>
          <w:vertAlign w:val="superscript"/>
        </w:rPr>
        <w:t>2</w:t>
      </w:r>
      <w:r>
        <w:rPr>
          <w:rFonts w:ascii="Open Sans" w:eastAsia="Open Sans" w:hAnsi="Open Sans" w:cs="Open Sans"/>
          <w:color w:val="000000"/>
        </w:rPr>
        <w:t>, Moncloa - Aravaca con 6.437 euros/m</w:t>
      </w:r>
      <w:r>
        <w:rPr>
          <w:rFonts w:ascii="Open Sans" w:eastAsia="Open Sans" w:hAnsi="Open Sans" w:cs="Open Sans"/>
          <w:color w:val="000000"/>
          <w:vertAlign w:val="superscript"/>
        </w:rPr>
        <w:t>2</w:t>
      </w:r>
      <w:r>
        <w:rPr>
          <w:rFonts w:ascii="Open Sans" w:eastAsia="Open Sans" w:hAnsi="Open Sans" w:cs="Open Sans"/>
          <w:color w:val="000000"/>
        </w:rPr>
        <w:t>, Arganzuela con 5.746 euros/m</w:t>
      </w:r>
      <w:r>
        <w:rPr>
          <w:rFonts w:ascii="Open Sans" w:eastAsia="Open Sans" w:hAnsi="Open Sans" w:cs="Open Sans"/>
          <w:color w:val="000000"/>
          <w:vertAlign w:val="superscript"/>
        </w:rPr>
        <w:t>2</w:t>
      </w:r>
      <w:r>
        <w:rPr>
          <w:rFonts w:ascii="Open Sans" w:eastAsia="Open Sans" w:hAnsi="Open Sans" w:cs="Open Sans"/>
          <w:color w:val="000000"/>
        </w:rPr>
        <w:t>, Tetuán con 5.389 euros/m</w:t>
      </w:r>
      <w:r>
        <w:rPr>
          <w:rFonts w:ascii="Open Sans" w:eastAsia="Open Sans" w:hAnsi="Open Sans" w:cs="Open Sans"/>
          <w:color w:val="000000"/>
          <w:vertAlign w:val="superscript"/>
        </w:rPr>
        <w:t>2</w:t>
      </w:r>
      <w:r>
        <w:rPr>
          <w:rFonts w:ascii="Open Sans" w:eastAsia="Open Sans" w:hAnsi="Open Sans" w:cs="Open Sans"/>
          <w:color w:val="000000"/>
        </w:rPr>
        <w:t>, Hortaleza con 5.191 euros/m</w:t>
      </w:r>
      <w:r>
        <w:rPr>
          <w:rFonts w:ascii="Open Sans" w:eastAsia="Open Sans" w:hAnsi="Open Sans" w:cs="Open Sans"/>
          <w:color w:val="000000"/>
          <w:vertAlign w:val="superscript"/>
        </w:rPr>
        <w:t>2</w:t>
      </w:r>
      <w:r>
        <w:rPr>
          <w:rFonts w:ascii="Open Sans" w:eastAsia="Open Sans" w:hAnsi="Open Sans" w:cs="Open Sans"/>
          <w:color w:val="000000"/>
        </w:rPr>
        <w:t>, Fuencarral - El Pardo con 5.121 euros/m</w:t>
      </w:r>
      <w:r>
        <w:rPr>
          <w:rFonts w:ascii="Open Sans" w:eastAsia="Open Sans" w:hAnsi="Open Sans" w:cs="Open Sans"/>
          <w:color w:val="000000"/>
          <w:vertAlign w:val="superscript"/>
        </w:rPr>
        <w:t>2</w:t>
      </w:r>
      <w:r>
        <w:rPr>
          <w:rFonts w:ascii="Open Sans" w:eastAsia="Open Sans" w:hAnsi="Open Sans" w:cs="Open Sans"/>
          <w:color w:val="000000"/>
        </w:rPr>
        <w:t>. Por otro lado, los distritos con el precio de la vivienda más económico son Usera con 2.818 euros/m</w:t>
      </w:r>
      <w:r>
        <w:rPr>
          <w:rFonts w:ascii="Open Sans" w:eastAsia="Open Sans" w:hAnsi="Open Sans" w:cs="Open Sans"/>
          <w:color w:val="000000"/>
          <w:vertAlign w:val="superscript"/>
        </w:rPr>
        <w:t>2</w:t>
      </w:r>
      <w:r>
        <w:rPr>
          <w:rFonts w:ascii="Open Sans" w:eastAsia="Open Sans" w:hAnsi="Open Sans" w:cs="Open Sans"/>
          <w:color w:val="000000"/>
        </w:rPr>
        <w:t>, Puente de Vallecas con 2.724 euros/m</w:t>
      </w:r>
      <w:r>
        <w:rPr>
          <w:rFonts w:ascii="Open Sans" w:eastAsia="Open Sans" w:hAnsi="Open Sans" w:cs="Open Sans"/>
          <w:color w:val="000000"/>
          <w:vertAlign w:val="superscript"/>
        </w:rPr>
        <w:t>2</w:t>
      </w:r>
      <w:r>
        <w:rPr>
          <w:rFonts w:ascii="Open Sans" w:eastAsia="Open Sans" w:hAnsi="Open Sans" w:cs="Open Sans"/>
          <w:color w:val="000000"/>
        </w:rPr>
        <w:t xml:space="preserve"> y Villaverde con 2.303 euros/m</w:t>
      </w:r>
      <w:r>
        <w:rPr>
          <w:rFonts w:ascii="Open Sans" w:eastAsia="Open Sans" w:hAnsi="Open Sans" w:cs="Open Sans"/>
          <w:color w:val="000000"/>
          <w:vertAlign w:val="superscript"/>
        </w:rPr>
        <w:t>2</w:t>
      </w:r>
      <w:r>
        <w:rPr>
          <w:rFonts w:ascii="Open Sans" w:eastAsia="Open Sans" w:hAnsi="Open Sans" w:cs="Open Sans"/>
          <w:color w:val="000000"/>
        </w:rPr>
        <w:t>.</w:t>
      </w:r>
    </w:p>
    <w:p w14:paraId="1900931E" w14:textId="2FC90C34" w:rsidR="00862C60" w:rsidRDefault="00F05959" w:rsidP="00F05959">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anual por distritos de Madrid</w:t>
      </w: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862C60" w14:paraId="7535BCAA" w14:textId="77777777" w:rsidTr="00862C60">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4618AC5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3B97ACDB"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44CF0E4C"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5664510D"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61863896"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62C60" w14:paraId="2875E54D"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993AE5C"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2194C8C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8.504 €</w:t>
            </w:r>
          </w:p>
        </w:tc>
        <w:tc>
          <w:tcPr>
            <w:tcW w:w="1985" w:type="dxa"/>
            <w:tcBorders>
              <w:top w:val="single" w:sz="4" w:space="0" w:color="FFFFFF"/>
              <w:left w:val="single" w:sz="4" w:space="0" w:color="FFFFFF"/>
              <w:bottom w:val="single" w:sz="4" w:space="0" w:color="FFFFFF"/>
              <w:right w:val="single" w:sz="4" w:space="0" w:color="FFFFFF"/>
            </w:tcBorders>
            <w:vAlign w:val="bottom"/>
          </w:tcPr>
          <w:p w14:paraId="63E74D7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3B93998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36,4%</w:t>
            </w:r>
          </w:p>
        </w:tc>
      </w:tr>
      <w:tr w:rsidR="00862C60" w14:paraId="596D740A"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DEA8E38"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3A5ECC9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3.558 €</w:t>
            </w:r>
          </w:p>
        </w:tc>
        <w:tc>
          <w:tcPr>
            <w:tcW w:w="1985" w:type="dxa"/>
            <w:tcBorders>
              <w:top w:val="single" w:sz="4" w:space="0" w:color="FFFFFF"/>
              <w:left w:val="single" w:sz="4" w:space="0" w:color="FFFFFF"/>
              <w:bottom w:val="single" w:sz="4" w:space="0" w:color="FFFFFF"/>
              <w:right w:val="single" w:sz="4" w:space="0" w:color="FFFFFF"/>
            </w:tcBorders>
            <w:vAlign w:val="bottom"/>
          </w:tcPr>
          <w:p w14:paraId="61DC8DC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653911D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22,9%</w:t>
            </w:r>
          </w:p>
        </w:tc>
      </w:tr>
      <w:tr w:rsidR="00862C60" w14:paraId="7F663466"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70979CD"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219282F8"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4.640 €</w:t>
            </w:r>
          </w:p>
        </w:tc>
        <w:tc>
          <w:tcPr>
            <w:tcW w:w="1985" w:type="dxa"/>
            <w:tcBorders>
              <w:top w:val="single" w:sz="4" w:space="0" w:color="FFFFFF"/>
              <w:left w:val="single" w:sz="4" w:space="0" w:color="FFFFFF"/>
              <w:bottom w:val="single" w:sz="4" w:space="0" w:color="FFFFFF"/>
              <w:right w:val="single" w:sz="4" w:space="0" w:color="FFFFFF"/>
            </w:tcBorders>
            <w:vAlign w:val="bottom"/>
          </w:tcPr>
          <w:p w14:paraId="0CB7213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6,3%</w:t>
            </w:r>
          </w:p>
        </w:tc>
        <w:tc>
          <w:tcPr>
            <w:tcW w:w="1963" w:type="dxa"/>
            <w:tcBorders>
              <w:top w:val="single" w:sz="4" w:space="0" w:color="FFFFFF"/>
              <w:left w:val="single" w:sz="4" w:space="0" w:color="FFFFFF"/>
              <w:bottom w:val="single" w:sz="4" w:space="0" w:color="FFFFFF"/>
              <w:right w:val="single" w:sz="4" w:space="0" w:color="FFFFFF"/>
            </w:tcBorders>
            <w:vAlign w:val="bottom"/>
          </w:tcPr>
          <w:p w14:paraId="6882DD0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22,6%</w:t>
            </w:r>
          </w:p>
        </w:tc>
      </w:tr>
      <w:tr w:rsidR="00862C60" w14:paraId="666D9DAA"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EF52B9D"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6E96D19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10.434 €</w:t>
            </w:r>
          </w:p>
        </w:tc>
        <w:tc>
          <w:tcPr>
            <w:tcW w:w="1985" w:type="dxa"/>
            <w:tcBorders>
              <w:top w:val="single" w:sz="4" w:space="0" w:color="FFFFFF"/>
              <w:left w:val="single" w:sz="4" w:space="0" w:color="FFFFFF"/>
              <w:bottom w:val="single" w:sz="4" w:space="0" w:color="FFFFFF"/>
              <w:right w:val="single" w:sz="4" w:space="0" w:color="FFFFFF"/>
            </w:tcBorders>
            <w:vAlign w:val="bottom"/>
          </w:tcPr>
          <w:p w14:paraId="2AF295F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2,9%</w:t>
            </w:r>
          </w:p>
        </w:tc>
        <w:tc>
          <w:tcPr>
            <w:tcW w:w="1963" w:type="dxa"/>
            <w:tcBorders>
              <w:top w:val="single" w:sz="4" w:space="0" w:color="FFFFFF"/>
              <w:left w:val="single" w:sz="4" w:space="0" w:color="FFFFFF"/>
              <w:bottom w:val="single" w:sz="4" w:space="0" w:color="FFFFFF"/>
              <w:right w:val="single" w:sz="4" w:space="0" w:color="FFFFFF"/>
            </w:tcBorders>
            <w:vAlign w:val="bottom"/>
          </w:tcPr>
          <w:p w14:paraId="3770335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21,3%</w:t>
            </w:r>
          </w:p>
        </w:tc>
      </w:tr>
      <w:tr w:rsidR="00862C60" w14:paraId="2783F165"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6466A8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2671D33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8.895 €</w:t>
            </w:r>
          </w:p>
        </w:tc>
        <w:tc>
          <w:tcPr>
            <w:tcW w:w="1985" w:type="dxa"/>
            <w:tcBorders>
              <w:top w:val="single" w:sz="4" w:space="0" w:color="FFFFFF"/>
              <w:left w:val="single" w:sz="4" w:space="0" w:color="FFFFFF"/>
              <w:bottom w:val="single" w:sz="4" w:space="0" w:color="FFFFFF"/>
              <w:right w:val="single" w:sz="4" w:space="0" w:color="FFFFFF"/>
            </w:tcBorders>
            <w:vAlign w:val="bottom"/>
          </w:tcPr>
          <w:p w14:paraId="77C025A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5,5%</w:t>
            </w:r>
          </w:p>
        </w:tc>
        <w:tc>
          <w:tcPr>
            <w:tcW w:w="1963" w:type="dxa"/>
            <w:tcBorders>
              <w:top w:val="single" w:sz="4" w:space="0" w:color="FFFFFF"/>
              <w:left w:val="single" w:sz="4" w:space="0" w:color="FFFFFF"/>
              <w:bottom w:val="single" w:sz="4" w:space="0" w:color="FFFFFF"/>
              <w:right w:val="single" w:sz="4" w:space="0" w:color="FFFFFF"/>
            </w:tcBorders>
            <w:vAlign w:val="bottom"/>
          </w:tcPr>
          <w:p w14:paraId="2171D84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20,6%</w:t>
            </w:r>
          </w:p>
        </w:tc>
      </w:tr>
      <w:tr w:rsidR="00862C60" w14:paraId="7246799F"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BD066FE"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550BD3B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5.746 €</w:t>
            </w:r>
          </w:p>
        </w:tc>
        <w:tc>
          <w:tcPr>
            <w:tcW w:w="1985" w:type="dxa"/>
            <w:tcBorders>
              <w:top w:val="single" w:sz="4" w:space="0" w:color="FFFFFF"/>
              <w:left w:val="single" w:sz="4" w:space="0" w:color="FFFFFF"/>
              <w:bottom w:val="single" w:sz="4" w:space="0" w:color="FFFFFF"/>
              <w:right w:val="single" w:sz="4" w:space="0" w:color="FFFFFF"/>
            </w:tcBorders>
            <w:vAlign w:val="bottom"/>
          </w:tcPr>
          <w:p w14:paraId="41C5410F"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2,6%</w:t>
            </w:r>
          </w:p>
        </w:tc>
        <w:tc>
          <w:tcPr>
            <w:tcW w:w="1963" w:type="dxa"/>
            <w:tcBorders>
              <w:top w:val="single" w:sz="4" w:space="0" w:color="FFFFFF"/>
              <w:left w:val="single" w:sz="4" w:space="0" w:color="FFFFFF"/>
              <w:bottom w:val="single" w:sz="4" w:space="0" w:color="FFFFFF"/>
              <w:right w:val="single" w:sz="4" w:space="0" w:color="FFFFFF"/>
            </w:tcBorders>
            <w:vAlign w:val="bottom"/>
          </w:tcPr>
          <w:p w14:paraId="475DBDC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19,9%</w:t>
            </w:r>
          </w:p>
        </w:tc>
      </w:tr>
      <w:tr w:rsidR="00862C60" w14:paraId="0BEF5520"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4B4AC0B"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7238EF6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6.437 €</w:t>
            </w:r>
          </w:p>
        </w:tc>
        <w:tc>
          <w:tcPr>
            <w:tcW w:w="1985" w:type="dxa"/>
            <w:tcBorders>
              <w:top w:val="single" w:sz="4" w:space="0" w:color="FFFFFF"/>
              <w:left w:val="single" w:sz="4" w:space="0" w:color="FFFFFF"/>
              <w:bottom w:val="single" w:sz="4" w:space="0" w:color="FFFFFF"/>
              <w:right w:val="single" w:sz="4" w:space="0" w:color="FFFFFF"/>
            </w:tcBorders>
            <w:vAlign w:val="bottom"/>
          </w:tcPr>
          <w:p w14:paraId="0D44E7E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27809C0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18,1%</w:t>
            </w:r>
          </w:p>
        </w:tc>
      </w:tr>
      <w:tr w:rsidR="00862C60" w14:paraId="0386B393"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7A15B27"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0432DFA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3.555 €</w:t>
            </w:r>
          </w:p>
        </w:tc>
        <w:tc>
          <w:tcPr>
            <w:tcW w:w="1985" w:type="dxa"/>
            <w:tcBorders>
              <w:top w:val="single" w:sz="4" w:space="0" w:color="FFFFFF"/>
              <w:left w:val="single" w:sz="4" w:space="0" w:color="FFFFFF"/>
              <w:bottom w:val="single" w:sz="4" w:space="0" w:color="FFFFFF"/>
              <w:right w:val="single" w:sz="4" w:space="0" w:color="FFFFFF"/>
            </w:tcBorders>
            <w:vAlign w:val="bottom"/>
          </w:tcPr>
          <w:p w14:paraId="2EBAE68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6,2%</w:t>
            </w:r>
          </w:p>
        </w:tc>
        <w:tc>
          <w:tcPr>
            <w:tcW w:w="1963" w:type="dxa"/>
            <w:tcBorders>
              <w:top w:val="single" w:sz="4" w:space="0" w:color="FFFFFF"/>
              <w:left w:val="single" w:sz="4" w:space="0" w:color="FFFFFF"/>
              <w:bottom w:val="single" w:sz="4" w:space="0" w:color="FFFFFF"/>
              <w:right w:val="single" w:sz="4" w:space="0" w:color="FFFFFF"/>
            </w:tcBorders>
            <w:vAlign w:val="bottom"/>
          </w:tcPr>
          <w:p w14:paraId="5329BEB9"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17,4%</w:t>
            </w:r>
          </w:p>
        </w:tc>
      </w:tr>
      <w:tr w:rsidR="00862C60" w14:paraId="28ECF9FF"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1A3C540"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62D3009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5.121 €</w:t>
            </w:r>
          </w:p>
        </w:tc>
        <w:tc>
          <w:tcPr>
            <w:tcW w:w="1985" w:type="dxa"/>
            <w:tcBorders>
              <w:top w:val="single" w:sz="4" w:space="0" w:color="FFFFFF"/>
              <w:left w:val="single" w:sz="4" w:space="0" w:color="FFFFFF"/>
              <w:bottom w:val="single" w:sz="4" w:space="0" w:color="FFFFFF"/>
              <w:right w:val="single" w:sz="4" w:space="0" w:color="FFFFFF"/>
            </w:tcBorders>
            <w:vAlign w:val="bottom"/>
          </w:tcPr>
          <w:p w14:paraId="53CA809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1AB4E61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16,8%</w:t>
            </w:r>
          </w:p>
        </w:tc>
      </w:tr>
      <w:tr w:rsidR="00862C60" w14:paraId="3A4268CE"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63F711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6AE28E2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5.191 €</w:t>
            </w:r>
          </w:p>
        </w:tc>
        <w:tc>
          <w:tcPr>
            <w:tcW w:w="1985" w:type="dxa"/>
            <w:tcBorders>
              <w:top w:val="single" w:sz="4" w:space="0" w:color="FFFFFF"/>
              <w:left w:val="single" w:sz="4" w:space="0" w:color="FFFFFF"/>
              <w:bottom w:val="single" w:sz="4" w:space="0" w:color="FFFFFF"/>
              <w:right w:val="single" w:sz="4" w:space="0" w:color="FFFFFF"/>
            </w:tcBorders>
            <w:vAlign w:val="bottom"/>
          </w:tcPr>
          <w:p w14:paraId="1074E96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702AEFE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16,2%</w:t>
            </w:r>
          </w:p>
        </w:tc>
      </w:tr>
      <w:tr w:rsidR="00862C60" w14:paraId="75AC7016"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0BB724A"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521C575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7.205 €</w:t>
            </w:r>
          </w:p>
        </w:tc>
        <w:tc>
          <w:tcPr>
            <w:tcW w:w="1985" w:type="dxa"/>
            <w:tcBorders>
              <w:top w:val="single" w:sz="4" w:space="0" w:color="FFFFFF"/>
              <w:left w:val="single" w:sz="4" w:space="0" w:color="FFFFFF"/>
              <w:bottom w:val="single" w:sz="4" w:space="0" w:color="FFFFFF"/>
              <w:right w:val="single" w:sz="4" w:space="0" w:color="FFFFFF"/>
            </w:tcBorders>
            <w:vAlign w:val="bottom"/>
          </w:tcPr>
          <w:p w14:paraId="244FE2B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27B8C00D"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16,1%</w:t>
            </w:r>
          </w:p>
        </w:tc>
      </w:tr>
      <w:tr w:rsidR="00862C60" w14:paraId="1C47902B"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354F320"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1D000BA3"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2.303 €</w:t>
            </w:r>
          </w:p>
        </w:tc>
        <w:tc>
          <w:tcPr>
            <w:tcW w:w="1985" w:type="dxa"/>
            <w:tcBorders>
              <w:top w:val="single" w:sz="4" w:space="0" w:color="FFFFFF"/>
              <w:left w:val="single" w:sz="4" w:space="0" w:color="FFFFFF"/>
              <w:bottom w:val="single" w:sz="4" w:space="0" w:color="FFFFFF"/>
              <w:right w:val="single" w:sz="4" w:space="0" w:color="FFFFFF"/>
            </w:tcBorders>
            <w:vAlign w:val="bottom"/>
          </w:tcPr>
          <w:p w14:paraId="25CB2D2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7E9103B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15,9%</w:t>
            </w:r>
          </w:p>
        </w:tc>
      </w:tr>
      <w:tr w:rsidR="00862C60" w14:paraId="233F9FAB"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07286A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44A3B37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2.818 €</w:t>
            </w:r>
          </w:p>
        </w:tc>
        <w:tc>
          <w:tcPr>
            <w:tcW w:w="1985" w:type="dxa"/>
            <w:tcBorders>
              <w:top w:val="single" w:sz="4" w:space="0" w:color="FFFFFF"/>
              <w:left w:val="single" w:sz="4" w:space="0" w:color="FFFFFF"/>
              <w:bottom w:val="single" w:sz="4" w:space="0" w:color="FFFFFF"/>
              <w:right w:val="single" w:sz="4" w:space="0" w:color="FFFFFF"/>
            </w:tcBorders>
            <w:vAlign w:val="bottom"/>
          </w:tcPr>
          <w:p w14:paraId="5729BCE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5,2%</w:t>
            </w:r>
          </w:p>
        </w:tc>
        <w:tc>
          <w:tcPr>
            <w:tcW w:w="1963" w:type="dxa"/>
            <w:tcBorders>
              <w:top w:val="single" w:sz="4" w:space="0" w:color="FFFFFF"/>
              <w:left w:val="single" w:sz="4" w:space="0" w:color="FFFFFF"/>
              <w:bottom w:val="single" w:sz="4" w:space="0" w:color="FFFFFF"/>
              <w:right w:val="single" w:sz="4" w:space="0" w:color="FFFFFF"/>
            </w:tcBorders>
            <w:vAlign w:val="bottom"/>
          </w:tcPr>
          <w:p w14:paraId="774167F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14,5%</w:t>
            </w:r>
          </w:p>
        </w:tc>
      </w:tr>
      <w:tr w:rsidR="00862C60" w14:paraId="2AEFA75F"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ADD2AAD"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71BB1A9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3.095 €</w:t>
            </w:r>
          </w:p>
        </w:tc>
        <w:tc>
          <w:tcPr>
            <w:tcW w:w="1985" w:type="dxa"/>
            <w:tcBorders>
              <w:top w:val="single" w:sz="4" w:space="0" w:color="FFFFFF"/>
              <w:left w:val="single" w:sz="4" w:space="0" w:color="FFFFFF"/>
              <w:bottom w:val="single" w:sz="4" w:space="0" w:color="FFFFFF"/>
              <w:right w:val="single" w:sz="4" w:space="0" w:color="FFFFFF"/>
            </w:tcBorders>
            <w:vAlign w:val="bottom"/>
          </w:tcPr>
          <w:p w14:paraId="31F81AB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16252B0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14,2%</w:t>
            </w:r>
          </w:p>
        </w:tc>
      </w:tr>
      <w:tr w:rsidR="00862C60" w14:paraId="52FF04F2"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6F4B177"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344906C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3.210 €</w:t>
            </w:r>
          </w:p>
        </w:tc>
        <w:tc>
          <w:tcPr>
            <w:tcW w:w="1985" w:type="dxa"/>
            <w:tcBorders>
              <w:top w:val="single" w:sz="4" w:space="0" w:color="FFFFFF"/>
              <w:left w:val="single" w:sz="4" w:space="0" w:color="FFFFFF"/>
              <w:bottom w:val="single" w:sz="4" w:space="0" w:color="FFFFFF"/>
              <w:right w:val="single" w:sz="4" w:space="0" w:color="FFFFFF"/>
            </w:tcBorders>
            <w:vAlign w:val="bottom"/>
          </w:tcPr>
          <w:p w14:paraId="70961DB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3,0%</w:t>
            </w:r>
          </w:p>
        </w:tc>
        <w:tc>
          <w:tcPr>
            <w:tcW w:w="1963" w:type="dxa"/>
            <w:tcBorders>
              <w:top w:val="single" w:sz="4" w:space="0" w:color="FFFFFF"/>
              <w:left w:val="single" w:sz="4" w:space="0" w:color="FFFFFF"/>
              <w:bottom w:val="single" w:sz="4" w:space="0" w:color="FFFFFF"/>
              <w:right w:val="single" w:sz="4" w:space="0" w:color="FFFFFF"/>
            </w:tcBorders>
            <w:vAlign w:val="bottom"/>
          </w:tcPr>
          <w:p w14:paraId="49FEE75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11,8%</w:t>
            </w:r>
          </w:p>
        </w:tc>
      </w:tr>
      <w:tr w:rsidR="00862C60" w14:paraId="50C6D8D5"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C6DA529"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565E94A"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2.937 €</w:t>
            </w:r>
          </w:p>
        </w:tc>
        <w:tc>
          <w:tcPr>
            <w:tcW w:w="1985" w:type="dxa"/>
            <w:tcBorders>
              <w:top w:val="single" w:sz="4" w:space="0" w:color="FFFFFF"/>
              <w:left w:val="single" w:sz="4" w:space="0" w:color="FFFFFF"/>
              <w:bottom w:val="single" w:sz="4" w:space="0" w:color="FFFFFF"/>
              <w:right w:val="single" w:sz="4" w:space="0" w:color="FFFFFF"/>
            </w:tcBorders>
            <w:vAlign w:val="bottom"/>
          </w:tcPr>
          <w:p w14:paraId="21B39C18"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5,9%</w:t>
            </w:r>
          </w:p>
        </w:tc>
        <w:tc>
          <w:tcPr>
            <w:tcW w:w="1963" w:type="dxa"/>
            <w:tcBorders>
              <w:top w:val="single" w:sz="4" w:space="0" w:color="FFFFFF"/>
              <w:left w:val="single" w:sz="4" w:space="0" w:color="FFFFFF"/>
              <w:bottom w:val="single" w:sz="4" w:space="0" w:color="FFFFFF"/>
              <w:right w:val="single" w:sz="4" w:space="0" w:color="FFFFFF"/>
            </w:tcBorders>
            <w:vAlign w:val="bottom"/>
          </w:tcPr>
          <w:p w14:paraId="027800E4"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11,8%</w:t>
            </w:r>
          </w:p>
        </w:tc>
      </w:tr>
      <w:tr w:rsidR="00862C60" w14:paraId="555E8F2F"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779517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0436931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2.724 €</w:t>
            </w:r>
          </w:p>
        </w:tc>
        <w:tc>
          <w:tcPr>
            <w:tcW w:w="1985" w:type="dxa"/>
            <w:tcBorders>
              <w:top w:val="single" w:sz="4" w:space="0" w:color="FFFFFF"/>
              <w:left w:val="single" w:sz="4" w:space="0" w:color="FFFFFF"/>
              <w:bottom w:val="single" w:sz="4" w:space="0" w:color="FFFFFF"/>
              <w:right w:val="single" w:sz="4" w:space="0" w:color="FFFFFF"/>
            </w:tcBorders>
            <w:vAlign w:val="bottom"/>
          </w:tcPr>
          <w:p w14:paraId="3CB61CB2"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3,2%</w:t>
            </w:r>
          </w:p>
        </w:tc>
        <w:tc>
          <w:tcPr>
            <w:tcW w:w="1963" w:type="dxa"/>
            <w:tcBorders>
              <w:top w:val="single" w:sz="4" w:space="0" w:color="FFFFFF"/>
              <w:left w:val="single" w:sz="4" w:space="0" w:color="FFFFFF"/>
              <w:bottom w:val="single" w:sz="4" w:space="0" w:color="FFFFFF"/>
              <w:right w:val="single" w:sz="4" w:space="0" w:color="FFFFFF"/>
            </w:tcBorders>
            <w:vAlign w:val="bottom"/>
          </w:tcPr>
          <w:p w14:paraId="3177A0B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10,7%</w:t>
            </w:r>
          </w:p>
        </w:tc>
      </w:tr>
      <w:tr w:rsidR="00862C60" w14:paraId="586121FA"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7A7E91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6FA5401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7.381 €</w:t>
            </w:r>
          </w:p>
        </w:tc>
        <w:tc>
          <w:tcPr>
            <w:tcW w:w="1985" w:type="dxa"/>
            <w:tcBorders>
              <w:top w:val="single" w:sz="4" w:space="0" w:color="FFFFFF"/>
              <w:left w:val="single" w:sz="4" w:space="0" w:color="FFFFFF"/>
              <w:bottom w:val="single" w:sz="4" w:space="0" w:color="FFFFFF"/>
              <w:right w:val="single" w:sz="4" w:space="0" w:color="FFFFFF"/>
            </w:tcBorders>
            <w:vAlign w:val="bottom"/>
          </w:tcPr>
          <w:p w14:paraId="31978E90"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963" w:type="dxa"/>
            <w:tcBorders>
              <w:top w:val="single" w:sz="4" w:space="0" w:color="FFFFFF"/>
              <w:left w:val="single" w:sz="4" w:space="0" w:color="FFFFFF"/>
              <w:bottom w:val="single" w:sz="4" w:space="0" w:color="FFFFFF"/>
              <w:right w:val="single" w:sz="4" w:space="0" w:color="FFFFFF"/>
            </w:tcBorders>
            <w:vAlign w:val="bottom"/>
          </w:tcPr>
          <w:p w14:paraId="1E4501C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7,2%</w:t>
            </w:r>
          </w:p>
        </w:tc>
      </w:tr>
      <w:tr w:rsidR="00862C60" w14:paraId="0D9B1B1D"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1615DFF"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2F5FC1E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3.637 €</w:t>
            </w:r>
          </w:p>
        </w:tc>
        <w:tc>
          <w:tcPr>
            <w:tcW w:w="1985" w:type="dxa"/>
            <w:tcBorders>
              <w:top w:val="single" w:sz="4" w:space="0" w:color="FFFFFF"/>
              <w:left w:val="single" w:sz="4" w:space="0" w:color="FFFFFF"/>
              <w:bottom w:val="single" w:sz="4" w:space="0" w:color="FFFFFF"/>
              <w:right w:val="single" w:sz="4" w:space="0" w:color="FFFFFF"/>
            </w:tcBorders>
            <w:vAlign w:val="bottom"/>
          </w:tcPr>
          <w:p w14:paraId="079D77B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c>
          <w:tcPr>
            <w:tcW w:w="1963" w:type="dxa"/>
            <w:tcBorders>
              <w:top w:val="single" w:sz="4" w:space="0" w:color="FFFFFF"/>
              <w:left w:val="single" w:sz="4" w:space="0" w:color="FFFFFF"/>
              <w:bottom w:val="single" w:sz="4" w:space="0" w:color="FFFFFF"/>
              <w:right w:val="single" w:sz="4" w:space="0" w:color="FFFFFF"/>
            </w:tcBorders>
            <w:vAlign w:val="bottom"/>
          </w:tcPr>
          <w:p w14:paraId="3F07141B"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r>
      <w:tr w:rsidR="00862C60" w14:paraId="7FECB7E8"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26BF012"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51E58F6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5.389 €</w:t>
            </w:r>
          </w:p>
        </w:tc>
        <w:tc>
          <w:tcPr>
            <w:tcW w:w="1985" w:type="dxa"/>
            <w:tcBorders>
              <w:top w:val="single" w:sz="4" w:space="0" w:color="FFFFFF"/>
              <w:left w:val="single" w:sz="4" w:space="0" w:color="FFFFFF"/>
              <w:bottom w:val="single" w:sz="4" w:space="0" w:color="FFFFFF"/>
              <w:right w:val="single" w:sz="4" w:space="0" w:color="FFFFFF"/>
            </w:tcBorders>
            <w:vAlign w:val="bottom"/>
          </w:tcPr>
          <w:p w14:paraId="6EBBF481"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4,3%</w:t>
            </w:r>
          </w:p>
        </w:tc>
        <w:tc>
          <w:tcPr>
            <w:tcW w:w="1963" w:type="dxa"/>
            <w:tcBorders>
              <w:top w:val="single" w:sz="4" w:space="0" w:color="FFFFFF"/>
              <w:left w:val="single" w:sz="4" w:space="0" w:color="FFFFFF"/>
              <w:bottom w:val="single" w:sz="4" w:space="0" w:color="FFFFFF"/>
              <w:right w:val="single" w:sz="4" w:space="0" w:color="FFFFFF"/>
            </w:tcBorders>
            <w:vAlign w:val="bottom"/>
          </w:tcPr>
          <w:p w14:paraId="3B9FE3A3"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4,9%</w:t>
            </w:r>
          </w:p>
        </w:tc>
      </w:tr>
      <w:tr w:rsidR="00862C60" w14:paraId="31DCC1A3"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37583B5D"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4EEA30D5"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5.226 €</w:t>
            </w:r>
          </w:p>
        </w:tc>
        <w:tc>
          <w:tcPr>
            <w:tcW w:w="1985" w:type="dxa"/>
            <w:tcBorders>
              <w:top w:val="single" w:sz="4" w:space="0" w:color="FFFFFF"/>
              <w:left w:val="single" w:sz="4" w:space="0" w:color="FFFFFF"/>
              <w:bottom w:val="single" w:sz="4" w:space="0" w:color="FFFFFF"/>
              <w:right w:val="single" w:sz="4" w:space="0" w:color="FFFFFF"/>
            </w:tcBorders>
            <w:vAlign w:val="bottom"/>
          </w:tcPr>
          <w:p w14:paraId="0960314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4A4E1DD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3,0%</w:t>
            </w:r>
          </w:p>
        </w:tc>
      </w:tr>
    </w:tbl>
    <w:p w14:paraId="7CFD6AF2" w14:textId="77777777" w:rsidR="00862C60"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w:t>
      </w:r>
    </w:p>
    <w:p w14:paraId="20FCB2DD" w14:textId="77777777" w:rsidR="00862C60" w:rsidRDefault="00000000">
      <w:pPr>
        <w:spacing w:line="276" w:lineRule="auto"/>
        <w:jc w:val="both"/>
        <w:rPr>
          <w:rFonts w:ascii="Open Sans" w:eastAsia="Open Sans" w:hAnsi="Open Sans" w:cs="Open Sans"/>
          <w:color w:val="000000"/>
        </w:rPr>
      </w:pPr>
      <w:r>
        <w:rPr>
          <w:rFonts w:ascii="Open Sans" w:eastAsia="Open Sans" w:hAnsi="Open Sans" w:cs="Open Sans"/>
          <w:b/>
          <w:color w:val="000000"/>
        </w:rPr>
        <w:t xml:space="preserve">El precio medio de la vivienda de segunda mano sube en los diez distritos con variación interanual analizados por </w:t>
      </w:r>
      <w:hyperlink r:id="rId14">
        <w:r w:rsidR="00862C60">
          <w:rPr>
            <w:rFonts w:ascii="Open Sans" w:eastAsia="Open Sans" w:hAnsi="Open Sans" w:cs="Open Sans"/>
            <w:b/>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de la vivienda corresponden a los distritos de</w:t>
      </w:r>
      <w:r>
        <w:t xml:space="preserve"> </w:t>
      </w:r>
      <w:r>
        <w:rPr>
          <w:rFonts w:ascii="Open Sans" w:eastAsia="Open Sans" w:hAnsi="Open Sans" w:cs="Open Sans"/>
          <w:color w:val="000000"/>
        </w:rPr>
        <w:t>Sants - Montjuïc (23,5%), Les Corts (18,3%), Sarrià - Sant Gervasi (12,3%), Eixample (10,9%), Sant Martí (10,2%), Ciutat Vella (7,7%), Nou Barris (7,6%), Sant Andreu (5,9%), Gràcia (5,6%) y Horta - Guinardó (5,4%).</w:t>
      </w:r>
    </w:p>
    <w:p w14:paraId="19667FF6" w14:textId="77777777" w:rsidR="00862C60" w:rsidRDefault="00862C60">
      <w:pPr>
        <w:spacing w:line="276" w:lineRule="auto"/>
        <w:jc w:val="both"/>
      </w:pPr>
    </w:p>
    <w:p w14:paraId="6D2B9521" w14:textId="2F54F61F" w:rsidR="00F05959"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abril, vemos que el orden de los distritos de mayor a menor precio es: Sarrià - Sant Gervasi con 6.826 euros/m</w:t>
      </w:r>
      <w:r>
        <w:rPr>
          <w:rFonts w:ascii="Open Sans" w:eastAsia="Open Sans" w:hAnsi="Open Sans" w:cs="Open Sans"/>
          <w:color w:val="000000"/>
          <w:vertAlign w:val="superscript"/>
        </w:rPr>
        <w:t>2</w:t>
      </w:r>
      <w:r>
        <w:rPr>
          <w:rFonts w:ascii="Open Sans" w:eastAsia="Open Sans" w:hAnsi="Open Sans" w:cs="Open Sans"/>
          <w:color w:val="000000"/>
        </w:rPr>
        <w:t>, Eixample con 6.653 euros/m</w:t>
      </w:r>
      <w:r>
        <w:rPr>
          <w:rFonts w:ascii="Open Sans" w:eastAsia="Open Sans" w:hAnsi="Open Sans" w:cs="Open Sans"/>
          <w:color w:val="000000"/>
          <w:vertAlign w:val="superscript"/>
        </w:rPr>
        <w:t>2</w:t>
      </w:r>
      <w:r>
        <w:rPr>
          <w:rFonts w:ascii="Open Sans" w:eastAsia="Open Sans" w:hAnsi="Open Sans" w:cs="Open Sans"/>
          <w:color w:val="000000"/>
        </w:rPr>
        <w:t>, Les Corts con 6.071 euros/m</w:t>
      </w:r>
      <w:r>
        <w:rPr>
          <w:rFonts w:ascii="Open Sans" w:eastAsia="Open Sans" w:hAnsi="Open Sans" w:cs="Open Sans"/>
          <w:color w:val="000000"/>
          <w:vertAlign w:val="superscript"/>
        </w:rPr>
        <w:t>2</w:t>
      </w:r>
      <w:r>
        <w:rPr>
          <w:rFonts w:ascii="Open Sans" w:eastAsia="Open Sans" w:hAnsi="Open Sans" w:cs="Open Sans"/>
          <w:color w:val="000000"/>
        </w:rPr>
        <w:t>, Gràcia con 5.230 euros/m</w:t>
      </w:r>
      <w:r>
        <w:rPr>
          <w:rFonts w:ascii="Open Sans" w:eastAsia="Open Sans" w:hAnsi="Open Sans" w:cs="Open Sans"/>
          <w:color w:val="000000"/>
          <w:vertAlign w:val="superscript"/>
        </w:rPr>
        <w:t>2</w:t>
      </w:r>
      <w:r>
        <w:rPr>
          <w:rFonts w:ascii="Open Sans" w:eastAsia="Open Sans" w:hAnsi="Open Sans" w:cs="Open Sans"/>
          <w:color w:val="000000"/>
        </w:rPr>
        <w:t>, Ciutat Vella con 5.049 euros/m</w:t>
      </w:r>
      <w:r>
        <w:rPr>
          <w:rFonts w:ascii="Open Sans" w:eastAsia="Open Sans" w:hAnsi="Open Sans" w:cs="Open Sans"/>
          <w:color w:val="000000"/>
          <w:vertAlign w:val="superscript"/>
        </w:rPr>
        <w:t>2</w:t>
      </w:r>
      <w:r>
        <w:rPr>
          <w:rFonts w:ascii="Open Sans" w:eastAsia="Open Sans" w:hAnsi="Open Sans" w:cs="Open Sans"/>
          <w:color w:val="000000"/>
        </w:rPr>
        <w:t>, Sant Martí con 4.638 euros/m</w:t>
      </w:r>
      <w:r>
        <w:rPr>
          <w:rFonts w:ascii="Open Sans" w:eastAsia="Open Sans" w:hAnsi="Open Sans" w:cs="Open Sans"/>
          <w:color w:val="000000"/>
          <w:vertAlign w:val="superscript"/>
        </w:rPr>
        <w:t>2</w:t>
      </w:r>
      <w:r>
        <w:rPr>
          <w:rFonts w:ascii="Open Sans" w:eastAsia="Open Sans" w:hAnsi="Open Sans" w:cs="Open Sans"/>
          <w:color w:val="000000"/>
        </w:rPr>
        <w:t>, Sants - Montjuïc con 4.456 euros/m</w:t>
      </w:r>
      <w:r>
        <w:rPr>
          <w:rFonts w:ascii="Open Sans" w:eastAsia="Open Sans" w:hAnsi="Open Sans" w:cs="Open Sans"/>
          <w:color w:val="000000"/>
          <w:vertAlign w:val="superscript"/>
        </w:rPr>
        <w:t>2</w:t>
      </w:r>
      <w:r>
        <w:rPr>
          <w:rFonts w:ascii="Open Sans" w:eastAsia="Open Sans" w:hAnsi="Open Sans" w:cs="Open Sans"/>
          <w:color w:val="000000"/>
        </w:rPr>
        <w:t>, Horta - Guinardó con 3.911euros/m</w:t>
      </w:r>
      <w:r>
        <w:rPr>
          <w:rFonts w:ascii="Open Sans" w:eastAsia="Open Sans" w:hAnsi="Open Sans" w:cs="Open Sans"/>
          <w:color w:val="000000"/>
          <w:vertAlign w:val="superscript"/>
        </w:rPr>
        <w:t>2</w:t>
      </w:r>
      <w:r>
        <w:rPr>
          <w:rFonts w:ascii="Open Sans" w:eastAsia="Open Sans" w:hAnsi="Open Sans" w:cs="Open Sans"/>
          <w:color w:val="000000"/>
        </w:rPr>
        <w:t>,</w:t>
      </w:r>
      <w:r>
        <w:rPr>
          <w:rFonts w:ascii="Open Sans" w:eastAsia="Open Sans" w:hAnsi="Open Sans" w:cs="Open Sans"/>
          <w:color w:val="000000"/>
          <w:vertAlign w:val="superscript"/>
        </w:rPr>
        <w:t xml:space="preserve"> </w:t>
      </w:r>
      <w:r>
        <w:rPr>
          <w:rFonts w:ascii="Open Sans" w:eastAsia="Open Sans" w:hAnsi="Open Sans" w:cs="Open Sans"/>
          <w:color w:val="000000"/>
        </w:rPr>
        <w:t>Sant Andreu con 3.690 euros/m</w:t>
      </w:r>
      <w:r>
        <w:rPr>
          <w:rFonts w:ascii="Open Sans" w:eastAsia="Open Sans" w:hAnsi="Open Sans" w:cs="Open Sans"/>
          <w:color w:val="000000"/>
          <w:vertAlign w:val="superscript"/>
        </w:rPr>
        <w:t>2</w:t>
      </w:r>
      <w:r>
        <w:rPr>
          <w:rFonts w:ascii="Open Sans" w:eastAsia="Open Sans" w:hAnsi="Open Sans" w:cs="Open Sans"/>
          <w:color w:val="000000"/>
        </w:rPr>
        <w:t xml:space="preserve"> y Nou Barris con 2.911 euros/m</w:t>
      </w:r>
      <w:r>
        <w:rPr>
          <w:rFonts w:ascii="Open Sans" w:eastAsia="Open Sans" w:hAnsi="Open Sans" w:cs="Open Sans"/>
          <w:color w:val="000000"/>
          <w:vertAlign w:val="superscript"/>
        </w:rPr>
        <w:t>2</w:t>
      </w:r>
      <w:r>
        <w:rPr>
          <w:rFonts w:ascii="Open Sans" w:eastAsia="Open Sans" w:hAnsi="Open Sans" w:cs="Open Sans"/>
          <w:color w:val="000000"/>
        </w:rPr>
        <w:t>.</w:t>
      </w:r>
    </w:p>
    <w:p w14:paraId="358ED9DB" w14:textId="620A4CC0" w:rsidR="00862C60" w:rsidRDefault="00F05959" w:rsidP="00F05959">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anual por distritos de Barcelona</w:t>
      </w: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4"/>
        <w:gridCol w:w="2409"/>
        <w:gridCol w:w="1985"/>
        <w:gridCol w:w="1963"/>
      </w:tblGrid>
      <w:tr w:rsidR="00862C60" w14:paraId="580866BD" w14:textId="77777777" w:rsidTr="00862C60">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FFFFFF"/>
            </w:tcBorders>
            <w:vAlign w:val="center"/>
          </w:tcPr>
          <w:p w14:paraId="444889C4"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409" w:type="dxa"/>
            <w:tcBorders>
              <w:bottom w:val="single" w:sz="4" w:space="0" w:color="FFFFFF"/>
            </w:tcBorders>
            <w:vAlign w:val="center"/>
          </w:tcPr>
          <w:p w14:paraId="2DD9EA90"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1C085F4C"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083C96F1"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17775519" w14:textId="77777777" w:rsidR="00862C60"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62C60" w14:paraId="7AE35371"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555A458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409" w:type="dxa"/>
            <w:tcBorders>
              <w:top w:val="single" w:sz="4" w:space="0" w:color="FFFFFF"/>
              <w:left w:val="single" w:sz="4" w:space="0" w:color="FFFFFF"/>
              <w:bottom w:val="single" w:sz="4" w:space="0" w:color="FFFFFF"/>
              <w:right w:val="single" w:sz="4" w:space="0" w:color="FFFFFF"/>
            </w:tcBorders>
            <w:vAlign w:val="bottom"/>
          </w:tcPr>
          <w:p w14:paraId="03299F2A"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4.456 €</w:t>
            </w:r>
          </w:p>
        </w:tc>
        <w:tc>
          <w:tcPr>
            <w:tcW w:w="1985" w:type="dxa"/>
            <w:tcBorders>
              <w:top w:val="single" w:sz="4" w:space="0" w:color="FFFFFF"/>
              <w:left w:val="single" w:sz="4" w:space="0" w:color="FFFFFF"/>
              <w:bottom w:val="single" w:sz="4" w:space="0" w:color="FFFFFF"/>
              <w:right w:val="single" w:sz="4" w:space="0" w:color="FFFFFF"/>
            </w:tcBorders>
            <w:vAlign w:val="bottom"/>
          </w:tcPr>
          <w:p w14:paraId="6ECBC94C"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1AF66DE9"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23,5%</w:t>
            </w:r>
          </w:p>
        </w:tc>
      </w:tr>
      <w:tr w:rsidR="00862C60" w14:paraId="2987F53B"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7E05010B"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409" w:type="dxa"/>
            <w:tcBorders>
              <w:top w:val="single" w:sz="4" w:space="0" w:color="FFFFFF"/>
              <w:left w:val="single" w:sz="4" w:space="0" w:color="FFFFFF"/>
              <w:bottom w:val="single" w:sz="4" w:space="0" w:color="FFFFFF"/>
              <w:right w:val="single" w:sz="4" w:space="0" w:color="FFFFFF"/>
            </w:tcBorders>
            <w:vAlign w:val="bottom"/>
          </w:tcPr>
          <w:p w14:paraId="210611E3"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6.071 €</w:t>
            </w:r>
          </w:p>
        </w:tc>
        <w:tc>
          <w:tcPr>
            <w:tcW w:w="1985" w:type="dxa"/>
            <w:tcBorders>
              <w:top w:val="single" w:sz="4" w:space="0" w:color="FFFFFF"/>
              <w:left w:val="single" w:sz="4" w:space="0" w:color="FFFFFF"/>
              <w:bottom w:val="single" w:sz="4" w:space="0" w:color="FFFFFF"/>
              <w:right w:val="single" w:sz="4" w:space="0" w:color="FFFFFF"/>
            </w:tcBorders>
            <w:vAlign w:val="bottom"/>
          </w:tcPr>
          <w:p w14:paraId="00E8F3E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03E2A95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18,3%</w:t>
            </w:r>
          </w:p>
        </w:tc>
      </w:tr>
      <w:tr w:rsidR="00862C60" w14:paraId="49022820"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5FD7B05B"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409" w:type="dxa"/>
            <w:tcBorders>
              <w:top w:val="single" w:sz="4" w:space="0" w:color="FFFFFF"/>
              <w:left w:val="single" w:sz="4" w:space="0" w:color="FFFFFF"/>
              <w:bottom w:val="single" w:sz="4" w:space="0" w:color="FFFFFF"/>
              <w:right w:val="single" w:sz="4" w:space="0" w:color="FFFFFF"/>
            </w:tcBorders>
            <w:vAlign w:val="bottom"/>
          </w:tcPr>
          <w:p w14:paraId="70957E64"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6.826 €</w:t>
            </w:r>
          </w:p>
        </w:tc>
        <w:tc>
          <w:tcPr>
            <w:tcW w:w="1985" w:type="dxa"/>
            <w:tcBorders>
              <w:top w:val="single" w:sz="4" w:space="0" w:color="FFFFFF"/>
              <w:left w:val="single" w:sz="4" w:space="0" w:color="FFFFFF"/>
              <w:bottom w:val="single" w:sz="4" w:space="0" w:color="FFFFFF"/>
              <w:right w:val="single" w:sz="4" w:space="0" w:color="FFFFFF"/>
            </w:tcBorders>
            <w:vAlign w:val="bottom"/>
          </w:tcPr>
          <w:p w14:paraId="321EB71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5F61E10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12,3%</w:t>
            </w:r>
          </w:p>
        </w:tc>
      </w:tr>
      <w:tr w:rsidR="00862C60" w14:paraId="1A4941A4"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72CA2D03"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409" w:type="dxa"/>
            <w:tcBorders>
              <w:top w:val="single" w:sz="4" w:space="0" w:color="FFFFFF"/>
              <w:left w:val="single" w:sz="4" w:space="0" w:color="FFFFFF"/>
              <w:bottom w:val="single" w:sz="4" w:space="0" w:color="FFFFFF"/>
              <w:right w:val="single" w:sz="4" w:space="0" w:color="FFFFFF"/>
            </w:tcBorders>
            <w:vAlign w:val="bottom"/>
          </w:tcPr>
          <w:p w14:paraId="512DC0A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6.653 €</w:t>
            </w:r>
          </w:p>
        </w:tc>
        <w:tc>
          <w:tcPr>
            <w:tcW w:w="1985" w:type="dxa"/>
            <w:tcBorders>
              <w:top w:val="single" w:sz="4" w:space="0" w:color="FFFFFF"/>
              <w:left w:val="single" w:sz="4" w:space="0" w:color="FFFFFF"/>
              <w:bottom w:val="single" w:sz="4" w:space="0" w:color="FFFFFF"/>
              <w:right w:val="single" w:sz="4" w:space="0" w:color="FFFFFF"/>
            </w:tcBorders>
            <w:vAlign w:val="bottom"/>
          </w:tcPr>
          <w:p w14:paraId="63459EF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w:t>
            </w:r>
          </w:p>
        </w:tc>
        <w:tc>
          <w:tcPr>
            <w:tcW w:w="1963" w:type="dxa"/>
            <w:tcBorders>
              <w:top w:val="single" w:sz="4" w:space="0" w:color="FFFFFF"/>
              <w:left w:val="single" w:sz="4" w:space="0" w:color="FFFFFF"/>
              <w:bottom w:val="single" w:sz="4" w:space="0" w:color="FFFFFF"/>
              <w:right w:val="single" w:sz="4" w:space="0" w:color="FFFFFF"/>
            </w:tcBorders>
            <w:vAlign w:val="bottom"/>
          </w:tcPr>
          <w:p w14:paraId="00F035B6"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10,9%</w:t>
            </w:r>
          </w:p>
        </w:tc>
      </w:tr>
      <w:tr w:rsidR="00862C60" w14:paraId="354C0C1E"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767DEBD"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409" w:type="dxa"/>
            <w:tcBorders>
              <w:top w:val="single" w:sz="4" w:space="0" w:color="FFFFFF"/>
              <w:left w:val="single" w:sz="4" w:space="0" w:color="FFFFFF"/>
              <w:bottom w:val="single" w:sz="4" w:space="0" w:color="FFFFFF"/>
              <w:right w:val="single" w:sz="4" w:space="0" w:color="FFFFFF"/>
            </w:tcBorders>
            <w:vAlign w:val="bottom"/>
          </w:tcPr>
          <w:p w14:paraId="36D8B371"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4.638 €</w:t>
            </w:r>
          </w:p>
        </w:tc>
        <w:tc>
          <w:tcPr>
            <w:tcW w:w="1985" w:type="dxa"/>
            <w:tcBorders>
              <w:top w:val="single" w:sz="4" w:space="0" w:color="FFFFFF"/>
              <w:left w:val="single" w:sz="4" w:space="0" w:color="FFFFFF"/>
              <w:bottom w:val="single" w:sz="4" w:space="0" w:color="FFFFFF"/>
              <w:right w:val="single" w:sz="4" w:space="0" w:color="FFFFFF"/>
            </w:tcBorders>
            <w:vAlign w:val="bottom"/>
          </w:tcPr>
          <w:p w14:paraId="3268CFC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79F7DFA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10,2%</w:t>
            </w:r>
          </w:p>
        </w:tc>
      </w:tr>
      <w:tr w:rsidR="00862C60" w14:paraId="63326AE3"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4179BDE1"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409" w:type="dxa"/>
            <w:tcBorders>
              <w:top w:val="single" w:sz="4" w:space="0" w:color="FFFFFF"/>
              <w:left w:val="single" w:sz="4" w:space="0" w:color="FFFFFF"/>
              <w:bottom w:val="single" w:sz="4" w:space="0" w:color="FFFFFF"/>
              <w:right w:val="single" w:sz="4" w:space="0" w:color="FFFFFF"/>
            </w:tcBorders>
            <w:vAlign w:val="bottom"/>
          </w:tcPr>
          <w:p w14:paraId="7676388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5.049 €</w:t>
            </w:r>
          </w:p>
        </w:tc>
        <w:tc>
          <w:tcPr>
            <w:tcW w:w="1985" w:type="dxa"/>
            <w:tcBorders>
              <w:top w:val="single" w:sz="4" w:space="0" w:color="FFFFFF"/>
              <w:left w:val="single" w:sz="4" w:space="0" w:color="FFFFFF"/>
              <w:bottom w:val="single" w:sz="4" w:space="0" w:color="FFFFFF"/>
              <w:right w:val="single" w:sz="4" w:space="0" w:color="FFFFFF"/>
            </w:tcBorders>
            <w:vAlign w:val="bottom"/>
          </w:tcPr>
          <w:p w14:paraId="306474EE"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18E6A41B"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7,7%</w:t>
            </w:r>
          </w:p>
        </w:tc>
      </w:tr>
      <w:tr w:rsidR="00862C60" w14:paraId="628EFF1D"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203B6075"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409" w:type="dxa"/>
            <w:tcBorders>
              <w:top w:val="single" w:sz="4" w:space="0" w:color="FFFFFF"/>
              <w:left w:val="single" w:sz="4" w:space="0" w:color="FFFFFF"/>
              <w:bottom w:val="single" w:sz="4" w:space="0" w:color="FFFFFF"/>
              <w:right w:val="single" w:sz="4" w:space="0" w:color="FFFFFF"/>
            </w:tcBorders>
            <w:vAlign w:val="bottom"/>
          </w:tcPr>
          <w:p w14:paraId="20F021C0"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2.911 €</w:t>
            </w:r>
          </w:p>
        </w:tc>
        <w:tc>
          <w:tcPr>
            <w:tcW w:w="1985" w:type="dxa"/>
            <w:tcBorders>
              <w:top w:val="single" w:sz="4" w:space="0" w:color="FFFFFF"/>
              <w:left w:val="single" w:sz="4" w:space="0" w:color="FFFFFF"/>
              <w:bottom w:val="single" w:sz="4" w:space="0" w:color="FFFFFF"/>
              <w:right w:val="single" w:sz="4" w:space="0" w:color="FFFFFF"/>
            </w:tcBorders>
            <w:vAlign w:val="bottom"/>
          </w:tcPr>
          <w:p w14:paraId="374B93E6"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6975AD87"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7,6%</w:t>
            </w:r>
          </w:p>
        </w:tc>
      </w:tr>
      <w:tr w:rsidR="00862C60" w14:paraId="2FDC43B7"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22DDEB08"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409" w:type="dxa"/>
            <w:tcBorders>
              <w:top w:val="single" w:sz="4" w:space="0" w:color="FFFFFF"/>
              <w:left w:val="single" w:sz="4" w:space="0" w:color="FFFFFF"/>
              <w:bottom w:val="single" w:sz="4" w:space="0" w:color="FFFFFF"/>
              <w:right w:val="single" w:sz="4" w:space="0" w:color="FFFFFF"/>
            </w:tcBorders>
            <w:vAlign w:val="bottom"/>
          </w:tcPr>
          <w:p w14:paraId="368E502C"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3.690 €</w:t>
            </w:r>
          </w:p>
        </w:tc>
        <w:tc>
          <w:tcPr>
            <w:tcW w:w="1985" w:type="dxa"/>
            <w:tcBorders>
              <w:top w:val="single" w:sz="4" w:space="0" w:color="FFFFFF"/>
              <w:left w:val="single" w:sz="4" w:space="0" w:color="FFFFFF"/>
              <w:bottom w:val="single" w:sz="4" w:space="0" w:color="FFFFFF"/>
              <w:right w:val="single" w:sz="4" w:space="0" w:color="FFFFFF"/>
            </w:tcBorders>
            <w:vAlign w:val="bottom"/>
          </w:tcPr>
          <w:p w14:paraId="0CA67FA7"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bottom"/>
          </w:tcPr>
          <w:p w14:paraId="6A7BF113"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5,9%</w:t>
            </w:r>
          </w:p>
        </w:tc>
      </w:tr>
      <w:tr w:rsidR="00862C60" w14:paraId="796259F1" w14:textId="77777777" w:rsidTr="00862C6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301E86D8"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409" w:type="dxa"/>
            <w:tcBorders>
              <w:top w:val="single" w:sz="4" w:space="0" w:color="FFFFFF"/>
              <w:left w:val="single" w:sz="4" w:space="0" w:color="FFFFFF"/>
              <w:bottom w:val="single" w:sz="4" w:space="0" w:color="FFFFFF"/>
              <w:right w:val="single" w:sz="4" w:space="0" w:color="FFFFFF"/>
            </w:tcBorders>
            <w:vAlign w:val="bottom"/>
          </w:tcPr>
          <w:p w14:paraId="1E27CB43"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5.230 €</w:t>
            </w:r>
          </w:p>
        </w:tc>
        <w:tc>
          <w:tcPr>
            <w:tcW w:w="1985" w:type="dxa"/>
            <w:tcBorders>
              <w:top w:val="single" w:sz="4" w:space="0" w:color="FFFFFF"/>
              <w:left w:val="single" w:sz="4" w:space="0" w:color="FFFFFF"/>
              <w:bottom w:val="single" w:sz="4" w:space="0" w:color="FFFFFF"/>
              <w:right w:val="single" w:sz="4" w:space="0" w:color="FFFFFF"/>
            </w:tcBorders>
            <w:vAlign w:val="bottom"/>
          </w:tcPr>
          <w:p w14:paraId="77AD850E"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2,7%</w:t>
            </w:r>
          </w:p>
        </w:tc>
        <w:tc>
          <w:tcPr>
            <w:tcW w:w="1963" w:type="dxa"/>
            <w:tcBorders>
              <w:top w:val="single" w:sz="4" w:space="0" w:color="FFFFFF"/>
              <w:left w:val="single" w:sz="4" w:space="0" w:color="FFFFFF"/>
              <w:bottom w:val="single" w:sz="4" w:space="0" w:color="FFFFFF"/>
              <w:right w:val="single" w:sz="4" w:space="0" w:color="FFFFFF"/>
            </w:tcBorders>
            <w:vAlign w:val="bottom"/>
          </w:tcPr>
          <w:p w14:paraId="56D6615F" w14:textId="77777777" w:rsidR="00862C6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5,6%</w:t>
            </w:r>
          </w:p>
        </w:tc>
      </w:tr>
      <w:tr w:rsidR="00862C60" w14:paraId="5D84D77F" w14:textId="77777777" w:rsidTr="00862C60">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right w:val="single" w:sz="4" w:space="0" w:color="FFFFFF"/>
            </w:tcBorders>
            <w:vAlign w:val="bottom"/>
          </w:tcPr>
          <w:p w14:paraId="4D2169FC" w14:textId="77777777" w:rsidR="00862C60"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409" w:type="dxa"/>
            <w:tcBorders>
              <w:top w:val="single" w:sz="4" w:space="0" w:color="FFFFFF"/>
              <w:left w:val="single" w:sz="4" w:space="0" w:color="FFFFFF"/>
              <w:bottom w:val="single" w:sz="4" w:space="0" w:color="FFFFFF"/>
              <w:right w:val="single" w:sz="4" w:space="0" w:color="FFFFFF"/>
            </w:tcBorders>
            <w:vAlign w:val="bottom"/>
          </w:tcPr>
          <w:p w14:paraId="15EBD71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3.911 €</w:t>
            </w:r>
          </w:p>
        </w:tc>
        <w:tc>
          <w:tcPr>
            <w:tcW w:w="1985" w:type="dxa"/>
            <w:tcBorders>
              <w:top w:val="single" w:sz="4" w:space="0" w:color="FFFFFF"/>
              <w:left w:val="single" w:sz="4" w:space="0" w:color="FFFFFF"/>
              <w:bottom w:val="single" w:sz="4" w:space="0" w:color="FFFFFF"/>
              <w:right w:val="single" w:sz="4" w:space="0" w:color="FFFFFF"/>
            </w:tcBorders>
            <w:vAlign w:val="bottom"/>
          </w:tcPr>
          <w:p w14:paraId="13A67DF2"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-1,7%</w:t>
            </w:r>
          </w:p>
        </w:tc>
        <w:tc>
          <w:tcPr>
            <w:tcW w:w="1963" w:type="dxa"/>
            <w:tcBorders>
              <w:top w:val="single" w:sz="4" w:space="0" w:color="FFFFFF"/>
              <w:left w:val="single" w:sz="4" w:space="0" w:color="FFFFFF"/>
              <w:bottom w:val="single" w:sz="4" w:space="0" w:color="FFFFFF"/>
              <w:right w:val="single" w:sz="4" w:space="0" w:color="FFFFFF"/>
            </w:tcBorders>
            <w:vAlign w:val="bottom"/>
          </w:tcPr>
          <w:p w14:paraId="753A6D6D" w14:textId="77777777" w:rsidR="00862C6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5,4%</w:t>
            </w:r>
          </w:p>
        </w:tc>
      </w:tr>
    </w:tbl>
    <w:p w14:paraId="4C4C085D" w14:textId="77777777" w:rsidR="00862C60" w:rsidRDefault="00862C60">
      <w:pPr>
        <w:spacing w:line="276" w:lineRule="auto"/>
        <w:jc w:val="right"/>
        <w:rPr>
          <w:rFonts w:ascii="Open Sans Light" w:eastAsia="Open Sans Light" w:hAnsi="Open Sans Light" w:cs="Open Sans Light"/>
          <w:b/>
          <w:color w:val="303AB2"/>
        </w:rPr>
      </w:pPr>
    </w:p>
    <w:p w14:paraId="16FDF44A" w14:textId="77777777" w:rsidR="00862C60"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7917FF8" w14:textId="77777777" w:rsidR="00862C60"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sidR="00862C60">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3E712B5" w14:textId="77777777" w:rsidR="00862C60"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sidR="00862C60">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22C5536B" w14:textId="77777777" w:rsidR="00862C60"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71DE30D" w14:textId="77777777" w:rsidR="00862C60"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209C1F86" w14:textId="77777777" w:rsidR="00862C60"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7">
        <w:r w:rsidR="00862C60">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sidR="00862C60">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sidR="00862C60">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sidR="00862C60">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862C60">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862C60">
        <w:fldChar w:fldCharType="begin"/>
      </w:r>
      <w:r w:rsidR="00862C60">
        <w:instrText>HYPERLINK "https://www.milanuncios.com/" \h</w:instrText>
      </w:r>
      <w:r w:rsidR="00862C60">
        <w:fldChar w:fldCharType="separate"/>
      </w:r>
      <w:r w:rsidR="00862C60">
        <w:rPr>
          <w:rFonts w:ascii="Open Sans" w:eastAsia="Open Sans" w:hAnsi="Open Sans" w:cs="Open Sans"/>
          <w:color w:val="1155CC"/>
          <w:sz w:val="22"/>
          <w:szCs w:val="22"/>
          <w:u w:val="single"/>
        </w:rPr>
        <w:t>Milanuncios</w:t>
      </w:r>
      <w:proofErr w:type="spellEnd"/>
      <w:r w:rsidR="00862C60">
        <w:fldChar w:fldCharType="end"/>
      </w:r>
      <w:r>
        <w:rPr>
          <w:rFonts w:ascii="Open Sans" w:eastAsia="Open Sans" w:hAnsi="Open Sans" w:cs="Open Sans"/>
          <w:sz w:val="22"/>
          <w:szCs w:val="22"/>
        </w:rPr>
        <w:t>).</w:t>
      </w:r>
    </w:p>
    <w:p w14:paraId="20721B31" w14:textId="77777777" w:rsidR="00862C60"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489F387" w14:textId="77777777" w:rsidR="00862C60"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B505BE2" w14:textId="77777777" w:rsidR="00862C60" w:rsidRDefault="00000000">
      <w:pPr>
        <w:spacing w:before="143" w:after="200"/>
        <w:jc w:val="both"/>
      </w:pPr>
      <w:r>
        <w:rPr>
          <w:rFonts w:ascii="Open Sans" w:eastAsia="Open Sans" w:hAnsi="Open Sans" w:cs="Open Sans"/>
          <w:sz w:val="22"/>
          <w:szCs w:val="22"/>
        </w:rPr>
        <w:t xml:space="preserve">Más información en </w:t>
      </w:r>
      <w:hyperlink r:id="rId22">
        <w:r w:rsidR="00862C60">
          <w:rPr>
            <w:rFonts w:ascii="Open Sans" w:eastAsia="Open Sans" w:hAnsi="Open Sans" w:cs="Open Sans"/>
            <w:color w:val="1155CC"/>
            <w:sz w:val="22"/>
            <w:szCs w:val="22"/>
            <w:u w:val="single"/>
          </w:rPr>
          <w:t>adevinta.es</w:t>
        </w:r>
      </w:hyperlink>
    </w:p>
    <w:p w14:paraId="64E1BEC5" w14:textId="77777777" w:rsidR="00862C60" w:rsidRDefault="00862C60">
      <w:pPr>
        <w:spacing w:before="143" w:after="200"/>
        <w:jc w:val="both"/>
        <w:rPr>
          <w:rFonts w:ascii="Open Sans" w:eastAsia="Open Sans" w:hAnsi="Open Sans" w:cs="Open Sans"/>
        </w:rPr>
      </w:pPr>
    </w:p>
    <w:p w14:paraId="43608B52" w14:textId="77777777" w:rsidR="00862C60"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9CD9703" w14:textId="77777777" w:rsidR="00862C60"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F274035" w14:textId="77777777" w:rsidR="00862C60" w:rsidRDefault="00862C6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6FD6FD3B" w14:textId="77777777" w:rsidR="00862C60"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5BDA151" w14:textId="77777777" w:rsidR="00862C60" w:rsidRDefault="00862C60">
      <w:pPr>
        <w:spacing w:line="276" w:lineRule="auto"/>
        <w:jc w:val="right"/>
        <w:rPr>
          <w:rFonts w:ascii="Open Sans" w:eastAsia="Open Sans" w:hAnsi="Open Sans" w:cs="Open Sans"/>
          <w:color w:val="000000"/>
          <w:sz w:val="21"/>
          <w:szCs w:val="21"/>
        </w:rPr>
      </w:pPr>
    </w:p>
    <w:sectPr w:rsidR="00862C60">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B36E0" w14:textId="77777777" w:rsidR="00AE7C0A" w:rsidRDefault="00AE7C0A">
      <w:r>
        <w:separator/>
      </w:r>
    </w:p>
  </w:endnote>
  <w:endnote w:type="continuationSeparator" w:id="0">
    <w:p w14:paraId="39C1A184" w14:textId="77777777" w:rsidR="00AE7C0A" w:rsidRDefault="00AE7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A9A2B15-11C8-43B8-8666-43B7286DA0B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FB771F6-638F-47D5-A6E4-B3AB5E52F003}"/>
    <w:embedBold r:id="rId3" w:fontKey="{E5D75713-8B5B-4EFE-9274-7B9C6C583D7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D74C212-9F5E-4EEC-97BF-12EF6094A3BD}"/>
    <w:embedItalic r:id="rId5" w:fontKey="{8B2CAE3C-0867-4ECB-AE49-697BF0A4358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85733361-4111-4203-A515-0028F79955B0}"/>
    <w:embedBold r:id="rId7" w:fontKey="{B61DF859-84A0-40CD-AE50-B4241CDC9081}"/>
  </w:font>
  <w:font w:name="Open Sans Light">
    <w:charset w:val="00"/>
    <w:family w:val="swiss"/>
    <w:pitch w:val="variable"/>
    <w:sig w:usb0="E00002EF" w:usb1="4000205B" w:usb2="00000028" w:usb3="00000000" w:csb0="0000019F" w:csb1="00000000"/>
    <w:embedRegular r:id="rId8" w:fontKey="{E231E57F-4D9F-4B95-9EF4-1F4164C193BB}"/>
    <w:embedBold r:id="rId9" w:fontKey="{D8346F0F-35BB-453E-9B86-EEFA398BD89A}"/>
  </w:font>
  <w:font w:name="Calibri Light">
    <w:panose1 w:val="020F0302020204030204"/>
    <w:charset w:val="00"/>
    <w:family w:val="swiss"/>
    <w:pitch w:val="variable"/>
    <w:sig w:usb0="E4002EFF" w:usb1="C000247B" w:usb2="00000009" w:usb3="00000000" w:csb0="000001FF" w:csb1="00000000"/>
    <w:embedRegular r:id="rId10" w:fontKey="{AAE0478A-45E6-417F-9E48-960A6290AD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0398C" w14:textId="77777777" w:rsidR="00862C60"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C691867" wp14:editId="56D9F245">
          <wp:simplePos x="0" y="0"/>
          <wp:positionH relativeFrom="column">
            <wp:posOffset>-1191894</wp:posOffset>
          </wp:positionH>
          <wp:positionV relativeFrom="paragraph">
            <wp:posOffset>167970</wp:posOffset>
          </wp:positionV>
          <wp:extent cx="7670550" cy="451315"/>
          <wp:effectExtent l="0" t="0" r="0" b="0"/>
          <wp:wrapNone/>
          <wp:docPr id="13023010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5F13F" w14:textId="77777777" w:rsidR="00AE7C0A" w:rsidRDefault="00AE7C0A">
      <w:r>
        <w:separator/>
      </w:r>
    </w:p>
  </w:footnote>
  <w:footnote w:type="continuationSeparator" w:id="0">
    <w:p w14:paraId="0EA3D37D" w14:textId="77777777" w:rsidR="00AE7C0A" w:rsidRDefault="00AE7C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2B04CC"/>
    <w:multiLevelType w:val="multilevel"/>
    <w:tmpl w:val="75385810"/>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0812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C60"/>
    <w:rsid w:val="001D1529"/>
    <w:rsid w:val="001F7058"/>
    <w:rsid w:val="005B31B6"/>
    <w:rsid w:val="00862C60"/>
    <w:rsid w:val="00A42583"/>
    <w:rsid w:val="00AE7C0A"/>
    <w:rsid w:val="00B770E6"/>
    <w:rsid w:val="00E4661A"/>
    <w:rsid w:val="00F059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DC40C"/>
  <w15:docId w15:val="{2C50CA07-413D-4BA4-B89C-A71B81005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95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6445620330082090912gmail-msohyperlink">
    <w:name w:val="m_6445620330082090912gmail-msohyperlink"/>
    <w:basedOn w:val="Fuentedeprrafopredeter"/>
    <w:rsid w:val="0059074E"/>
  </w:style>
  <w:style w:type="character" w:styleId="Mencinsinresolver">
    <w:name w:val="Unresolved Mention"/>
    <w:basedOn w:val="Fuentedeprrafopredeter"/>
    <w:uiPriority w:val="99"/>
    <w:semiHidden/>
    <w:unhideWhenUsed/>
    <w:rsid w:val="00990AD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tocasa.es" TargetMode="External"/><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s://www.fotocasa.es/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mailto:comunicacion@fotocasa.es" TargetMode="External"/><Relationship Id="rId10" Type="http://schemas.openxmlformats.org/officeDocument/2006/relationships/chart" Target="charts/chart1.xm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www.fotocasa.es" TargetMode="External"/><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H:\Mi%20unidad\01-SCHIBSTED\03-NOTAS%20DE%20PRENSA\01-VENTA\01-NOTAS%20DE%20PRENSA\2025\04-ABRIL\PRENSA%20VENTA%20abril%20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4.605375202992458E-2"/>
          <c:y val="5.7971167309232172E-2"/>
          <c:w val="0.9302750421385988"/>
          <c:h val="0.65080320749884413"/>
        </c:manualLayout>
      </c:layout>
      <c:barChart>
        <c:barDir val="col"/>
        <c:grouping val="clustered"/>
        <c:varyColors val="0"/>
        <c:ser>
          <c:idx val="0"/>
          <c:order val="0"/>
          <c:tx>
            <c:strRef>
              <c:f>gráfica!$C$24</c:f>
              <c:strCache>
                <c:ptCount val="1"/>
                <c:pt idx="0">
                  <c:v>  % mensual </c:v>
                </c:pt>
              </c:strCache>
            </c:strRef>
          </c:tx>
          <c:spPr>
            <a:solidFill>
              <a:srgbClr val="4472C4"/>
            </a:solidFill>
            <a:ln>
              <a:noFill/>
            </a:ln>
            <a:effectLst/>
          </c:spPr>
          <c:invertIfNegative val="0"/>
          <c:dPt>
            <c:idx val="3"/>
            <c:invertIfNegative val="0"/>
            <c:bubble3D val="0"/>
            <c:spPr>
              <a:solidFill>
                <a:srgbClr val="4472C4"/>
              </a:solidFill>
              <a:ln>
                <a:noFill/>
              </a:ln>
              <a:effectLst/>
            </c:spPr>
            <c:extLst>
              <c:ext xmlns:c16="http://schemas.microsoft.com/office/drawing/2014/chart" uri="{C3380CC4-5D6E-409C-BE32-E72D297353CC}">
                <c16:uniqueId val="{00000001-CA80-484B-9BDD-670EF6CBC79E}"/>
              </c:ext>
            </c:extLst>
          </c:dPt>
          <c:dPt>
            <c:idx val="4"/>
            <c:invertIfNegative val="0"/>
            <c:bubble3D val="0"/>
            <c:spPr>
              <a:solidFill>
                <a:srgbClr val="4472C4"/>
              </a:solidFill>
              <a:ln>
                <a:noFill/>
              </a:ln>
              <a:effectLst/>
            </c:spPr>
            <c:extLst>
              <c:ext xmlns:c16="http://schemas.microsoft.com/office/drawing/2014/chart" uri="{C3380CC4-5D6E-409C-BE32-E72D297353CC}">
                <c16:uniqueId val="{00000003-CA80-484B-9BDD-670EF6CBC79E}"/>
              </c:ext>
            </c:extLst>
          </c:dPt>
          <c:dPt>
            <c:idx val="5"/>
            <c:invertIfNegative val="0"/>
            <c:bubble3D val="0"/>
            <c:spPr>
              <a:solidFill>
                <a:srgbClr val="4472C4"/>
              </a:solidFill>
              <a:ln>
                <a:noFill/>
              </a:ln>
              <a:effectLst/>
            </c:spPr>
            <c:extLst>
              <c:ext xmlns:c16="http://schemas.microsoft.com/office/drawing/2014/chart" uri="{C3380CC4-5D6E-409C-BE32-E72D297353CC}">
                <c16:uniqueId val="{00000005-CA80-484B-9BDD-670EF6CBC79E}"/>
              </c:ext>
            </c:extLst>
          </c:dPt>
          <c:dPt>
            <c:idx val="6"/>
            <c:invertIfNegative val="0"/>
            <c:bubble3D val="0"/>
            <c:spPr>
              <a:solidFill>
                <a:srgbClr val="4472C4"/>
              </a:solidFill>
              <a:ln>
                <a:noFill/>
              </a:ln>
              <a:effectLst/>
            </c:spPr>
            <c:extLst>
              <c:ext xmlns:c16="http://schemas.microsoft.com/office/drawing/2014/chart" uri="{C3380CC4-5D6E-409C-BE32-E72D297353CC}">
                <c16:uniqueId val="{00000007-CA80-484B-9BDD-670EF6CBC79E}"/>
              </c:ext>
            </c:extLst>
          </c:dPt>
          <c:dPt>
            <c:idx val="7"/>
            <c:invertIfNegative val="0"/>
            <c:bubble3D val="0"/>
            <c:spPr>
              <a:solidFill>
                <a:srgbClr val="4472C4"/>
              </a:solidFill>
              <a:ln>
                <a:noFill/>
              </a:ln>
              <a:effectLst/>
            </c:spPr>
            <c:extLst>
              <c:ext xmlns:c16="http://schemas.microsoft.com/office/drawing/2014/chart" uri="{C3380CC4-5D6E-409C-BE32-E72D297353CC}">
                <c16:uniqueId val="{00000009-CA80-484B-9BDD-670EF6CBC79E}"/>
              </c:ext>
            </c:extLst>
          </c:dPt>
          <c:dPt>
            <c:idx val="8"/>
            <c:invertIfNegative val="0"/>
            <c:bubble3D val="0"/>
            <c:spPr>
              <a:solidFill>
                <a:srgbClr val="4472C4"/>
              </a:solidFill>
              <a:ln>
                <a:noFill/>
              </a:ln>
              <a:effectLst/>
            </c:spPr>
            <c:extLst>
              <c:ext xmlns:c16="http://schemas.microsoft.com/office/drawing/2014/chart" uri="{C3380CC4-5D6E-409C-BE32-E72D297353CC}">
                <c16:uniqueId val="{0000000B-CA80-484B-9BDD-670EF6CBC79E}"/>
              </c:ext>
            </c:extLst>
          </c:dPt>
          <c:dPt>
            <c:idx val="9"/>
            <c:invertIfNegative val="0"/>
            <c:bubble3D val="0"/>
            <c:spPr>
              <a:solidFill>
                <a:srgbClr val="4472C4"/>
              </a:solidFill>
              <a:ln>
                <a:noFill/>
              </a:ln>
              <a:effectLst/>
            </c:spPr>
            <c:extLst>
              <c:ext xmlns:c16="http://schemas.microsoft.com/office/drawing/2014/chart" uri="{C3380CC4-5D6E-409C-BE32-E72D297353CC}">
                <c16:uniqueId val="{0000000D-CA80-484B-9BDD-670EF6CBC79E}"/>
              </c:ext>
            </c:extLst>
          </c:dPt>
          <c:dPt>
            <c:idx val="10"/>
            <c:invertIfNegative val="0"/>
            <c:bubble3D val="0"/>
            <c:spPr>
              <a:solidFill>
                <a:srgbClr val="4472C4"/>
              </a:solidFill>
              <a:ln>
                <a:noFill/>
              </a:ln>
              <a:effectLst/>
            </c:spPr>
            <c:extLst>
              <c:ext xmlns:c16="http://schemas.microsoft.com/office/drawing/2014/chart" uri="{C3380CC4-5D6E-409C-BE32-E72D297353CC}">
                <c16:uniqueId val="{0000000F-CA80-484B-9BDD-670EF6CBC79E}"/>
              </c:ext>
            </c:extLst>
          </c:dPt>
          <c:dPt>
            <c:idx val="14"/>
            <c:invertIfNegative val="0"/>
            <c:bubble3D val="0"/>
            <c:spPr>
              <a:solidFill>
                <a:srgbClr val="4472C4"/>
              </a:solidFill>
              <a:ln>
                <a:noFill/>
              </a:ln>
              <a:effectLst/>
            </c:spPr>
            <c:extLst>
              <c:ext xmlns:c16="http://schemas.microsoft.com/office/drawing/2014/chart" uri="{C3380CC4-5D6E-409C-BE32-E72D297353CC}">
                <c16:uniqueId val="{00000011-CA80-484B-9BDD-670EF6CBC79E}"/>
              </c:ext>
            </c:extLst>
          </c:dPt>
          <c:dLbls>
            <c:dLbl>
              <c:idx val="5"/>
              <c:layout>
                <c:manualLayout>
                  <c:x val="6.78264575522980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80-484B-9BDD-670EF6CBC79E}"/>
                </c:ext>
              </c:extLst>
            </c:dLbl>
            <c:dLbl>
              <c:idx val="9"/>
              <c:layout>
                <c:manualLayout>
                  <c:x val="-1.8832023099033309E-3"/>
                  <c:y val="5.96734914765040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A80-484B-9BDD-670EF6CBC79E}"/>
                </c:ext>
              </c:extLst>
            </c:dLbl>
            <c:numFmt formatCode="#,##0.0&quot;%&quot;"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gráfica!$A$25:$B$37</c:f>
              <c:multiLvlStrCache>
                <c:ptCount val="13"/>
                <c:lvl>
                  <c:pt idx="0">
                    <c:v>ABR</c:v>
                  </c:pt>
                  <c:pt idx="1">
                    <c:v>MAY</c:v>
                  </c:pt>
                  <c:pt idx="2">
                    <c:v>JUN</c:v>
                  </c:pt>
                  <c:pt idx="3">
                    <c:v>JUL</c:v>
                  </c:pt>
                  <c:pt idx="4">
                    <c:v>AGO</c:v>
                  </c:pt>
                  <c:pt idx="5">
                    <c:v>SEP</c:v>
                  </c:pt>
                  <c:pt idx="6">
                    <c:v>OCT</c:v>
                  </c:pt>
                  <c:pt idx="7">
                    <c:v>NOV</c:v>
                  </c:pt>
                  <c:pt idx="8">
                    <c:v>DIC</c:v>
                  </c:pt>
                  <c:pt idx="9">
                    <c:v>ENE</c:v>
                  </c:pt>
                  <c:pt idx="10">
                    <c:v>FEB</c:v>
                  </c:pt>
                  <c:pt idx="11">
                    <c:v>MAR</c:v>
                  </c:pt>
                  <c:pt idx="12">
                    <c:v>ABR</c:v>
                  </c:pt>
                </c:lvl>
                <c:lvl>
                  <c:pt idx="0">
                    <c:v>2024</c:v>
                  </c:pt>
                  <c:pt idx="9">
                    <c:v>2025</c:v>
                  </c:pt>
                </c:lvl>
              </c:multiLvlStrCache>
            </c:multiLvlStrRef>
          </c:cat>
          <c:val>
            <c:numRef>
              <c:f>gráfica!$C$25:$C$37</c:f>
              <c:numCache>
                <c:formatCode>#,##0.0"%"</c:formatCode>
                <c:ptCount val="13"/>
                <c:pt idx="0">
                  <c:v>0.44400766721117702</c:v>
                </c:pt>
                <c:pt idx="1">
                  <c:v>1.1075363596297905</c:v>
                </c:pt>
                <c:pt idx="2">
                  <c:v>1.4476075898052887</c:v>
                </c:pt>
                <c:pt idx="3">
                  <c:v>0.69736265436077804</c:v>
                </c:pt>
                <c:pt idx="4">
                  <c:v>-0.71685505446819064</c:v>
                </c:pt>
                <c:pt idx="5">
                  <c:v>1.1973680252023167</c:v>
                </c:pt>
                <c:pt idx="6">
                  <c:v>0.36693663123292808</c:v>
                </c:pt>
                <c:pt idx="7">
                  <c:v>0.69818514177388824</c:v>
                </c:pt>
                <c:pt idx="8">
                  <c:v>0.38491114687553285</c:v>
                </c:pt>
                <c:pt idx="9">
                  <c:v>0.68942999585590581</c:v>
                </c:pt>
                <c:pt idx="10">
                  <c:v>2.2644882348050066</c:v>
                </c:pt>
                <c:pt idx="11">
                  <c:v>1.1809567172249125</c:v>
                </c:pt>
                <c:pt idx="12">
                  <c:v>1.797968596821109</c:v>
                </c:pt>
              </c:numCache>
            </c:numRef>
          </c:val>
          <c:extLst>
            <c:ext xmlns:c16="http://schemas.microsoft.com/office/drawing/2014/chart" uri="{C3380CC4-5D6E-409C-BE32-E72D297353CC}">
              <c16:uniqueId val="{00000012-CA80-484B-9BDD-670EF6CBC79E}"/>
            </c:ext>
          </c:extLst>
        </c:ser>
        <c:ser>
          <c:idx val="1"/>
          <c:order val="1"/>
          <c:tx>
            <c:strRef>
              <c:f>gráfica!$D$24</c:f>
              <c:strCache>
                <c:ptCount val="1"/>
                <c:pt idx="0">
                  <c:v> % interanual </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gráfica!$A$25:$B$37</c:f>
              <c:multiLvlStrCache>
                <c:ptCount val="13"/>
                <c:lvl>
                  <c:pt idx="0">
                    <c:v>ABR</c:v>
                  </c:pt>
                  <c:pt idx="1">
                    <c:v>MAY</c:v>
                  </c:pt>
                  <c:pt idx="2">
                    <c:v>JUN</c:v>
                  </c:pt>
                  <c:pt idx="3">
                    <c:v>JUL</c:v>
                  </c:pt>
                  <c:pt idx="4">
                    <c:v>AGO</c:v>
                  </c:pt>
                  <c:pt idx="5">
                    <c:v>SEP</c:v>
                  </c:pt>
                  <c:pt idx="6">
                    <c:v>OCT</c:v>
                  </c:pt>
                  <c:pt idx="7">
                    <c:v>NOV</c:v>
                  </c:pt>
                  <c:pt idx="8">
                    <c:v>DIC</c:v>
                  </c:pt>
                  <c:pt idx="9">
                    <c:v>ENE</c:v>
                  </c:pt>
                  <c:pt idx="10">
                    <c:v>FEB</c:v>
                  </c:pt>
                  <c:pt idx="11">
                    <c:v>MAR</c:v>
                  </c:pt>
                  <c:pt idx="12">
                    <c:v>ABR</c:v>
                  </c:pt>
                </c:lvl>
                <c:lvl>
                  <c:pt idx="0">
                    <c:v>2024</c:v>
                  </c:pt>
                  <c:pt idx="9">
                    <c:v>2025</c:v>
                  </c:pt>
                </c:lvl>
              </c:multiLvlStrCache>
            </c:multiLvlStrRef>
          </c:cat>
          <c:val>
            <c:numRef>
              <c:f>gráfica!$D$25:$D$37</c:f>
              <c:numCache>
                <c:formatCode>#,##0.0"%"</c:formatCode>
                <c:ptCount val="13"/>
                <c:pt idx="0">
                  <c:v>7.3701644386608312</c:v>
                </c:pt>
                <c:pt idx="1">
                  <c:v>7.6636803499106065</c:v>
                </c:pt>
                <c:pt idx="2">
                  <c:v>8.4440758205505784</c:v>
                </c:pt>
                <c:pt idx="3">
                  <c:v>9.0103541625966344</c:v>
                </c:pt>
                <c:pt idx="4">
                  <c:v>8.4872758469558107</c:v>
                </c:pt>
                <c:pt idx="5">
                  <c:v>9.4540383497966332</c:v>
                </c:pt>
                <c:pt idx="6">
                  <c:v>9.4501718213058528</c:v>
                </c:pt>
                <c:pt idx="7">
                  <c:v>9.5572630134842065</c:v>
                </c:pt>
                <c:pt idx="8">
                  <c:v>8.4349325949798057</c:v>
                </c:pt>
                <c:pt idx="9">
                  <c:v>8.5777996452059959</c:v>
                </c:pt>
                <c:pt idx="10">
                  <c:v>10.10119998746748</c:v>
                </c:pt>
                <c:pt idx="11">
                  <c:v>10.179418053360623</c:v>
                </c:pt>
                <c:pt idx="12">
                  <c:v>11.66460996033496</c:v>
                </c:pt>
              </c:numCache>
            </c:numRef>
          </c:val>
          <c:extLst>
            <c:ext xmlns:c16="http://schemas.microsoft.com/office/drawing/2014/chart" uri="{C3380CC4-5D6E-409C-BE32-E72D297353CC}">
              <c16:uniqueId val="{00000013-CA80-484B-9BDD-670EF6CBC79E}"/>
            </c:ext>
          </c:extLst>
        </c:ser>
        <c:dLbls>
          <c:showLegendKey val="0"/>
          <c:showVal val="0"/>
          <c:showCatName val="0"/>
          <c:showSerName val="0"/>
          <c:showPercent val="0"/>
          <c:showBubbleSize val="0"/>
        </c:dLbls>
        <c:gapWidth val="100"/>
        <c:overlap val="-14"/>
        <c:axId val="714532111"/>
        <c:axId val="1020150815"/>
      </c:barChart>
      <c:catAx>
        <c:axId val="714532111"/>
        <c:scaling>
          <c:orientation val="minMax"/>
        </c:scaling>
        <c:delete val="0"/>
        <c:axPos val="b"/>
        <c:numFmt formatCode="General" sourceLinked="1"/>
        <c:majorTickMark val="cross"/>
        <c:minorTickMark val="out"/>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legend>
      <c:legendPos val="r"/>
      <c:layout>
        <c:manualLayout>
          <c:xMode val="edge"/>
          <c:yMode val="edge"/>
          <c:x val="0.23990085221549753"/>
          <c:y val="0.89773966263683247"/>
          <c:w val="0.53293860812609251"/>
          <c:h val="7.347311766894244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1000" b="0">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0.03774</cdr:x>
      <cdr:y>0.6233</cdr:y>
    </cdr:from>
    <cdr:to>
      <cdr:x>0.96978</cdr:x>
      <cdr:y>0.6233</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236420" y="2158251"/>
          <a:ext cx="5838382" cy="0"/>
        </a:xfrm>
        <a:prstGeom xmlns:a="http://schemas.openxmlformats.org/drawingml/2006/main" prst="lin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B1mMJGgAAuaO5/+r6WKLp3wc7w==">CgMxLjAyDmgudjRtbG4yOWJ3bHFxMgloLjJzOGV5bzE4AHIhMUlJWHV0c1pxb2dRZERTbXBKSm14YUdrMEhBdnpEN3Rm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3053</Words>
  <Characters>16792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4</cp:revision>
  <dcterms:created xsi:type="dcterms:W3CDTF">2020-08-26T10:47:00Z</dcterms:created>
  <dcterms:modified xsi:type="dcterms:W3CDTF">2025-04-29T10:50:00Z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2024-01-26T14:32:01Z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14e205f0-437b-4ec9-a62f-b3b1d7a711e1</vt:lpwstr>
  </property>
  <property fmtid="{D5CDD505-2E9C-101B-9397-08002B2CF9AE}" pid="8" name="MSIP_Label_defa4170-0d19-0005-0004-bc88714345d2_ContentBits">
    <vt:lpwstr>0</vt:lpwstr>
  </property>
</Properties>
</file>