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BE8F6" w14:textId="77777777" w:rsidR="0080751B"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ÍNDICE PREDICTIVO ALQUILER DATAVENUES</w:t>
      </w:r>
    </w:p>
    <w:p w14:paraId="6B74EC52" w14:textId="77777777" w:rsidR="0080751B" w:rsidRPr="00AE78CA" w:rsidRDefault="00000000">
      <w:pPr>
        <w:ind w:right="-560"/>
        <w:jc w:val="center"/>
        <w:rPr>
          <w:rFonts w:ascii="National" w:eastAsia="National" w:hAnsi="National" w:cs="National"/>
          <w:b/>
          <w:color w:val="002060"/>
          <w:sz w:val="44"/>
          <w:szCs w:val="44"/>
        </w:rPr>
      </w:pPr>
      <w:r w:rsidRPr="00AE78CA">
        <w:rPr>
          <w:rFonts w:ascii="National" w:eastAsia="National" w:hAnsi="National" w:cs="National"/>
          <w:b/>
          <w:color w:val="002060"/>
          <w:sz w:val="44"/>
          <w:szCs w:val="44"/>
        </w:rPr>
        <w:t>La IA anticipa las mayores subidas en el precio del alquiler en San Sebastián y Castellón y las mayores bajadas en Badajoz y Santa Cruz al cierre del segundo trimestre</w:t>
      </w:r>
    </w:p>
    <w:p w14:paraId="7F9B0683" w14:textId="77777777" w:rsidR="0080751B" w:rsidRDefault="0080751B">
      <w:pPr>
        <w:spacing w:line="276" w:lineRule="auto"/>
        <w:ind w:right="-560"/>
        <w:jc w:val="both"/>
        <w:rPr>
          <w:rFonts w:ascii="Open Sans" w:eastAsia="Open Sans" w:hAnsi="Open Sans" w:cs="Open Sans"/>
          <w:color w:val="002060"/>
        </w:rPr>
      </w:pPr>
    </w:p>
    <w:p w14:paraId="7955D230" w14:textId="77777777" w:rsidR="0080751B"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Los incrementos del precio de la vivienda en alquiler a cierre del segundo trimestre son más moderados respecto al trimestre anterior</w:t>
      </w:r>
    </w:p>
    <w:p w14:paraId="6C6D6C5A" w14:textId="77777777" w:rsidR="0080751B"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San Sebastián (+13,7%), Castellón de la Plana (+10,7%) y Cádiz (+9,8%) registren las mayores subidas de precios</w:t>
      </w:r>
    </w:p>
    <w:p w14:paraId="3CE2AEB5" w14:textId="77777777" w:rsidR="0080751B"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Por contra, capitales de provincia como Badajoz (-14,5%), Santa Cruz de Tenerife (-6,2%) y Granada (-5,3%) experimentarán los mayores descensos trimestrales de precios</w:t>
      </w:r>
    </w:p>
    <w:p w14:paraId="5F5532E3" w14:textId="77777777" w:rsidR="0080751B" w:rsidRDefault="0080751B">
      <w:pPr>
        <w:pBdr>
          <w:top w:val="nil"/>
          <w:left w:val="nil"/>
          <w:bottom w:val="nil"/>
          <w:right w:val="nil"/>
          <w:between w:val="nil"/>
        </w:pBdr>
        <w:spacing w:line="276" w:lineRule="auto"/>
        <w:ind w:left="720" w:right="-560"/>
        <w:jc w:val="both"/>
        <w:rPr>
          <w:rFonts w:ascii="Open Sans" w:eastAsia="Open Sans" w:hAnsi="Open Sans" w:cs="Open Sans"/>
          <w:b/>
          <w:color w:val="303AB2"/>
        </w:rPr>
      </w:pPr>
    </w:p>
    <w:p w14:paraId="628E2633" w14:textId="77777777" w:rsidR="0080751B"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28 de abril de 2025</w:t>
      </w:r>
    </w:p>
    <w:p w14:paraId="025C5669" w14:textId="77777777" w:rsidR="0080751B" w:rsidRDefault="0080751B">
      <w:pPr>
        <w:spacing w:line="276" w:lineRule="auto"/>
        <w:ind w:right="-560"/>
        <w:jc w:val="both"/>
        <w:rPr>
          <w:rFonts w:ascii="Open Sans" w:eastAsia="Open Sans" w:hAnsi="Open Sans" w:cs="Open Sans"/>
          <w:sz w:val="22"/>
          <w:szCs w:val="22"/>
        </w:rPr>
      </w:pPr>
    </w:p>
    <w:p w14:paraId="2B6BB27E" w14:textId="77777777" w:rsidR="0080751B" w:rsidRDefault="00000000">
      <w:pPr>
        <w:spacing w:line="276" w:lineRule="auto"/>
        <w:ind w:right="-560"/>
        <w:jc w:val="both"/>
        <w:rPr>
          <w:rFonts w:ascii="Open Sans" w:eastAsia="Open Sans" w:hAnsi="Open Sans" w:cs="Open Sans"/>
          <w:color w:val="262626"/>
          <w:sz w:val="22"/>
          <w:szCs w:val="22"/>
        </w:rPr>
      </w:pPr>
      <w:bookmarkStart w:id="0" w:name="_heading=h.30j0zll" w:colFirst="0" w:colLast="0"/>
      <w:bookmarkEnd w:id="0"/>
      <w:r>
        <w:rPr>
          <w:rFonts w:ascii="Open Sans" w:eastAsia="Open Sans" w:hAnsi="Open Sans" w:cs="Open Sans"/>
          <w:color w:val="262626"/>
          <w:sz w:val="22"/>
          <w:szCs w:val="22"/>
        </w:rPr>
        <w:t xml:space="preserve">La Inteligencia Artificial prevé que las ciudades de San Sebastián (+13,7%), Castellón de la Plana (+10,7%) y Cádiz (+9,8%) registren las mayores subidas de precios de alquiler de viviendas de toda España a nivel trimestral (es decir, comparando la evolución estimada entre el 1 de abril y 30 de junio de 2025). </w:t>
      </w:r>
      <w:r>
        <w:rPr>
          <w:rFonts w:ascii="Open Sans" w:eastAsia="Open Sans" w:hAnsi="Open Sans" w:cs="Open Sans"/>
          <w:b/>
          <w:color w:val="262626"/>
          <w:sz w:val="22"/>
          <w:szCs w:val="22"/>
        </w:rPr>
        <w:t xml:space="preserve">Estas son las principales estimaciones del </w:t>
      </w:r>
      <w:r>
        <w:rPr>
          <w:rFonts w:ascii="Open Sans" w:eastAsia="Open Sans" w:hAnsi="Open Sans" w:cs="Open Sans"/>
          <w:b/>
          <w:i/>
          <w:color w:val="262626"/>
          <w:sz w:val="22"/>
          <w:szCs w:val="22"/>
        </w:rPr>
        <w:t xml:space="preserve">Índice predictivo de alquiler </w:t>
      </w:r>
      <w:hyperlink r:id="rId8">
        <w:proofErr w:type="spellStart"/>
        <w:r>
          <w:rPr>
            <w:rFonts w:ascii="Open Sans" w:eastAsia="Open Sans" w:hAnsi="Open Sans" w:cs="Open Sans"/>
            <w:b/>
            <w:i/>
            <w:color w:val="0000FF"/>
            <w:sz w:val="22"/>
            <w:szCs w:val="22"/>
            <w:u w:val="single"/>
          </w:rPr>
          <w:t>DataVenues</w:t>
        </w:r>
        <w:proofErr w:type="spellEnd"/>
      </w:hyperlink>
      <w:r>
        <w:rPr>
          <w:rFonts w:ascii="Open Sans" w:eastAsia="Open Sans" w:hAnsi="Open Sans" w:cs="Open Sans"/>
          <w:b/>
          <w:color w:val="262626"/>
          <w:sz w:val="22"/>
          <w:szCs w:val="22"/>
        </w:rPr>
        <w:t> de </w:t>
      </w:r>
      <w:hyperlink r:id="rId9">
        <w:r>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que permite adelantarse al comportamiento del mercado y prever la evolución de los precios de la vivienda, tanto de compra como de alquiler. </w:t>
      </w:r>
      <w:r>
        <w:rPr>
          <w:rFonts w:ascii="Open Sans" w:eastAsia="Open Sans" w:hAnsi="Open Sans" w:cs="Open Sans"/>
          <w:color w:val="262626"/>
          <w:sz w:val="22"/>
          <w:szCs w:val="22"/>
        </w:rPr>
        <w:t xml:space="preserve">Desde enero de 2025,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5DAB5607" w14:textId="77777777" w:rsidR="0080751B" w:rsidRDefault="0080751B">
      <w:pPr>
        <w:spacing w:line="276" w:lineRule="auto"/>
        <w:ind w:right="-560"/>
        <w:jc w:val="both"/>
        <w:rPr>
          <w:rFonts w:ascii="Open Sans" w:eastAsia="Open Sans" w:hAnsi="Open Sans" w:cs="Open Sans"/>
          <w:color w:val="262626"/>
          <w:sz w:val="22"/>
          <w:szCs w:val="22"/>
        </w:rPr>
      </w:pPr>
    </w:p>
    <w:p w14:paraId="11103B9D" w14:textId="77777777" w:rsidR="0080751B" w:rsidRDefault="00000000">
      <w:pPr>
        <w:spacing w:line="276" w:lineRule="auto"/>
        <w:ind w:right="-560"/>
        <w:jc w:val="both"/>
        <w:rPr>
          <w:rFonts w:ascii="Open Sans" w:eastAsia="Open Sans" w:hAnsi="Open Sans" w:cs="Open Sans"/>
          <w:b/>
          <w:color w:val="000000"/>
          <w:sz w:val="22"/>
          <w:szCs w:val="22"/>
        </w:rPr>
      </w:pPr>
      <w:bookmarkStart w:id="1" w:name="_heading=h.re15j88vxwq5" w:colFirst="0" w:colLast="0"/>
      <w:bookmarkEnd w:id="1"/>
      <w:r>
        <w:rPr>
          <w:rFonts w:ascii="Open Sans" w:eastAsia="Open Sans" w:hAnsi="Open Sans" w:cs="Open Sans"/>
          <w:color w:val="262626"/>
          <w:sz w:val="22"/>
          <w:szCs w:val="22"/>
        </w:rPr>
        <w:t xml:space="preserve">“En </w:t>
      </w:r>
      <w:hyperlink r:id="rId11">
        <w:r>
          <w:rPr>
            <w:rFonts w:ascii="Open Sans" w:eastAsia="Open Sans" w:hAnsi="Open Sans" w:cs="Open Sans"/>
            <w:color w:val="1155CC"/>
            <w:sz w:val="22"/>
            <w:szCs w:val="22"/>
            <w:u w:val="single"/>
          </w:rPr>
          <w:t>Fotocasa</w:t>
        </w:r>
      </w:hyperlink>
      <w:r>
        <w:rPr>
          <w:rFonts w:ascii="Open Sans" w:eastAsia="Open Sans" w:hAnsi="Open Sans" w:cs="Open Sans"/>
          <w:color w:val="262626"/>
          <w:sz w:val="22"/>
          <w:szCs w:val="22"/>
        </w:rPr>
        <w:t xml:space="preserve"> seguimos apostando por la innovación y la transparencia como pilares fundamentales para entender el mercado inmobiliario. Con nuestro </w:t>
      </w:r>
      <w:r>
        <w:rPr>
          <w:rFonts w:ascii="Open Sans" w:eastAsia="Open Sans" w:hAnsi="Open Sans" w:cs="Open Sans"/>
          <w:i/>
          <w:color w:val="262626"/>
          <w:sz w:val="22"/>
          <w:szCs w:val="22"/>
        </w:rPr>
        <w:t xml:space="preserve">Índice Predictivo de Precios </w:t>
      </w:r>
      <w:proofErr w:type="spellStart"/>
      <w:r>
        <w:rPr>
          <w:rFonts w:ascii="Open Sans" w:eastAsia="Open Sans" w:hAnsi="Open Sans" w:cs="Open Sans"/>
          <w:i/>
          <w:color w:val="262626"/>
          <w:sz w:val="22"/>
          <w:szCs w:val="22"/>
        </w:rPr>
        <w:t>DataVenues</w:t>
      </w:r>
      <w:proofErr w:type="spellEnd"/>
      <w:r>
        <w:rPr>
          <w:rFonts w:ascii="Open Sans" w:eastAsia="Open Sans" w:hAnsi="Open Sans" w:cs="Open Sans"/>
          <w:color w:val="262626"/>
          <w:sz w:val="22"/>
          <w:szCs w:val="22"/>
        </w:rPr>
        <w:t xml:space="preserve"> damos un paso decisivo hacia la anticipación del comportamiento del mercado, aplicando inteligencia artificial y analítica avanzada sobre miles de datos de oferta y demanda. Esta herramienta no solo permite a los ciudadanos tomar decisiones más informadas sobre la vivienda, sino que también ofrece a los profesionales una ventaja competitiva clave: la capacidad de adelantarse a las tendencias del sector. En un </w:t>
      </w:r>
      <w:r>
        <w:rPr>
          <w:rFonts w:ascii="Open Sans" w:eastAsia="Open Sans" w:hAnsi="Open Sans" w:cs="Open Sans"/>
          <w:color w:val="262626"/>
          <w:sz w:val="22"/>
          <w:szCs w:val="22"/>
        </w:rPr>
        <w:lastRenderedPageBreak/>
        <w:t>entorno de alta complejidad, con escasa oferta y precios tensionados, contar con previsiones fiables se convierte en un recurso imprescindible para abordar los retos del acceso a la vivienda</w:t>
      </w:r>
      <w:r>
        <w:rPr>
          <w:rFonts w:ascii="Open Sans" w:eastAsia="Open Sans" w:hAnsi="Open Sans" w:cs="Open Sans"/>
          <w:color w:val="000000"/>
          <w:sz w:val="22"/>
          <w:szCs w:val="22"/>
        </w:rPr>
        <w:t xml:space="preserve">”, </w:t>
      </w:r>
      <w:r>
        <w:rPr>
          <w:rFonts w:ascii="Open Sans" w:eastAsia="Open Sans" w:hAnsi="Open Sans" w:cs="Open Sans"/>
          <w:b/>
          <w:sz w:val="22"/>
          <w:szCs w:val="22"/>
        </w:rPr>
        <w:t>explica</w:t>
      </w:r>
      <w:r>
        <w:rPr>
          <w:rFonts w:ascii="Open Sans" w:eastAsia="Open Sans" w:hAnsi="Open Sans" w:cs="Open Sans"/>
          <w:b/>
          <w:color w:val="000000"/>
          <w:sz w:val="22"/>
          <w:szCs w:val="22"/>
        </w:rPr>
        <w:t xml:space="preserve"> María Matos, directora de Estudios de</w:t>
      </w:r>
      <w:hyperlink r:id="rId12">
        <w:r>
          <w:rPr>
            <w:rFonts w:ascii="Open Sans" w:eastAsia="Open Sans" w:hAnsi="Open Sans" w:cs="Open Sans"/>
            <w:b/>
            <w:color w:val="1155CC"/>
            <w:sz w:val="22"/>
            <w:szCs w:val="22"/>
            <w:u w:val="single"/>
          </w:rPr>
          <w:t xml:space="preserve"> Fotocasa</w:t>
        </w:r>
      </w:hyperlink>
      <w:r>
        <w:rPr>
          <w:rFonts w:ascii="Open Sans" w:eastAsia="Open Sans" w:hAnsi="Open Sans" w:cs="Open Sans"/>
          <w:b/>
          <w:color w:val="000000"/>
          <w:sz w:val="22"/>
          <w:szCs w:val="22"/>
        </w:rPr>
        <w:t>.</w:t>
      </w:r>
    </w:p>
    <w:p w14:paraId="36CBAD2F" w14:textId="77777777" w:rsidR="0080751B" w:rsidRDefault="0080751B">
      <w:pPr>
        <w:spacing w:line="276" w:lineRule="auto"/>
        <w:ind w:right="-560"/>
        <w:jc w:val="both"/>
        <w:rPr>
          <w:rFonts w:ascii="Open Sans" w:eastAsia="Open Sans" w:hAnsi="Open Sans" w:cs="Open Sans"/>
          <w:b/>
          <w:color w:val="000000"/>
          <w:sz w:val="22"/>
          <w:szCs w:val="22"/>
        </w:rPr>
      </w:pPr>
    </w:p>
    <w:p w14:paraId="3EBFB1ED" w14:textId="77777777" w:rsidR="0080751B"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¿Dónde bajarán más los alquileres?</w:t>
      </w:r>
    </w:p>
    <w:p w14:paraId="5B19A05F" w14:textId="77777777" w:rsidR="0080751B" w:rsidRDefault="0080751B">
      <w:pPr>
        <w:spacing w:line="276" w:lineRule="auto"/>
        <w:ind w:right="-560"/>
        <w:jc w:val="both"/>
        <w:rPr>
          <w:rFonts w:ascii="Open Sans" w:eastAsia="Open Sans" w:hAnsi="Open Sans" w:cs="Open Sans"/>
          <w:b/>
          <w:color w:val="002060"/>
        </w:rPr>
      </w:pPr>
    </w:p>
    <w:p w14:paraId="012A3D19" w14:textId="77777777" w:rsidR="0080751B" w:rsidRDefault="00000000">
      <w:pPr>
        <w:spacing w:line="276" w:lineRule="auto"/>
        <w:ind w:right="-560"/>
        <w:jc w:val="both"/>
        <w:rPr>
          <w:rFonts w:ascii="Open Sans" w:eastAsia="Open Sans" w:hAnsi="Open Sans" w:cs="Open Sans"/>
          <w:color w:val="262626"/>
          <w:sz w:val="22"/>
          <w:szCs w:val="22"/>
        </w:rPr>
      </w:pPr>
      <w:bookmarkStart w:id="2" w:name="_heading=h.ortgfjuvd9tt" w:colFirst="0" w:colLast="0"/>
      <w:bookmarkEnd w:id="2"/>
      <w:r>
        <w:rPr>
          <w:rFonts w:ascii="Open Sans" w:eastAsia="Open Sans" w:hAnsi="Open Sans" w:cs="Open Sans"/>
          <w:color w:val="262626"/>
          <w:sz w:val="22"/>
          <w:szCs w:val="22"/>
        </w:rPr>
        <w:t xml:space="preserve">El </w:t>
      </w:r>
      <w:r>
        <w:rPr>
          <w:rFonts w:ascii="Open Sans" w:eastAsia="Open Sans" w:hAnsi="Open Sans" w:cs="Open Sans"/>
          <w:i/>
          <w:color w:val="262626"/>
          <w:sz w:val="22"/>
          <w:szCs w:val="22"/>
        </w:rPr>
        <w:t xml:space="preserve">Índice Predictivo de alquiler </w:t>
      </w:r>
      <w:hyperlink r:id="rId13">
        <w:proofErr w:type="spellStart"/>
        <w:r>
          <w:rPr>
            <w:rFonts w:ascii="Open Sans" w:eastAsia="Open Sans" w:hAnsi="Open Sans" w:cs="Open Sans"/>
            <w:i/>
            <w:color w:val="0000FF"/>
            <w:sz w:val="22"/>
            <w:szCs w:val="22"/>
            <w:u w:val="single"/>
          </w:rPr>
          <w:t>DataVenues</w:t>
        </w:r>
        <w:proofErr w:type="spellEnd"/>
      </w:hyperlink>
      <w:r>
        <w:rPr>
          <w:rFonts w:ascii="Open Sans" w:eastAsia="Open Sans" w:hAnsi="Open Sans" w:cs="Open Sans"/>
          <w:color w:val="262626"/>
          <w:sz w:val="22"/>
          <w:szCs w:val="22"/>
        </w:rPr>
        <w:t xml:space="preserve"> estima que los precios de los alquileres de viviendas bajarán en varias capitales de provincia al cierre del segundo trimestre de 2025. </w:t>
      </w:r>
      <w:r>
        <w:rPr>
          <w:rFonts w:ascii="Open Sans" w:eastAsia="Open Sans" w:hAnsi="Open Sans" w:cs="Open Sans"/>
          <w:b/>
          <w:color w:val="262626"/>
          <w:sz w:val="22"/>
          <w:szCs w:val="22"/>
        </w:rPr>
        <w:t>Entre las ciudades donde se prevé que se registren mayores descensos en las rentas están Badajoz (-14,5%), Santa Cruz de Tenerife (-6,2%), Granada (-5,3%), Madrid (-4,3%), Toledo (-4,0%), Córdoba (-2,6%), Salamanca (-2,0%), Valladolid (-1,9%) y Valencia (-1,3%).</w:t>
      </w:r>
      <w:r>
        <w:rPr>
          <w:rFonts w:ascii="Open Sans" w:eastAsia="Open Sans" w:hAnsi="Open Sans" w:cs="Open Sans"/>
          <w:color w:val="262626"/>
          <w:sz w:val="22"/>
          <w:szCs w:val="22"/>
        </w:rPr>
        <w:t xml:space="preserve"> También experimentarán descensos trimestrales más suaves (por debajo del 1%) otras ciudades como Jaén (-0,9%), Santander (-0,2%), Vigo (-0,2%), y Albacete (-0,1%). Por otro lado, la herramienta avanza que las ciudades de Almería, Zamora, Lugo, Girona, Barcelona, Ciudad Real, Sevilla, Málaga, Pamplona, y Segovia cerrarán el segundo trimestre sin variaciones de precios.</w:t>
      </w:r>
    </w:p>
    <w:p w14:paraId="03D23A09" w14:textId="77777777" w:rsidR="00AE78CA" w:rsidRDefault="00AE78CA">
      <w:pPr>
        <w:spacing w:line="276" w:lineRule="auto"/>
        <w:ind w:right="-560"/>
        <w:jc w:val="both"/>
        <w:rPr>
          <w:rFonts w:ascii="Open Sans" w:eastAsia="Open Sans" w:hAnsi="Open Sans" w:cs="Open Sans"/>
          <w:color w:val="262626"/>
          <w:sz w:val="22"/>
          <w:szCs w:val="22"/>
        </w:rPr>
      </w:pPr>
    </w:p>
    <w:p w14:paraId="0C3840A4" w14:textId="0432B96F" w:rsidR="00AE78CA" w:rsidRDefault="00AE78CA" w:rsidP="00AE78CA">
      <w:pPr>
        <w:spacing w:line="276" w:lineRule="auto"/>
        <w:ind w:right="-560"/>
        <w:jc w:val="center"/>
        <w:rPr>
          <w:rFonts w:ascii="Open Sans" w:eastAsia="Open Sans" w:hAnsi="Open Sans" w:cs="Open Sans"/>
          <w:b/>
          <w:color w:val="002060"/>
        </w:rPr>
      </w:pPr>
      <w:r>
        <w:rPr>
          <w:rFonts w:ascii="Open Sans" w:eastAsia="Open Sans" w:hAnsi="Open Sans" w:cs="Open Sans"/>
          <w:b/>
          <w:color w:val="002060"/>
        </w:rPr>
        <w:t>Capitales de provincia con mayor bajada de precio del alquiler</w:t>
      </w:r>
    </w:p>
    <w:p w14:paraId="000CF5A4" w14:textId="77777777" w:rsidR="00AE78CA" w:rsidRDefault="00AE78CA">
      <w:pPr>
        <w:spacing w:line="276" w:lineRule="auto"/>
        <w:ind w:right="-560"/>
        <w:jc w:val="both"/>
        <w:rPr>
          <w:rFonts w:ascii="Open Sans" w:eastAsia="Open Sans" w:hAnsi="Open Sans" w:cs="Open Sans"/>
          <w:color w:val="262626"/>
          <w:sz w:val="22"/>
          <w:szCs w:val="22"/>
        </w:rPr>
      </w:pPr>
    </w:p>
    <w:p w14:paraId="4C76A0BA" w14:textId="77777777" w:rsidR="0080751B" w:rsidRDefault="0080751B">
      <w:pPr>
        <w:spacing w:line="276" w:lineRule="auto"/>
        <w:ind w:right="-560"/>
        <w:jc w:val="both"/>
        <w:rPr>
          <w:rFonts w:ascii="Open Sans" w:eastAsia="Open Sans" w:hAnsi="Open Sans" w:cs="Open Sans"/>
          <w:color w:val="262626"/>
          <w:sz w:val="22"/>
          <w:szCs w:val="22"/>
        </w:rPr>
      </w:pPr>
      <w:bookmarkStart w:id="3" w:name="_heading=h.ks5agdb1cqab" w:colFirst="0" w:colLast="0"/>
      <w:bookmarkEnd w:id="3"/>
    </w:p>
    <w:p w14:paraId="7E00E5B2" w14:textId="77777777" w:rsidR="0080751B"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6E33B2DB" wp14:editId="1DCE8EE4">
            <wp:extent cx="5676900" cy="3261360"/>
            <wp:effectExtent l="0" t="0" r="0" b="0"/>
            <wp:docPr id="21175944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77246" cy="3261559"/>
                    </a:xfrm>
                    <a:prstGeom prst="rect">
                      <a:avLst/>
                    </a:prstGeom>
                    <a:ln/>
                  </pic:spPr>
                </pic:pic>
              </a:graphicData>
            </a:graphic>
          </wp:inline>
        </w:drawing>
      </w:r>
    </w:p>
    <w:p w14:paraId="0378D913" w14:textId="77777777" w:rsidR="0080751B" w:rsidRDefault="0080751B">
      <w:pPr>
        <w:spacing w:line="276" w:lineRule="auto"/>
        <w:ind w:right="-560"/>
        <w:jc w:val="both"/>
        <w:rPr>
          <w:rFonts w:ascii="Open Sans" w:eastAsia="Open Sans" w:hAnsi="Open Sans" w:cs="Open Sans"/>
          <w:color w:val="262626"/>
          <w:sz w:val="22"/>
          <w:szCs w:val="22"/>
        </w:rPr>
      </w:pPr>
    </w:p>
    <w:p w14:paraId="4E2C67AC" w14:textId="77777777" w:rsidR="0080751B" w:rsidRDefault="0080751B">
      <w:pPr>
        <w:spacing w:line="276" w:lineRule="auto"/>
        <w:ind w:right="-560"/>
        <w:jc w:val="both"/>
        <w:rPr>
          <w:rFonts w:ascii="Open Sans" w:eastAsia="Open Sans" w:hAnsi="Open Sans" w:cs="Open Sans"/>
          <w:color w:val="262626"/>
          <w:sz w:val="22"/>
          <w:szCs w:val="22"/>
        </w:rPr>
      </w:pPr>
    </w:p>
    <w:p w14:paraId="18920D0D" w14:textId="77777777" w:rsidR="0080751B" w:rsidRDefault="0080751B">
      <w:pPr>
        <w:spacing w:line="276" w:lineRule="auto"/>
        <w:ind w:right="-560"/>
        <w:jc w:val="both"/>
        <w:rPr>
          <w:rFonts w:ascii="Open Sans" w:eastAsia="Open Sans" w:hAnsi="Open Sans" w:cs="Open Sans"/>
          <w:color w:val="262626"/>
          <w:sz w:val="22"/>
          <w:szCs w:val="22"/>
        </w:rPr>
      </w:pPr>
    </w:p>
    <w:p w14:paraId="360B5DDA" w14:textId="77777777" w:rsidR="0080751B"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t>La subida de los alquileres se modera en muchas capitales de provincia</w:t>
      </w:r>
    </w:p>
    <w:p w14:paraId="6D1C3B86" w14:textId="77777777" w:rsidR="0080751B" w:rsidRDefault="0080751B">
      <w:pPr>
        <w:spacing w:line="276" w:lineRule="auto"/>
        <w:ind w:right="-560"/>
        <w:jc w:val="both"/>
        <w:rPr>
          <w:rFonts w:ascii="Open Sans" w:eastAsia="Open Sans" w:hAnsi="Open Sans" w:cs="Open Sans"/>
          <w:b/>
          <w:color w:val="002060"/>
        </w:rPr>
      </w:pPr>
    </w:p>
    <w:p w14:paraId="6F2480E2" w14:textId="77777777" w:rsidR="0080751B" w:rsidRDefault="00000000">
      <w:pPr>
        <w:spacing w:line="276" w:lineRule="auto"/>
        <w:ind w:right="-560"/>
        <w:jc w:val="both"/>
        <w:rPr>
          <w:rFonts w:ascii="Open Sans" w:eastAsia="Open Sans" w:hAnsi="Open Sans" w:cs="Open Sans"/>
          <w:color w:val="262626"/>
          <w:sz w:val="22"/>
          <w:szCs w:val="22"/>
        </w:rPr>
      </w:pPr>
      <w:bookmarkStart w:id="4" w:name="_heading=h.66ts2940luyx" w:colFirst="0" w:colLast="0"/>
      <w:bookmarkEnd w:id="4"/>
      <w:r>
        <w:rPr>
          <w:rFonts w:ascii="Open Sans" w:eastAsia="Open Sans" w:hAnsi="Open Sans" w:cs="Open Sans"/>
          <w:color w:val="262626"/>
          <w:sz w:val="22"/>
          <w:szCs w:val="22"/>
        </w:rPr>
        <w:t xml:space="preserve">A pesar de preverse importantes subidas de los alquileres en varias capitales, estas podrían ser más moderadas en este segundo trimestre que en el periodo anterior, según la estimación del </w:t>
      </w:r>
      <w:r>
        <w:rPr>
          <w:rFonts w:ascii="Open Sans" w:eastAsia="Open Sans" w:hAnsi="Open Sans" w:cs="Open Sans"/>
          <w:i/>
          <w:color w:val="262626"/>
          <w:sz w:val="22"/>
          <w:szCs w:val="22"/>
        </w:rPr>
        <w:t xml:space="preserve">Índice predictivo de alquiler </w:t>
      </w:r>
      <w:hyperlink r:id="rId15">
        <w:proofErr w:type="spellStart"/>
        <w:r>
          <w:rPr>
            <w:rFonts w:ascii="Open Sans" w:eastAsia="Open Sans" w:hAnsi="Open Sans" w:cs="Open Sans"/>
            <w:i/>
            <w:color w:val="0000FF"/>
            <w:sz w:val="22"/>
            <w:szCs w:val="22"/>
            <w:u w:val="single"/>
          </w:rPr>
          <w:t>DataVenues</w:t>
        </w:r>
        <w:proofErr w:type="spellEnd"/>
      </w:hyperlink>
      <w:r>
        <w:rPr>
          <w:rFonts w:ascii="Open Sans" w:eastAsia="Open Sans" w:hAnsi="Open Sans" w:cs="Open Sans"/>
          <w:color w:val="262626"/>
          <w:sz w:val="22"/>
          <w:szCs w:val="22"/>
        </w:rPr>
        <w:t> de </w:t>
      </w:r>
      <w:hyperlink r:id="rId16">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Tras las ciudades de San Sebastián, Castellón de la Plana y Cádiz, otras capitales registrarán destacados incrementos en los precios del alquiler de viviendas en España. Así, </w:t>
      </w:r>
      <w:r>
        <w:rPr>
          <w:rFonts w:ascii="Open Sans" w:eastAsia="Open Sans" w:hAnsi="Open Sans" w:cs="Open Sans"/>
          <w:b/>
          <w:color w:val="262626"/>
          <w:sz w:val="22"/>
          <w:szCs w:val="22"/>
        </w:rPr>
        <w:t>las rentas en Alicante aumentarán notablemente (+9,0%), y lo mismo ocurrirá en Burgos (+6,4%), A Coruña (+5,7%), y Palencia (+5,6%)</w:t>
      </w:r>
      <w:r>
        <w:rPr>
          <w:rFonts w:ascii="Open Sans" w:eastAsia="Open Sans" w:hAnsi="Open Sans" w:cs="Open Sans"/>
          <w:color w:val="262626"/>
          <w:sz w:val="22"/>
          <w:szCs w:val="22"/>
        </w:rPr>
        <w:t>. Según el algoritmo, estas capitales completarán el Top 10 de ciudades con mayores alzas de alquileres a nivel nacional: Logroño (+5,3%), Palma (+5,1%), y Murcia (+4,6%).</w:t>
      </w:r>
    </w:p>
    <w:p w14:paraId="5BE35E76" w14:textId="77777777" w:rsidR="00AE78CA" w:rsidRDefault="00AE78CA">
      <w:pPr>
        <w:spacing w:line="276" w:lineRule="auto"/>
        <w:ind w:right="-560"/>
        <w:jc w:val="both"/>
        <w:rPr>
          <w:rFonts w:ascii="Open Sans" w:eastAsia="Open Sans" w:hAnsi="Open Sans" w:cs="Open Sans"/>
          <w:color w:val="262626"/>
          <w:sz w:val="22"/>
          <w:szCs w:val="22"/>
        </w:rPr>
      </w:pPr>
    </w:p>
    <w:p w14:paraId="234B710E" w14:textId="520EE823" w:rsidR="00AE78CA" w:rsidRPr="00AE78CA" w:rsidRDefault="00AE78CA" w:rsidP="00AE78CA">
      <w:pPr>
        <w:spacing w:line="276" w:lineRule="auto"/>
        <w:ind w:right="-560"/>
        <w:jc w:val="center"/>
        <w:rPr>
          <w:rFonts w:ascii="Open Sans" w:eastAsia="Open Sans" w:hAnsi="Open Sans" w:cs="Open Sans"/>
          <w:b/>
          <w:color w:val="002060"/>
        </w:rPr>
      </w:pPr>
      <w:r>
        <w:rPr>
          <w:rFonts w:ascii="Open Sans" w:eastAsia="Open Sans" w:hAnsi="Open Sans" w:cs="Open Sans"/>
          <w:b/>
          <w:color w:val="002060"/>
        </w:rPr>
        <w:t xml:space="preserve">Capitales de provincia con mayor </w:t>
      </w:r>
      <w:r>
        <w:rPr>
          <w:rFonts w:ascii="Open Sans" w:eastAsia="Open Sans" w:hAnsi="Open Sans" w:cs="Open Sans"/>
          <w:b/>
          <w:color w:val="002060"/>
        </w:rPr>
        <w:t>subida</w:t>
      </w:r>
      <w:r>
        <w:rPr>
          <w:rFonts w:ascii="Open Sans" w:eastAsia="Open Sans" w:hAnsi="Open Sans" w:cs="Open Sans"/>
          <w:b/>
          <w:color w:val="002060"/>
        </w:rPr>
        <w:t xml:space="preserve"> de precio del alquiler</w:t>
      </w:r>
    </w:p>
    <w:p w14:paraId="66714C05" w14:textId="77777777" w:rsidR="0080751B" w:rsidRDefault="0080751B">
      <w:pPr>
        <w:spacing w:line="276" w:lineRule="auto"/>
        <w:ind w:right="-560"/>
        <w:jc w:val="both"/>
        <w:rPr>
          <w:rFonts w:ascii="Open Sans" w:eastAsia="Open Sans" w:hAnsi="Open Sans" w:cs="Open Sans"/>
          <w:color w:val="262626"/>
          <w:sz w:val="22"/>
          <w:szCs w:val="22"/>
        </w:rPr>
      </w:pPr>
      <w:bookmarkStart w:id="5" w:name="_heading=h.22a7pquzr2pl" w:colFirst="0" w:colLast="0"/>
      <w:bookmarkEnd w:id="5"/>
    </w:p>
    <w:p w14:paraId="237E47A4" w14:textId="77777777" w:rsidR="0080751B"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46B33B23" wp14:editId="1C33214C">
            <wp:extent cx="5745480" cy="3840480"/>
            <wp:effectExtent l="0" t="0" r="7620" b="7620"/>
            <wp:docPr id="21175944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45752" cy="3840662"/>
                    </a:xfrm>
                    <a:prstGeom prst="rect">
                      <a:avLst/>
                    </a:prstGeom>
                    <a:ln/>
                  </pic:spPr>
                </pic:pic>
              </a:graphicData>
            </a:graphic>
          </wp:inline>
        </w:drawing>
      </w:r>
    </w:p>
    <w:p w14:paraId="3E8F20AA" w14:textId="77777777" w:rsidR="0080751B" w:rsidRDefault="0080751B">
      <w:pPr>
        <w:spacing w:line="276" w:lineRule="auto"/>
        <w:ind w:left="-567" w:right="-560" w:firstLine="567"/>
        <w:jc w:val="center"/>
        <w:rPr>
          <w:rFonts w:ascii="Open Sans" w:eastAsia="Open Sans" w:hAnsi="Open Sans" w:cs="Open Sans"/>
          <w:color w:val="262626"/>
          <w:sz w:val="22"/>
          <w:szCs w:val="22"/>
        </w:rPr>
      </w:pPr>
    </w:p>
    <w:p w14:paraId="0B1246C5" w14:textId="77777777" w:rsidR="00172309" w:rsidRDefault="00172309">
      <w:pPr>
        <w:spacing w:line="276" w:lineRule="auto"/>
        <w:ind w:right="-560"/>
        <w:jc w:val="both"/>
        <w:rPr>
          <w:rFonts w:ascii="Open Sans" w:eastAsia="Open Sans" w:hAnsi="Open Sans" w:cs="Open Sans"/>
          <w:b/>
          <w:color w:val="262626"/>
          <w:sz w:val="22"/>
          <w:szCs w:val="22"/>
        </w:rPr>
      </w:pPr>
    </w:p>
    <w:p w14:paraId="24DCB9F3" w14:textId="77777777" w:rsidR="00172309" w:rsidRDefault="00172309">
      <w:pPr>
        <w:spacing w:line="276" w:lineRule="auto"/>
        <w:ind w:right="-560"/>
        <w:jc w:val="both"/>
        <w:rPr>
          <w:rFonts w:ascii="Open Sans" w:eastAsia="Open Sans" w:hAnsi="Open Sans" w:cs="Open Sans"/>
          <w:b/>
          <w:color w:val="262626"/>
          <w:sz w:val="22"/>
          <w:szCs w:val="22"/>
        </w:rPr>
      </w:pPr>
    </w:p>
    <w:p w14:paraId="13E4FB8B" w14:textId="5731998E" w:rsidR="0080751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color w:val="262626"/>
          <w:sz w:val="22"/>
          <w:szCs w:val="22"/>
        </w:rPr>
        <w:lastRenderedPageBreak/>
        <w:t>En la zona más templada de incrementos de los alquileres se encontrarán ciudades como Pontevedra (+3,8%), Cuenca (+3,7%), Cáceres (+3,2%), Tarragona (+3,1%), Ávila (+2,5%), Guadalajara (+2,2%), y Lleida (+2,0%)</w:t>
      </w:r>
      <w:r>
        <w:rPr>
          <w:rFonts w:ascii="Open Sans" w:eastAsia="Open Sans" w:hAnsi="Open Sans" w:cs="Open Sans"/>
          <w:color w:val="262626"/>
          <w:sz w:val="22"/>
          <w:szCs w:val="22"/>
        </w:rPr>
        <w:t>. A continuación, la herramienta predice que registrarán variaciones positivas inferiores al 2% capitales de provincia como Huesca (+1,5%), Teruel (+1,5%), Huelva (+1,3%), León (+1,3%), Bilbao (+0,7%), Zaragoza (+0,4%), Oviedo (+0,4%), Ourense (+0,4%), Las Palmas de Gran Canaria (+0,4%), y Vitoria (+0,2%).</w:t>
      </w:r>
    </w:p>
    <w:p w14:paraId="1EC3BBE2" w14:textId="77777777" w:rsidR="00172309" w:rsidRDefault="00172309">
      <w:pPr>
        <w:spacing w:line="276" w:lineRule="auto"/>
        <w:ind w:right="-560"/>
        <w:jc w:val="both"/>
        <w:rPr>
          <w:rFonts w:ascii="Open Sans" w:eastAsia="Open Sans" w:hAnsi="Open Sans" w:cs="Open Sans"/>
          <w:color w:val="262626"/>
          <w:sz w:val="22"/>
          <w:szCs w:val="22"/>
        </w:rPr>
      </w:pPr>
    </w:p>
    <w:p w14:paraId="161653FD" w14:textId="3EFFA29F" w:rsidR="00172309" w:rsidRDefault="00172309">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Por último, en esta previsión el </w:t>
      </w:r>
      <w:r>
        <w:rPr>
          <w:rFonts w:ascii="Open Sans" w:eastAsia="Open Sans" w:hAnsi="Open Sans" w:cs="Open Sans"/>
          <w:i/>
          <w:color w:val="262626"/>
          <w:sz w:val="22"/>
          <w:szCs w:val="22"/>
        </w:rPr>
        <w:t xml:space="preserve">Índice predictivo de alquiler </w:t>
      </w:r>
      <w:hyperlink r:id="rId18">
        <w:proofErr w:type="spellStart"/>
        <w:r>
          <w:rPr>
            <w:rFonts w:ascii="Open Sans" w:eastAsia="Open Sans" w:hAnsi="Open Sans" w:cs="Open Sans"/>
            <w:i/>
            <w:color w:val="0000FF"/>
            <w:sz w:val="22"/>
            <w:szCs w:val="22"/>
            <w:u w:val="single"/>
          </w:rPr>
          <w:t>DataVenues</w:t>
        </w:r>
        <w:proofErr w:type="spellEnd"/>
      </w:hyperlink>
      <w:r>
        <w:rPr>
          <w:rFonts w:ascii="Open Sans" w:eastAsia="Open Sans" w:hAnsi="Open Sans" w:cs="Open Sans"/>
          <w:color w:val="262626"/>
          <w:sz w:val="22"/>
          <w:szCs w:val="22"/>
        </w:rPr>
        <w:t> de </w:t>
      </w:r>
      <w:hyperlink r:id="rId19">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ha detectado también variaciones en los precios de oferta que podrían estar vinculadas a fenómenos cíclicos, como sería el caso de los alquileres vacacionales, los arrendamientos en periodos estudiantiles, o cualquier otra casuística que pudiera generar oscilaciones recurrentes a nivel trimestral. Este sería el caso de las estimaciones dadas para las ciudades de San Sebastián, Cádiz, Alicante, Palma, Murcia, Cáceres, Huesca, Bilbao, Valladolid o Badajoz. Además, la herramienta ha señalado que, en el caso de Badajoz, Palencia, Santa Cruz de Tenerife, Sevilla y Zamora, se observa también una volatilidad muy pronunciada en la evolución estimada de los precios del alquiler en los últimos meses, que podría ocasionar una corrección de éstos en los próximos trimestres.</w:t>
      </w:r>
    </w:p>
    <w:p w14:paraId="350EB251" w14:textId="77777777" w:rsidR="00172309" w:rsidRDefault="00172309">
      <w:pPr>
        <w:spacing w:line="276" w:lineRule="auto"/>
        <w:ind w:right="-560"/>
        <w:jc w:val="both"/>
        <w:rPr>
          <w:rFonts w:ascii="Open Sans" w:eastAsia="Open Sans" w:hAnsi="Open Sans" w:cs="Open Sans"/>
          <w:color w:val="262626"/>
          <w:sz w:val="22"/>
          <w:szCs w:val="22"/>
        </w:rPr>
      </w:pPr>
    </w:p>
    <w:p w14:paraId="7992A307" w14:textId="10FEF3A2" w:rsidR="00172309" w:rsidRDefault="00172309" w:rsidP="00172309">
      <w:pPr>
        <w:spacing w:line="276" w:lineRule="auto"/>
        <w:ind w:right="-560"/>
        <w:jc w:val="center"/>
        <w:rPr>
          <w:rFonts w:ascii="Open Sans" w:eastAsia="Open Sans" w:hAnsi="Open Sans" w:cs="Open Sans"/>
          <w:b/>
          <w:color w:val="002060"/>
        </w:rPr>
      </w:pPr>
      <w:r>
        <w:rPr>
          <w:rFonts w:ascii="Open Sans" w:eastAsia="Open Sans" w:hAnsi="Open Sans" w:cs="Open Sans"/>
          <w:b/>
          <w:color w:val="002060"/>
        </w:rPr>
        <w:t>Variación trimestral por capitales de provincia</w:t>
      </w:r>
    </w:p>
    <w:p w14:paraId="07A12313" w14:textId="77777777" w:rsidR="0019229E" w:rsidRDefault="0019229E" w:rsidP="0019229E">
      <w:pPr>
        <w:spacing w:line="276" w:lineRule="auto"/>
        <w:ind w:right="-560"/>
        <w:rPr>
          <w:rFonts w:ascii="Open Sans" w:eastAsia="Open Sans" w:hAnsi="Open Sans" w:cs="Open Sans"/>
          <w:b/>
          <w:color w:val="002060"/>
        </w:rPr>
      </w:pPr>
    </w:p>
    <w:tbl>
      <w:tblPr>
        <w:tblStyle w:val="Tabladecuadrcula4"/>
        <w:tblW w:w="0" w:type="auto"/>
        <w:jc w:val="center"/>
        <w:tblLook w:val="04A0" w:firstRow="1" w:lastRow="0" w:firstColumn="1" w:lastColumn="0" w:noHBand="0" w:noVBand="1"/>
      </w:tblPr>
      <w:tblGrid>
        <w:gridCol w:w="3397"/>
        <w:gridCol w:w="2552"/>
      </w:tblGrid>
      <w:tr w:rsidR="0019229E" w14:paraId="6693784F" w14:textId="77777777" w:rsidTr="001922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D7ED5E9" w14:textId="171495BE" w:rsidR="0019229E" w:rsidRPr="0019229E" w:rsidRDefault="0019229E" w:rsidP="0019229E">
            <w:pPr>
              <w:spacing w:line="276" w:lineRule="auto"/>
              <w:ind w:right="-560"/>
              <w:rPr>
                <w:rFonts w:ascii="Open Sans" w:eastAsia="Open Sans" w:hAnsi="Open Sans" w:cs="Open Sans"/>
                <w:bCs w:val="0"/>
                <w:color w:val="303AB2"/>
              </w:rPr>
            </w:pPr>
            <w:r w:rsidRPr="0019229E">
              <w:rPr>
                <w:rFonts w:ascii="Open Sans" w:eastAsia="Open Sans" w:hAnsi="Open Sans" w:cs="Open Sans"/>
                <w:bCs w:val="0"/>
              </w:rPr>
              <w:t>Capital de provincia</w:t>
            </w:r>
          </w:p>
        </w:tc>
        <w:tc>
          <w:tcPr>
            <w:tcW w:w="2552" w:type="dxa"/>
          </w:tcPr>
          <w:p w14:paraId="45E1129A" w14:textId="5D0A6CE5" w:rsidR="0019229E" w:rsidRDefault="0019229E" w:rsidP="0019229E">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color w:val="303AB2"/>
              </w:rPr>
            </w:pPr>
            <w:r w:rsidRPr="0019229E">
              <w:rPr>
                <w:rFonts w:ascii="Open Sans" w:eastAsia="Open Sans" w:hAnsi="Open Sans" w:cs="Open Sans"/>
                <w:bCs w:val="0"/>
              </w:rPr>
              <w:t>Variación segundo trimestre</w:t>
            </w:r>
          </w:p>
        </w:tc>
      </w:tr>
      <w:tr w:rsidR="0019229E" w14:paraId="4A64CBF2"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27B4AC9" w14:textId="0C0B8F2A" w:rsidR="0019229E" w:rsidRDefault="0019229E" w:rsidP="0019229E">
            <w:pPr>
              <w:spacing w:line="276" w:lineRule="auto"/>
              <w:ind w:right="-560"/>
              <w:jc w:val="both"/>
              <w:rPr>
                <w:rFonts w:ascii="Open Sans" w:eastAsia="Open Sans" w:hAnsi="Open Sans" w:cs="Open Sans"/>
                <w:b w:val="0"/>
                <w:color w:val="303AB2"/>
              </w:rPr>
            </w:pPr>
            <w:r w:rsidRPr="0019229E">
              <w:rPr>
                <w:rFonts w:ascii="Open Sans" w:eastAsia="Open Sans" w:hAnsi="Open Sans" w:cs="Open Sans"/>
                <w:b w:val="0"/>
                <w:color w:val="262626"/>
                <w:sz w:val="22"/>
                <w:szCs w:val="22"/>
              </w:rPr>
              <w:t>San Sebastián</w:t>
            </w:r>
            <w:r>
              <w:rPr>
                <w:b w:val="0"/>
              </w:rPr>
              <w:t xml:space="preserve"> </w:t>
            </w:r>
          </w:p>
        </w:tc>
        <w:tc>
          <w:tcPr>
            <w:tcW w:w="2552" w:type="dxa"/>
          </w:tcPr>
          <w:p w14:paraId="0EF0E3EE" w14:textId="0880EFA3"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13,7</w:t>
            </w:r>
            <w:r w:rsidRPr="0019229E">
              <w:rPr>
                <w:rFonts w:ascii="Open Sans" w:hAnsi="Open Sans" w:cs="Open Sans"/>
              </w:rPr>
              <w:t>%</w:t>
            </w:r>
          </w:p>
        </w:tc>
      </w:tr>
      <w:tr w:rsidR="0019229E" w14:paraId="468B4BF5"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7F0DC62" w14:textId="327FFE53"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Castellón</w:t>
            </w:r>
          </w:p>
        </w:tc>
        <w:tc>
          <w:tcPr>
            <w:tcW w:w="2552" w:type="dxa"/>
          </w:tcPr>
          <w:p w14:paraId="0E434A6F" w14:textId="6105D7A3"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10,7</w:t>
            </w:r>
            <w:r>
              <w:rPr>
                <w:rFonts w:ascii="Open Sans" w:hAnsi="Open Sans" w:cs="Open Sans"/>
              </w:rPr>
              <w:t>%</w:t>
            </w:r>
          </w:p>
        </w:tc>
      </w:tr>
      <w:tr w:rsidR="0019229E" w14:paraId="0BA4C127"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68EDC25B" w14:textId="734C753D"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Cádiz</w:t>
            </w:r>
          </w:p>
        </w:tc>
        <w:tc>
          <w:tcPr>
            <w:tcW w:w="2552" w:type="dxa"/>
          </w:tcPr>
          <w:p w14:paraId="0445FA6C" w14:textId="4A693BB1"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9,8</w:t>
            </w:r>
            <w:r>
              <w:rPr>
                <w:rFonts w:ascii="Open Sans" w:hAnsi="Open Sans" w:cs="Open Sans"/>
              </w:rPr>
              <w:t>%</w:t>
            </w:r>
          </w:p>
        </w:tc>
      </w:tr>
      <w:tr w:rsidR="0019229E" w14:paraId="5B10F4D0"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A92A652" w14:textId="573AA31D"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Alicante</w:t>
            </w:r>
          </w:p>
        </w:tc>
        <w:tc>
          <w:tcPr>
            <w:tcW w:w="2552" w:type="dxa"/>
          </w:tcPr>
          <w:p w14:paraId="7703779F" w14:textId="4223C95F"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9,0</w:t>
            </w:r>
            <w:r>
              <w:rPr>
                <w:rFonts w:ascii="Open Sans" w:hAnsi="Open Sans" w:cs="Open Sans"/>
              </w:rPr>
              <w:t>%</w:t>
            </w:r>
          </w:p>
        </w:tc>
      </w:tr>
      <w:tr w:rsidR="0019229E" w14:paraId="384BFB71"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48CB8B0" w14:textId="7F907668"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Burgos</w:t>
            </w:r>
          </w:p>
        </w:tc>
        <w:tc>
          <w:tcPr>
            <w:tcW w:w="2552" w:type="dxa"/>
          </w:tcPr>
          <w:p w14:paraId="15960BB6" w14:textId="71F113B5"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6,4</w:t>
            </w:r>
            <w:r>
              <w:rPr>
                <w:rFonts w:ascii="Open Sans" w:hAnsi="Open Sans" w:cs="Open Sans"/>
              </w:rPr>
              <w:t>%</w:t>
            </w:r>
          </w:p>
        </w:tc>
      </w:tr>
      <w:tr w:rsidR="0019229E" w14:paraId="019A3C47"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B37A044" w14:textId="641B830B"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A Coruña</w:t>
            </w:r>
          </w:p>
        </w:tc>
        <w:tc>
          <w:tcPr>
            <w:tcW w:w="2552" w:type="dxa"/>
          </w:tcPr>
          <w:p w14:paraId="500C4404" w14:textId="488DEA8F"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5,7</w:t>
            </w:r>
            <w:r>
              <w:rPr>
                <w:rFonts w:ascii="Open Sans" w:hAnsi="Open Sans" w:cs="Open Sans"/>
              </w:rPr>
              <w:t>%</w:t>
            </w:r>
          </w:p>
        </w:tc>
      </w:tr>
      <w:tr w:rsidR="0019229E" w14:paraId="30B29716"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3840A5E" w14:textId="0E7F223A"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Palencia</w:t>
            </w:r>
          </w:p>
        </w:tc>
        <w:tc>
          <w:tcPr>
            <w:tcW w:w="2552" w:type="dxa"/>
          </w:tcPr>
          <w:p w14:paraId="4B8E6481" w14:textId="076C47B2"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5,6</w:t>
            </w:r>
            <w:r>
              <w:rPr>
                <w:rFonts w:ascii="Open Sans" w:hAnsi="Open Sans" w:cs="Open Sans"/>
              </w:rPr>
              <w:t>%</w:t>
            </w:r>
          </w:p>
        </w:tc>
      </w:tr>
      <w:tr w:rsidR="0019229E" w14:paraId="67D5D065"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B65BA78" w14:textId="3E50CDC2"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Logroño</w:t>
            </w:r>
          </w:p>
        </w:tc>
        <w:tc>
          <w:tcPr>
            <w:tcW w:w="2552" w:type="dxa"/>
          </w:tcPr>
          <w:p w14:paraId="28AF4AD0" w14:textId="60071FAD"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5,3</w:t>
            </w:r>
            <w:r>
              <w:rPr>
                <w:rFonts w:ascii="Open Sans" w:hAnsi="Open Sans" w:cs="Open Sans"/>
              </w:rPr>
              <w:t>%</w:t>
            </w:r>
          </w:p>
        </w:tc>
      </w:tr>
      <w:tr w:rsidR="0019229E" w14:paraId="78F4C255"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82978FA" w14:textId="3CF25847"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Palma</w:t>
            </w:r>
          </w:p>
        </w:tc>
        <w:tc>
          <w:tcPr>
            <w:tcW w:w="2552" w:type="dxa"/>
          </w:tcPr>
          <w:p w14:paraId="6A13140A" w14:textId="0C57098A"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5,1</w:t>
            </w:r>
            <w:r>
              <w:rPr>
                <w:rFonts w:ascii="Open Sans" w:hAnsi="Open Sans" w:cs="Open Sans"/>
              </w:rPr>
              <w:t>%</w:t>
            </w:r>
          </w:p>
        </w:tc>
      </w:tr>
      <w:tr w:rsidR="0019229E" w14:paraId="1F6B9EBB"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0C6116D" w14:textId="38317C9A"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Murcia</w:t>
            </w:r>
          </w:p>
        </w:tc>
        <w:tc>
          <w:tcPr>
            <w:tcW w:w="2552" w:type="dxa"/>
          </w:tcPr>
          <w:p w14:paraId="599760DB" w14:textId="0215B6DF"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4,6</w:t>
            </w:r>
            <w:r>
              <w:rPr>
                <w:rFonts w:ascii="Open Sans" w:hAnsi="Open Sans" w:cs="Open Sans"/>
              </w:rPr>
              <w:t>%</w:t>
            </w:r>
          </w:p>
        </w:tc>
      </w:tr>
      <w:tr w:rsidR="0019229E" w14:paraId="4F6D8068"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2E39D0C" w14:textId="5D85ED7F"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Pontevedra</w:t>
            </w:r>
          </w:p>
        </w:tc>
        <w:tc>
          <w:tcPr>
            <w:tcW w:w="2552" w:type="dxa"/>
          </w:tcPr>
          <w:p w14:paraId="310CB44B" w14:textId="16154448"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3,8</w:t>
            </w:r>
            <w:r>
              <w:rPr>
                <w:rFonts w:ascii="Open Sans" w:hAnsi="Open Sans" w:cs="Open Sans"/>
              </w:rPr>
              <w:t>%</w:t>
            </w:r>
          </w:p>
        </w:tc>
      </w:tr>
      <w:tr w:rsidR="0019229E" w14:paraId="56CC11CE"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36DD64A" w14:textId="75F4FAE6"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Cuenca</w:t>
            </w:r>
          </w:p>
        </w:tc>
        <w:tc>
          <w:tcPr>
            <w:tcW w:w="2552" w:type="dxa"/>
          </w:tcPr>
          <w:p w14:paraId="07C2CA00" w14:textId="48E94BA2"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3,7</w:t>
            </w:r>
            <w:r>
              <w:rPr>
                <w:rFonts w:ascii="Open Sans" w:hAnsi="Open Sans" w:cs="Open Sans"/>
              </w:rPr>
              <w:t>%</w:t>
            </w:r>
          </w:p>
        </w:tc>
      </w:tr>
      <w:tr w:rsidR="0019229E" w14:paraId="2351871D"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0F459C5" w14:textId="524A3A9F"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Cáceres</w:t>
            </w:r>
          </w:p>
        </w:tc>
        <w:tc>
          <w:tcPr>
            <w:tcW w:w="2552" w:type="dxa"/>
          </w:tcPr>
          <w:p w14:paraId="4924C976" w14:textId="39076FA7"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3,2</w:t>
            </w:r>
            <w:r>
              <w:rPr>
                <w:rFonts w:ascii="Open Sans" w:hAnsi="Open Sans" w:cs="Open Sans"/>
              </w:rPr>
              <w:t>%</w:t>
            </w:r>
          </w:p>
        </w:tc>
      </w:tr>
      <w:tr w:rsidR="0019229E" w14:paraId="16B95335"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9532F28" w14:textId="04B7C35A"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lastRenderedPageBreak/>
              <w:t>Tarragona</w:t>
            </w:r>
          </w:p>
        </w:tc>
        <w:tc>
          <w:tcPr>
            <w:tcW w:w="2552" w:type="dxa"/>
          </w:tcPr>
          <w:p w14:paraId="2744D558" w14:textId="6D531F6C"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3,1</w:t>
            </w:r>
            <w:r>
              <w:rPr>
                <w:rFonts w:ascii="Open Sans" w:hAnsi="Open Sans" w:cs="Open Sans"/>
              </w:rPr>
              <w:t>%</w:t>
            </w:r>
          </w:p>
        </w:tc>
      </w:tr>
      <w:tr w:rsidR="0019229E" w14:paraId="6B273208"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10C09FE" w14:textId="18CE0227"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Ávila</w:t>
            </w:r>
          </w:p>
        </w:tc>
        <w:tc>
          <w:tcPr>
            <w:tcW w:w="2552" w:type="dxa"/>
          </w:tcPr>
          <w:p w14:paraId="75E84836" w14:textId="28E9768F"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2,5</w:t>
            </w:r>
            <w:r>
              <w:rPr>
                <w:rFonts w:ascii="Open Sans" w:hAnsi="Open Sans" w:cs="Open Sans"/>
              </w:rPr>
              <w:t>%</w:t>
            </w:r>
          </w:p>
        </w:tc>
      </w:tr>
      <w:tr w:rsidR="0019229E" w14:paraId="0689E9B0"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994C5EC" w14:textId="32355D52"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Guadalajara</w:t>
            </w:r>
          </w:p>
        </w:tc>
        <w:tc>
          <w:tcPr>
            <w:tcW w:w="2552" w:type="dxa"/>
          </w:tcPr>
          <w:p w14:paraId="7B79B10B" w14:textId="1F761D66"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2,2</w:t>
            </w:r>
            <w:r>
              <w:rPr>
                <w:rFonts w:ascii="Open Sans" w:hAnsi="Open Sans" w:cs="Open Sans"/>
              </w:rPr>
              <w:t>%</w:t>
            </w:r>
          </w:p>
        </w:tc>
      </w:tr>
      <w:tr w:rsidR="0019229E" w14:paraId="5D803B59"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641BFAFF" w14:textId="4449F3BF"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Lleida</w:t>
            </w:r>
          </w:p>
        </w:tc>
        <w:tc>
          <w:tcPr>
            <w:tcW w:w="2552" w:type="dxa"/>
          </w:tcPr>
          <w:p w14:paraId="2079034C" w14:textId="1152968B"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2,0</w:t>
            </w:r>
            <w:r>
              <w:rPr>
                <w:rFonts w:ascii="Open Sans" w:hAnsi="Open Sans" w:cs="Open Sans"/>
              </w:rPr>
              <w:t>%</w:t>
            </w:r>
          </w:p>
        </w:tc>
      </w:tr>
      <w:tr w:rsidR="0019229E" w14:paraId="47AA017F"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8C478CF" w14:textId="6418C1DF"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Huesca</w:t>
            </w:r>
          </w:p>
        </w:tc>
        <w:tc>
          <w:tcPr>
            <w:tcW w:w="2552" w:type="dxa"/>
          </w:tcPr>
          <w:p w14:paraId="045B8FD8" w14:textId="286606B9"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1,5</w:t>
            </w:r>
            <w:r>
              <w:rPr>
                <w:rFonts w:ascii="Open Sans" w:hAnsi="Open Sans" w:cs="Open Sans"/>
              </w:rPr>
              <w:t>%</w:t>
            </w:r>
          </w:p>
        </w:tc>
      </w:tr>
      <w:tr w:rsidR="0019229E" w14:paraId="29CEB4F9"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B4CBE88" w14:textId="24D27FE6"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Teruel</w:t>
            </w:r>
          </w:p>
        </w:tc>
        <w:tc>
          <w:tcPr>
            <w:tcW w:w="2552" w:type="dxa"/>
          </w:tcPr>
          <w:p w14:paraId="1A36224D" w14:textId="6D1CB1D5"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1,5</w:t>
            </w:r>
            <w:r>
              <w:rPr>
                <w:rFonts w:ascii="Open Sans" w:hAnsi="Open Sans" w:cs="Open Sans"/>
              </w:rPr>
              <w:t>%</w:t>
            </w:r>
          </w:p>
        </w:tc>
      </w:tr>
      <w:tr w:rsidR="0019229E" w14:paraId="429D299A"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C318BE9" w14:textId="3A816602"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Huelva</w:t>
            </w:r>
          </w:p>
        </w:tc>
        <w:tc>
          <w:tcPr>
            <w:tcW w:w="2552" w:type="dxa"/>
          </w:tcPr>
          <w:p w14:paraId="73D161AD" w14:textId="00DF354A"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1,3</w:t>
            </w:r>
            <w:r>
              <w:rPr>
                <w:rFonts w:ascii="Open Sans" w:hAnsi="Open Sans" w:cs="Open Sans"/>
              </w:rPr>
              <w:t>%</w:t>
            </w:r>
          </w:p>
        </w:tc>
      </w:tr>
      <w:tr w:rsidR="0019229E" w14:paraId="1FBDB5EE"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679BD1C" w14:textId="11333132"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León</w:t>
            </w:r>
          </w:p>
        </w:tc>
        <w:tc>
          <w:tcPr>
            <w:tcW w:w="2552" w:type="dxa"/>
          </w:tcPr>
          <w:p w14:paraId="7758ABA4" w14:textId="0E0C0392"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1,3</w:t>
            </w:r>
            <w:r>
              <w:rPr>
                <w:rFonts w:ascii="Open Sans" w:hAnsi="Open Sans" w:cs="Open Sans"/>
              </w:rPr>
              <w:t>%</w:t>
            </w:r>
          </w:p>
        </w:tc>
      </w:tr>
      <w:tr w:rsidR="0019229E" w14:paraId="480754D1"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668A445" w14:textId="73F3162A"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Bilbao</w:t>
            </w:r>
          </w:p>
        </w:tc>
        <w:tc>
          <w:tcPr>
            <w:tcW w:w="2552" w:type="dxa"/>
          </w:tcPr>
          <w:p w14:paraId="3772BE9D" w14:textId="7DF1A78B"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0,7</w:t>
            </w:r>
            <w:r>
              <w:rPr>
                <w:rFonts w:ascii="Open Sans" w:hAnsi="Open Sans" w:cs="Open Sans"/>
              </w:rPr>
              <w:t>%</w:t>
            </w:r>
          </w:p>
        </w:tc>
      </w:tr>
      <w:tr w:rsidR="0019229E" w14:paraId="64B5E88D"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4357603" w14:textId="4FA642A4"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Zaragoza</w:t>
            </w:r>
          </w:p>
        </w:tc>
        <w:tc>
          <w:tcPr>
            <w:tcW w:w="2552" w:type="dxa"/>
          </w:tcPr>
          <w:p w14:paraId="01FD125B" w14:textId="3AB56AFB"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0,4</w:t>
            </w:r>
            <w:r>
              <w:rPr>
                <w:rFonts w:ascii="Open Sans" w:hAnsi="Open Sans" w:cs="Open Sans"/>
              </w:rPr>
              <w:t>%</w:t>
            </w:r>
          </w:p>
        </w:tc>
      </w:tr>
      <w:tr w:rsidR="0019229E" w14:paraId="4DD00D62"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1EE2C8D" w14:textId="3857714F"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Oviedo</w:t>
            </w:r>
          </w:p>
        </w:tc>
        <w:tc>
          <w:tcPr>
            <w:tcW w:w="2552" w:type="dxa"/>
          </w:tcPr>
          <w:p w14:paraId="492FE77A" w14:textId="5CD5FB92"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0,4</w:t>
            </w:r>
            <w:r>
              <w:rPr>
                <w:rFonts w:ascii="Open Sans" w:hAnsi="Open Sans" w:cs="Open Sans"/>
              </w:rPr>
              <w:t>%</w:t>
            </w:r>
          </w:p>
        </w:tc>
      </w:tr>
      <w:tr w:rsidR="0019229E" w14:paraId="11372B23"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0B5AC0B" w14:textId="0DA2B47A"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Ourense</w:t>
            </w:r>
          </w:p>
        </w:tc>
        <w:tc>
          <w:tcPr>
            <w:tcW w:w="2552" w:type="dxa"/>
          </w:tcPr>
          <w:p w14:paraId="5495C86F" w14:textId="1820E875" w:rsidR="0019229E" w:rsidRPr="0019229E" w:rsidRDefault="0019229E" w:rsidP="0019229E">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0,4</w:t>
            </w:r>
            <w:r>
              <w:rPr>
                <w:rFonts w:ascii="Open Sans" w:hAnsi="Open Sans" w:cs="Open Sans"/>
              </w:rPr>
              <w:t>%</w:t>
            </w:r>
          </w:p>
        </w:tc>
      </w:tr>
      <w:tr w:rsidR="0019229E" w14:paraId="2E84813F"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1FC3212" w14:textId="35F25874" w:rsidR="0019229E" w:rsidRPr="0019229E" w:rsidRDefault="0019229E" w:rsidP="0019229E">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Las Palmas de G.C.</w:t>
            </w:r>
          </w:p>
        </w:tc>
        <w:tc>
          <w:tcPr>
            <w:tcW w:w="2552" w:type="dxa"/>
          </w:tcPr>
          <w:p w14:paraId="2319C418" w14:textId="418290DE" w:rsidR="0019229E" w:rsidRPr="0019229E" w:rsidRDefault="0019229E" w:rsidP="0019229E">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303AB2"/>
              </w:rPr>
            </w:pPr>
            <w:r w:rsidRPr="0019229E">
              <w:rPr>
                <w:rFonts w:ascii="Open Sans" w:hAnsi="Open Sans" w:cs="Open Sans"/>
              </w:rPr>
              <w:t>0,4</w:t>
            </w:r>
            <w:r>
              <w:rPr>
                <w:rFonts w:ascii="Open Sans" w:hAnsi="Open Sans" w:cs="Open Sans"/>
              </w:rPr>
              <w:t>%</w:t>
            </w:r>
          </w:p>
        </w:tc>
      </w:tr>
      <w:tr w:rsidR="008C0D48" w14:paraId="1E00E633"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60466DD" w14:textId="6486EC86"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Vitoria</w:t>
            </w:r>
          </w:p>
        </w:tc>
        <w:tc>
          <w:tcPr>
            <w:tcW w:w="2552" w:type="dxa"/>
          </w:tcPr>
          <w:p w14:paraId="31EAF68A" w14:textId="2C321439"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0,2</w:t>
            </w:r>
            <w:r>
              <w:rPr>
                <w:rFonts w:ascii="Open Sans" w:hAnsi="Open Sans" w:cs="Open Sans"/>
              </w:rPr>
              <w:t>%</w:t>
            </w:r>
          </w:p>
        </w:tc>
      </w:tr>
      <w:tr w:rsidR="008C0D48" w14:paraId="05D55EF8"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9BBB645" w14:textId="272CB0D1"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Almería</w:t>
            </w:r>
          </w:p>
        </w:tc>
        <w:tc>
          <w:tcPr>
            <w:tcW w:w="2552" w:type="dxa"/>
          </w:tcPr>
          <w:p w14:paraId="214C43E5" w14:textId="183E8914"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43916B31"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329DEE8" w14:textId="7887F71F"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Zamora</w:t>
            </w:r>
          </w:p>
        </w:tc>
        <w:tc>
          <w:tcPr>
            <w:tcW w:w="2552" w:type="dxa"/>
          </w:tcPr>
          <w:p w14:paraId="685943F8" w14:textId="321D8AD9"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612861F4"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3154B78" w14:textId="13205F1E"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Lugo</w:t>
            </w:r>
          </w:p>
        </w:tc>
        <w:tc>
          <w:tcPr>
            <w:tcW w:w="2552" w:type="dxa"/>
          </w:tcPr>
          <w:p w14:paraId="22FD0EAA" w14:textId="326484B8"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4B98EEF0"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C02F4A7" w14:textId="5BEDC94E"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Girona</w:t>
            </w:r>
          </w:p>
        </w:tc>
        <w:tc>
          <w:tcPr>
            <w:tcW w:w="2552" w:type="dxa"/>
          </w:tcPr>
          <w:p w14:paraId="387069D5" w14:textId="5544512C"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11DA8ED6"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2A1F9B5" w14:textId="4C509325"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Barcelona</w:t>
            </w:r>
          </w:p>
        </w:tc>
        <w:tc>
          <w:tcPr>
            <w:tcW w:w="2552" w:type="dxa"/>
          </w:tcPr>
          <w:p w14:paraId="5AF55C16" w14:textId="38EAE604"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2E025372"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75B97EC" w14:textId="4A29DC2A"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Ciudad Real</w:t>
            </w:r>
          </w:p>
        </w:tc>
        <w:tc>
          <w:tcPr>
            <w:tcW w:w="2552" w:type="dxa"/>
          </w:tcPr>
          <w:p w14:paraId="5FDFF68C" w14:textId="268709E9"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4CAEB049"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093DEE6" w14:textId="42F01C69"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Sevilla</w:t>
            </w:r>
          </w:p>
        </w:tc>
        <w:tc>
          <w:tcPr>
            <w:tcW w:w="2552" w:type="dxa"/>
          </w:tcPr>
          <w:p w14:paraId="13DAD1C8" w14:textId="2593FD0C"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296E9E2B"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C6246CE" w14:textId="107ECA3B"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Málaga</w:t>
            </w:r>
          </w:p>
        </w:tc>
        <w:tc>
          <w:tcPr>
            <w:tcW w:w="2552" w:type="dxa"/>
          </w:tcPr>
          <w:p w14:paraId="21432EFF" w14:textId="395F8130"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12623112"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EE4FEE8" w14:textId="6B20E3FE"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Pamplona</w:t>
            </w:r>
          </w:p>
        </w:tc>
        <w:tc>
          <w:tcPr>
            <w:tcW w:w="2552" w:type="dxa"/>
          </w:tcPr>
          <w:p w14:paraId="4213F31B" w14:textId="1FEBE163"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5C8AB2D4"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D6A1FD1" w14:textId="67D767B4"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Segovia</w:t>
            </w:r>
          </w:p>
        </w:tc>
        <w:tc>
          <w:tcPr>
            <w:tcW w:w="2552" w:type="dxa"/>
          </w:tcPr>
          <w:p w14:paraId="4B537A61" w14:textId="3732495D"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8C0D48">
              <w:rPr>
                <w:rFonts w:ascii="Open Sans" w:hAnsi="Open Sans" w:cs="Open Sans"/>
              </w:rPr>
              <w:t>0,0</w:t>
            </w:r>
            <w:r>
              <w:rPr>
                <w:rFonts w:ascii="Open Sans" w:hAnsi="Open Sans" w:cs="Open Sans"/>
              </w:rPr>
              <w:t>%</w:t>
            </w:r>
          </w:p>
        </w:tc>
      </w:tr>
      <w:tr w:rsidR="008C0D48" w14:paraId="02BBB922"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20C6DD3" w14:textId="4DB25BE7"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Soria</w:t>
            </w:r>
          </w:p>
        </w:tc>
        <w:tc>
          <w:tcPr>
            <w:tcW w:w="2552" w:type="dxa"/>
          </w:tcPr>
          <w:p w14:paraId="41DE2845" w14:textId="4A91821A"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8C0D48">
              <w:rPr>
                <w:rFonts w:ascii="Open Sans" w:hAnsi="Open Sans" w:cs="Open Sans"/>
              </w:rPr>
              <w:t>Sin datos</w:t>
            </w:r>
          </w:p>
        </w:tc>
      </w:tr>
      <w:tr w:rsidR="008C0D48" w14:paraId="2280D57D"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53A0FE6" w14:textId="4E7C7BE4"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Albacete</w:t>
            </w:r>
          </w:p>
        </w:tc>
        <w:tc>
          <w:tcPr>
            <w:tcW w:w="2552" w:type="dxa"/>
          </w:tcPr>
          <w:p w14:paraId="1F80927F" w14:textId="1F3549AE"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-0,1</w:t>
            </w:r>
            <w:r w:rsidRPr="008C0D48">
              <w:rPr>
                <w:rFonts w:ascii="Open Sans" w:hAnsi="Open Sans" w:cs="Open Sans"/>
                <w:color w:val="FF0000"/>
              </w:rPr>
              <w:t>%</w:t>
            </w:r>
          </w:p>
        </w:tc>
      </w:tr>
      <w:tr w:rsidR="008C0D48" w14:paraId="00FB3E77"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8BB63C2" w14:textId="18A9C4E7"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Vigo</w:t>
            </w:r>
          </w:p>
        </w:tc>
        <w:tc>
          <w:tcPr>
            <w:tcW w:w="2552" w:type="dxa"/>
          </w:tcPr>
          <w:p w14:paraId="57EED8AD" w14:textId="5A586A55"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-0,2</w:t>
            </w:r>
            <w:r w:rsidRPr="008C0D48">
              <w:rPr>
                <w:rFonts w:ascii="Open Sans" w:hAnsi="Open Sans" w:cs="Open Sans"/>
                <w:color w:val="FF0000"/>
              </w:rPr>
              <w:t>%</w:t>
            </w:r>
          </w:p>
        </w:tc>
      </w:tr>
      <w:tr w:rsidR="008C0D48" w14:paraId="4586B0B6"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713E43B" w14:textId="43F39B0C"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Santander</w:t>
            </w:r>
          </w:p>
        </w:tc>
        <w:tc>
          <w:tcPr>
            <w:tcW w:w="2552" w:type="dxa"/>
          </w:tcPr>
          <w:p w14:paraId="61278E30" w14:textId="0CF41BB8"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-0,2</w:t>
            </w:r>
            <w:r w:rsidRPr="008C0D48">
              <w:rPr>
                <w:rFonts w:ascii="Open Sans" w:hAnsi="Open Sans" w:cs="Open Sans"/>
                <w:color w:val="FF0000"/>
              </w:rPr>
              <w:t>%</w:t>
            </w:r>
          </w:p>
        </w:tc>
      </w:tr>
      <w:tr w:rsidR="008C0D48" w14:paraId="77B53E08"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6665F698" w14:textId="738FFFFC"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Jaén</w:t>
            </w:r>
          </w:p>
        </w:tc>
        <w:tc>
          <w:tcPr>
            <w:tcW w:w="2552" w:type="dxa"/>
          </w:tcPr>
          <w:p w14:paraId="70B1FFF5" w14:textId="0BD81759"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-0,9</w:t>
            </w:r>
            <w:r w:rsidRPr="008C0D48">
              <w:rPr>
                <w:rFonts w:ascii="Open Sans" w:hAnsi="Open Sans" w:cs="Open Sans"/>
                <w:color w:val="FF0000"/>
              </w:rPr>
              <w:t>%</w:t>
            </w:r>
          </w:p>
        </w:tc>
      </w:tr>
      <w:tr w:rsidR="008C0D48" w14:paraId="111FE647"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CD4CEEF" w14:textId="765C6493"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Valencia</w:t>
            </w:r>
          </w:p>
        </w:tc>
        <w:tc>
          <w:tcPr>
            <w:tcW w:w="2552" w:type="dxa"/>
          </w:tcPr>
          <w:p w14:paraId="5B135E92" w14:textId="7C0458F7"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-1,3</w:t>
            </w:r>
            <w:r w:rsidRPr="008C0D48">
              <w:rPr>
                <w:rFonts w:ascii="Open Sans" w:hAnsi="Open Sans" w:cs="Open Sans"/>
                <w:color w:val="FF0000"/>
              </w:rPr>
              <w:t>%</w:t>
            </w:r>
          </w:p>
        </w:tc>
      </w:tr>
      <w:tr w:rsidR="008C0D48" w14:paraId="2E36C2F0"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AD3CC70" w14:textId="518B4952"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Valladolid</w:t>
            </w:r>
          </w:p>
        </w:tc>
        <w:tc>
          <w:tcPr>
            <w:tcW w:w="2552" w:type="dxa"/>
          </w:tcPr>
          <w:p w14:paraId="3A56C7AB" w14:textId="4DD5FF4E"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-1,9</w:t>
            </w:r>
            <w:r w:rsidRPr="008C0D48">
              <w:rPr>
                <w:rFonts w:ascii="Open Sans" w:hAnsi="Open Sans" w:cs="Open Sans"/>
                <w:color w:val="FF0000"/>
              </w:rPr>
              <w:t>%</w:t>
            </w:r>
          </w:p>
        </w:tc>
      </w:tr>
      <w:tr w:rsidR="008C0D48" w14:paraId="1CF7A587"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F2B5C57" w14:textId="6788BA9C"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Salamanca</w:t>
            </w:r>
          </w:p>
        </w:tc>
        <w:tc>
          <w:tcPr>
            <w:tcW w:w="2552" w:type="dxa"/>
          </w:tcPr>
          <w:p w14:paraId="4D825B5C" w14:textId="25B02BAE"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-2,0</w:t>
            </w:r>
            <w:r w:rsidRPr="008C0D48">
              <w:rPr>
                <w:rFonts w:ascii="Open Sans" w:hAnsi="Open Sans" w:cs="Open Sans"/>
                <w:color w:val="FF0000"/>
              </w:rPr>
              <w:t>%</w:t>
            </w:r>
          </w:p>
        </w:tc>
      </w:tr>
      <w:tr w:rsidR="008C0D48" w14:paraId="237BFAE5"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7589513" w14:textId="036BDB20"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Córdoba</w:t>
            </w:r>
          </w:p>
        </w:tc>
        <w:tc>
          <w:tcPr>
            <w:tcW w:w="2552" w:type="dxa"/>
          </w:tcPr>
          <w:p w14:paraId="3C5BA955" w14:textId="72886B9A"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-2,6</w:t>
            </w:r>
            <w:r w:rsidRPr="008C0D48">
              <w:rPr>
                <w:rFonts w:ascii="Open Sans" w:hAnsi="Open Sans" w:cs="Open Sans"/>
                <w:color w:val="FF0000"/>
              </w:rPr>
              <w:t>%</w:t>
            </w:r>
          </w:p>
        </w:tc>
      </w:tr>
      <w:tr w:rsidR="008C0D48" w14:paraId="24659AB8"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0357273" w14:textId="5BC2160B"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lastRenderedPageBreak/>
              <w:t>Toledo</w:t>
            </w:r>
          </w:p>
        </w:tc>
        <w:tc>
          <w:tcPr>
            <w:tcW w:w="2552" w:type="dxa"/>
          </w:tcPr>
          <w:p w14:paraId="6D745ECC" w14:textId="7694F864"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-4,0</w:t>
            </w:r>
            <w:r w:rsidRPr="008C0D48">
              <w:rPr>
                <w:rFonts w:ascii="Open Sans" w:hAnsi="Open Sans" w:cs="Open Sans"/>
                <w:color w:val="FF0000"/>
              </w:rPr>
              <w:t>%</w:t>
            </w:r>
          </w:p>
        </w:tc>
      </w:tr>
      <w:tr w:rsidR="008C0D48" w14:paraId="76AA3E60"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8A173F6" w14:textId="3FD47F69"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Madrid</w:t>
            </w:r>
          </w:p>
        </w:tc>
        <w:tc>
          <w:tcPr>
            <w:tcW w:w="2552" w:type="dxa"/>
          </w:tcPr>
          <w:p w14:paraId="44EA96DC" w14:textId="4C0A0180"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-4,3</w:t>
            </w:r>
            <w:r w:rsidRPr="008C0D48">
              <w:rPr>
                <w:rFonts w:ascii="Open Sans" w:hAnsi="Open Sans" w:cs="Open Sans"/>
                <w:color w:val="FF0000"/>
              </w:rPr>
              <w:t>%</w:t>
            </w:r>
          </w:p>
        </w:tc>
      </w:tr>
      <w:tr w:rsidR="008C0D48" w14:paraId="5D576888"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A673330" w14:textId="5628A9B2"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Granada</w:t>
            </w:r>
          </w:p>
        </w:tc>
        <w:tc>
          <w:tcPr>
            <w:tcW w:w="2552" w:type="dxa"/>
          </w:tcPr>
          <w:p w14:paraId="042367F2" w14:textId="36E85801"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-5,3</w:t>
            </w:r>
            <w:r w:rsidRPr="008C0D48">
              <w:rPr>
                <w:rFonts w:ascii="Open Sans" w:hAnsi="Open Sans" w:cs="Open Sans"/>
                <w:color w:val="FF0000"/>
              </w:rPr>
              <w:t>%</w:t>
            </w:r>
          </w:p>
        </w:tc>
      </w:tr>
      <w:tr w:rsidR="008C0D48" w14:paraId="568353CD" w14:textId="77777777" w:rsidTr="0019229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49DF841" w14:textId="71030799"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Santa Cruz de T.</w:t>
            </w:r>
          </w:p>
        </w:tc>
        <w:tc>
          <w:tcPr>
            <w:tcW w:w="2552" w:type="dxa"/>
          </w:tcPr>
          <w:p w14:paraId="7B49BA77" w14:textId="0A84E34D" w:rsidR="008C0D48" w:rsidRPr="008C0D48" w:rsidRDefault="008C0D48" w:rsidP="008C0D48">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-6,2</w:t>
            </w:r>
            <w:r w:rsidRPr="008C0D48">
              <w:rPr>
                <w:rFonts w:ascii="Open Sans" w:hAnsi="Open Sans" w:cs="Open Sans"/>
                <w:color w:val="FF0000"/>
              </w:rPr>
              <w:t>%</w:t>
            </w:r>
          </w:p>
        </w:tc>
      </w:tr>
      <w:tr w:rsidR="008C0D48" w14:paraId="05C9098D" w14:textId="77777777" w:rsidTr="001922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F57F907" w14:textId="2BBC9ECD" w:rsidR="008C0D48" w:rsidRPr="0019229E" w:rsidRDefault="008C0D48" w:rsidP="008C0D48">
            <w:pPr>
              <w:spacing w:line="276" w:lineRule="auto"/>
              <w:ind w:right="-560"/>
              <w:jc w:val="both"/>
              <w:rPr>
                <w:rFonts w:ascii="Open Sans" w:eastAsia="Open Sans" w:hAnsi="Open Sans" w:cs="Open Sans"/>
                <w:b w:val="0"/>
                <w:color w:val="262626"/>
                <w:sz w:val="22"/>
                <w:szCs w:val="22"/>
              </w:rPr>
            </w:pPr>
            <w:r w:rsidRPr="0019229E">
              <w:rPr>
                <w:rFonts w:ascii="Open Sans" w:eastAsia="Open Sans" w:hAnsi="Open Sans" w:cs="Open Sans"/>
                <w:b w:val="0"/>
                <w:color w:val="262626"/>
                <w:sz w:val="22"/>
                <w:szCs w:val="22"/>
              </w:rPr>
              <w:t>Badajoz</w:t>
            </w:r>
          </w:p>
        </w:tc>
        <w:tc>
          <w:tcPr>
            <w:tcW w:w="2552" w:type="dxa"/>
          </w:tcPr>
          <w:p w14:paraId="7CF95F46" w14:textId="2710B8A5" w:rsidR="008C0D48" w:rsidRPr="008C0D48" w:rsidRDefault="008C0D48" w:rsidP="008C0D48">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FF0000"/>
              </w:rPr>
            </w:pPr>
            <w:r w:rsidRPr="008C0D48">
              <w:rPr>
                <w:rFonts w:ascii="Open Sans" w:hAnsi="Open Sans" w:cs="Open Sans"/>
                <w:color w:val="FF0000"/>
              </w:rPr>
              <w:t>-14,5</w:t>
            </w:r>
            <w:r w:rsidRPr="008C0D48">
              <w:rPr>
                <w:rFonts w:ascii="Open Sans" w:hAnsi="Open Sans" w:cs="Open Sans"/>
                <w:color w:val="FF0000"/>
              </w:rPr>
              <w:t>%</w:t>
            </w:r>
          </w:p>
        </w:tc>
      </w:tr>
    </w:tbl>
    <w:p w14:paraId="0B7F4B9F" w14:textId="77777777" w:rsidR="0080751B" w:rsidRDefault="0080751B">
      <w:pPr>
        <w:spacing w:line="276" w:lineRule="auto"/>
        <w:ind w:right="-433"/>
        <w:jc w:val="right"/>
        <w:rPr>
          <w:rFonts w:ascii="Open Sans" w:eastAsia="Open Sans" w:hAnsi="Open Sans" w:cs="Open Sans"/>
          <w:b/>
          <w:color w:val="303AB2"/>
        </w:rPr>
      </w:pPr>
    </w:p>
    <w:p w14:paraId="2D84CA0F" w14:textId="77777777" w:rsidR="0080751B" w:rsidRDefault="0080751B">
      <w:pPr>
        <w:spacing w:line="276" w:lineRule="auto"/>
        <w:ind w:right="-433"/>
        <w:jc w:val="right"/>
        <w:rPr>
          <w:rFonts w:ascii="Open Sans" w:eastAsia="Open Sans" w:hAnsi="Open Sans" w:cs="Open Sans"/>
          <w:b/>
          <w:color w:val="303AB2"/>
        </w:rPr>
      </w:pPr>
    </w:p>
    <w:p w14:paraId="5A487D3C" w14:textId="77777777" w:rsidR="0080751B"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 xml:space="preserve">Sobre </w:t>
      </w:r>
      <w:proofErr w:type="spellStart"/>
      <w:r>
        <w:rPr>
          <w:rFonts w:ascii="Open Sans" w:eastAsia="Open Sans" w:hAnsi="Open Sans" w:cs="Open Sans"/>
          <w:b/>
          <w:color w:val="303AB2"/>
        </w:rPr>
        <w:t>DataVenues</w:t>
      </w:r>
      <w:proofErr w:type="spellEnd"/>
    </w:p>
    <w:p w14:paraId="29F95432" w14:textId="77777777" w:rsidR="0080751B" w:rsidRDefault="00000000">
      <w:pPr>
        <w:shd w:val="clear" w:color="auto" w:fill="FFFFFF"/>
        <w:spacing w:before="280" w:after="280" w:line="276" w:lineRule="auto"/>
        <w:ind w:right="-433"/>
        <w:jc w:val="both"/>
        <w:rPr>
          <w:rFonts w:ascii="Open Sans" w:eastAsia="Open Sans" w:hAnsi="Open Sans" w:cs="Open Sans"/>
          <w:sz w:val="22"/>
          <w:szCs w:val="22"/>
        </w:rPr>
      </w:pPr>
      <w:hyperlink r:id="rId20">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21">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w:t>
      </w:r>
      <w:proofErr w:type="spellStart"/>
      <w:r>
        <w:rPr>
          <w:rFonts w:ascii="Open Sans" w:eastAsia="Open Sans" w:hAnsi="Open Sans" w:cs="Open Sans"/>
          <w:sz w:val="22"/>
          <w:szCs w:val="22"/>
        </w:rPr>
        <w:t>portal</w:t>
      </w:r>
      <w:proofErr w:type="spellEnd"/>
      <w:r>
        <w:rPr>
          <w:rFonts w:ascii="Open Sans" w:eastAsia="Open Sans" w:hAnsi="Open Sans" w:cs="Open Sans"/>
          <w:sz w:val="22"/>
          <w:szCs w:val="22"/>
        </w:rPr>
        <w:t xml:space="preserve">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5D1FBD22" w14:textId="77777777" w:rsidR="0080751B" w:rsidRDefault="0080751B">
      <w:pPr>
        <w:spacing w:line="276" w:lineRule="auto"/>
        <w:jc w:val="right"/>
        <w:rPr>
          <w:rFonts w:ascii="Open Sans" w:eastAsia="Open Sans" w:hAnsi="Open Sans" w:cs="Open Sans"/>
          <w:b/>
          <w:color w:val="303AB2"/>
        </w:rPr>
      </w:pPr>
    </w:p>
    <w:p w14:paraId="25A79952" w14:textId="77777777" w:rsidR="0080751B"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29B19BB5" w14:textId="77777777" w:rsidR="0080751B"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6" w:name="_heading=h.2s8eyo1" w:colFirst="0" w:colLast="0"/>
    <w:bookmarkEnd w:id="6"/>
    <w:p w14:paraId="327BC006" w14:textId="50827095" w:rsidR="008C0D48"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6A0B67C" w14:textId="77777777" w:rsidR="0080751B" w:rsidRDefault="00000000">
      <w:pPr>
        <w:shd w:val="clear" w:color="auto" w:fill="FFFFFF"/>
        <w:spacing w:before="280" w:after="280" w:line="276" w:lineRule="auto"/>
        <w:ind w:right="-433"/>
        <w:jc w:val="both"/>
        <w:rPr>
          <w:rFonts w:ascii="Open Sans" w:eastAsia="Open Sans" w:hAnsi="Open Sans" w:cs="Open Sans"/>
          <w:sz w:val="22"/>
          <w:szCs w:val="22"/>
        </w:rPr>
      </w:pPr>
      <w:hyperlink r:id="rId2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4E08C53" w14:textId="77777777" w:rsidR="008C0D48" w:rsidRDefault="008C0D48">
      <w:pPr>
        <w:spacing w:line="276" w:lineRule="auto"/>
        <w:ind w:right="-550"/>
        <w:jc w:val="right"/>
        <w:rPr>
          <w:rFonts w:ascii="Open Sans" w:eastAsia="Open Sans" w:hAnsi="Open Sans" w:cs="Open Sans"/>
          <w:b/>
          <w:color w:val="303AB2"/>
        </w:rPr>
      </w:pPr>
    </w:p>
    <w:p w14:paraId="021387C5" w14:textId="77777777" w:rsidR="008C0D48" w:rsidRDefault="008C0D48">
      <w:pPr>
        <w:spacing w:line="276" w:lineRule="auto"/>
        <w:ind w:right="-550"/>
        <w:jc w:val="right"/>
        <w:rPr>
          <w:rFonts w:ascii="Open Sans" w:eastAsia="Open Sans" w:hAnsi="Open Sans" w:cs="Open Sans"/>
          <w:b/>
          <w:color w:val="303AB2"/>
        </w:rPr>
      </w:pPr>
    </w:p>
    <w:p w14:paraId="3E85B07A" w14:textId="757419ED" w:rsidR="0080751B" w:rsidRDefault="00000000">
      <w:pPr>
        <w:spacing w:line="276" w:lineRule="auto"/>
        <w:ind w:right="-550"/>
        <w:jc w:val="right"/>
        <w:rPr>
          <w:rFonts w:ascii="Open Sans" w:eastAsia="Open Sans" w:hAnsi="Open Sans" w:cs="Open Sans"/>
          <w:b/>
          <w:color w:val="303AB2"/>
        </w:rPr>
      </w:pPr>
      <w:r>
        <w:rPr>
          <w:rFonts w:ascii="Open Sans" w:eastAsia="Open Sans" w:hAnsi="Open Sans" w:cs="Open Sans"/>
          <w:b/>
          <w:color w:val="303AB2"/>
        </w:rPr>
        <w:lastRenderedPageBreak/>
        <w:t xml:space="preserve">Sobre </w:t>
      </w:r>
      <w:proofErr w:type="spellStart"/>
      <w:r>
        <w:rPr>
          <w:rFonts w:ascii="Open Sans" w:eastAsia="Open Sans" w:hAnsi="Open Sans" w:cs="Open Sans"/>
          <w:b/>
          <w:color w:val="303AB2"/>
        </w:rPr>
        <w:t>Adevinta</w:t>
      </w:r>
      <w:proofErr w:type="spellEnd"/>
    </w:p>
    <w:p w14:paraId="29D014B5" w14:textId="77777777" w:rsidR="0080751B" w:rsidRDefault="00000000">
      <w:pPr>
        <w:spacing w:before="143" w:after="200"/>
        <w:ind w:right="-55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2EB73C2C" w14:textId="77777777" w:rsidR="0080751B" w:rsidRDefault="00000000">
      <w:pPr>
        <w:spacing w:before="143" w:after="200"/>
        <w:ind w:right="-550"/>
        <w:jc w:val="both"/>
        <w:rPr>
          <w:rFonts w:ascii="Open Sans" w:eastAsia="Open Sans" w:hAnsi="Open Sans" w:cs="Open Sans"/>
          <w:sz w:val="22"/>
          <w:szCs w:val="22"/>
        </w:rPr>
      </w:pPr>
      <w:bookmarkStart w:id="7" w:name="_heading=h.pj7shwuimf7a" w:colFirst="0" w:colLast="0"/>
      <w:bookmarkEnd w:id="7"/>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468C2459" w14:textId="77777777" w:rsidR="0080751B" w:rsidRDefault="00000000">
      <w:pPr>
        <w:spacing w:before="143" w:after="200"/>
        <w:ind w:right="-55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95B454C" w14:textId="77777777" w:rsidR="0080751B" w:rsidRDefault="00000000">
      <w:pPr>
        <w:spacing w:before="143" w:after="200"/>
        <w:ind w:right="-550"/>
        <w:jc w:val="both"/>
        <w:rPr>
          <w:rFonts w:ascii="Open Sans" w:eastAsia="Open Sans" w:hAnsi="Open Sans" w:cs="Open Sans"/>
        </w:rPr>
      </w:pPr>
      <w:r>
        <w:rPr>
          <w:rFonts w:ascii="Open Sans" w:eastAsia="Open Sans" w:hAnsi="Open Sans" w:cs="Open Sans"/>
          <w:sz w:val="22"/>
          <w:szCs w:val="22"/>
        </w:rPr>
        <w:t xml:space="preserve">Más información en </w:t>
      </w:r>
      <w:hyperlink r:id="rId30">
        <w:r>
          <w:rPr>
            <w:rFonts w:ascii="Open Sans" w:eastAsia="Open Sans" w:hAnsi="Open Sans" w:cs="Open Sans"/>
            <w:color w:val="1155CC"/>
            <w:sz w:val="22"/>
            <w:szCs w:val="22"/>
            <w:u w:val="single"/>
          </w:rPr>
          <w:t>adevinta.es</w:t>
        </w:r>
      </w:hyperlink>
    </w:p>
    <w:p w14:paraId="0D7E3BB8" w14:textId="77777777" w:rsidR="0080751B" w:rsidRDefault="0080751B">
      <w:pPr>
        <w:spacing w:line="276" w:lineRule="auto"/>
        <w:ind w:right="-550"/>
        <w:jc w:val="right"/>
        <w:rPr>
          <w:rFonts w:ascii="Open Sans" w:eastAsia="Open Sans" w:hAnsi="Open Sans" w:cs="Open Sans"/>
        </w:rPr>
      </w:pPr>
    </w:p>
    <w:p w14:paraId="3EC5C3C8" w14:textId="77777777" w:rsidR="0080751B" w:rsidRDefault="00000000">
      <w:pPr>
        <w:spacing w:line="276" w:lineRule="auto"/>
        <w:ind w:right="-550"/>
        <w:rPr>
          <w:rFonts w:ascii="Open Sans" w:eastAsia="Open Sans" w:hAnsi="Open Sans" w:cs="Open Sans"/>
          <w:b/>
          <w:color w:val="303AB2"/>
          <w:sz w:val="22"/>
          <w:szCs w:val="22"/>
        </w:rPr>
      </w:pPr>
      <w:r>
        <w:rPr>
          <w:rFonts w:ascii="Open Sans" w:eastAsia="Open Sans" w:hAnsi="Open Sans" w:cs="Open Sans"/>
          <w:b/>
          <w:color w:val="303AB2"/>
          <w:sz w:val="22"/>
          <w:szCs w:val="22"/>
        </w:rPr>
        <w:t>Departamento Comunicación Fotocasa</w:t>
      </w:r>
    </w:p>
    <w:p w14:paraId="43F4A380" w14:textId="77777777" w:rsidR="0080751B" w:rsidRDefault="00000000">
      <w:pPr>
        <w:shd w:val="clear" w:color="auto" w:fill="FFFFFF"/>
        <w:spacing w:line="276" w:lineRule="auto"/>
        <w:ind w:right="-550"/>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B314928" w14:textId="77777777" w:rsidR="0080751B" w:rsidRDefault="00000000">
      <w:pPr>
        <w:shd w:val="clear" w:color="auto" w:fill="FFFFFF"/>
        <w:spacing w:line="276" w:lineRule="auto"/>
        <w:ind w:right="-550"/>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4CD04D56" w14:textId="77777777" w:rsidR="0080751B" w:rsidRDefault="00000000">
      <w:pPr>
        <w:shd w:val="clear" w:color="auto" w:fill="FFFFFF"/>
        <w:spacing w:line="276" w:lineRule="auto"/>
        <w:ind w:right="-550"/>
        <w:rPr>
          <w:rFonts w:ascii="Open Sans" w:eastAsia="Open Sans" w:hAnsi="Open Sans" w:cs="Open Sans"/>
          <w:sz w:val="22"/>
          <w:szCs w:val="22"/>
        </w:rPr>
      </w:pPr>
      <w:r>
        <w:rPr>
          <w:rFonts w:ascii="Open Sans" w:eastAsia="Open Sans" w:hAnsi="Open Sans" w:cs="Open Sans"/>
          <w:color w:val="000000"/>
          <w:sz w:val="22"/>
          <w:szCs w:val="22"/>
        </w:rPr>
        <w:t>620 66 29 26</w:t>
      </w:r>
    </w:p>
    <w:sectPr w:rsidR="0080751B">
      <w:headerReference w:type="default" r:id="rId32"/>
      <w:footerReference w:type="default" r:id="rId3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DCCCD" w14:textId="77777777" w:rsidR="00FC3D43" w:rsidRDefault="00FC3D43">
      <w:r>
        <w:separator/>
      </w:r>
    </w:p>
  </w:endnote>
  <w:endnote w:type="continuationSeparator" w:id="0">
    <w:p w14:paraId="44091AA1" w14:textId="77777777" w:rsidR="00FC3D43" w:rsidRDefault="00FC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7761F4-AAF5-4D95-A082-8A4BF714B4E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1DE6E9B-7A13-4693-8ED6-FC75484C2375}"/>
    <w:embedBold r:id="rId3" w:fontKey="{67F0EADC-E624-4C66-BCF3-8CB841C9D034}"/>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7E93972D-AA91-4212-B5C4-BA114C98DAD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4B244E6-F6B9-4320-AD48-0F620683ADFD}"/>
    <w:embedItalic r:id="rId6" w:fontKey="{AFB9FDC0-191D-4B09-8E82-FC95063AFAB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965557C-D1BC-446D-A382-08C524B41AFB}"/>
    <w:embedBold r:id="rId8" w:fontKey="{D7FDEC50-9D12-479D-89FB-341D748DD1AB}"/>
    <w:embedItalic r:id="rId9" w:fontKey="{C2F2DFD1-E8A8-4797-81D3-555DCC133E4A}"/>
    <w:embedBoldItalic r:id="rId10" w:fontKey="{C69432A3-0EA2-47CC-BEB8-677D72538CED}"/>
  </w:font>
  <w:font w:name="Calibri Light">
    <w:panose1 w:val="020F0302020204030204"/>
    <w:charset w:val="00"/>
    <w:family w:val="swiss"/>
    <w:pitch w:val="variable"/>
    <w:sig w:usb0="E4002EFF" w:usb1="C000247B" w:usb2="00000009" w:usb3="00000000" w:csb0="000001FF" w:csb1="00000000"/>
    <w:embedRegular r:id="rId11" w:fontKey="{8ECBA6A7-1E02-4619-A176-259511449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23B5C" w14:textId="77777777" w:rsidR="0080751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1ACDA71E" wp14:editId="5E90D85A">
          <wp:simplePos x="0" y="0"/>
          <wp:positionH relativeFrom="column">
            <wp:posOffset>-1080134</wp:posOffset>
          </wp:positionH>
          <wp:positionV relativeFrom="paragraph">
            <wp:posOffset>294640</wp:posOffset>
          </wp:positionV>
          <wp:extent cx="7670550" cy="451315"/>
          <wp:effectExtent l="0" t="0" r="0" b="0"/>
          <wp:wrapSquare wrapText="bothSides" distT="0" distB="0" distL="0" distR="0"/>
          <wp:docPr id="21175944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B553E" w14:textId="77777777" w:rsidR="00FC3D43" w:rsidRDefault="00FC3D43">
      <w:r>
        <w:separator/>
      </w:r>
    </w:p>
  </w:footnote>
  <w:footnote w:type="continuationSeparator" w:id="0">
    <w:p w14:paraId="48B9FB41" w14:textId="77777777" w:rsidR="00FC3D43" w:rsidRDefault="00FC3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3A0B" w14:textId="77777777" w:rsidR="0080751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E375A7A" wp14:editId="2C96EEEA">
          <wp:simplePos x="0" y="0"/>
          <wp:positionH relativeFrom="column">
            <wp:posOffset>-1234439</wp:posOffset>
          </wp:positionH>
          <wp:positionV relativeFrom="paragraph">
            <wp:posOffset>-239394</wp:posOffset>
          </wp:positionV>
          <wp:extent cx="2939415" cy="1019175"/>
          <wp:effectExtent l="0" t="0" r="0" b="0"/>
          <wp:wrapNone/>
          <wp:docPr id="2117594487"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l="-1337" r="62568"/>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58437A" wp14:editId="16216934">
          <wp:simplePos x="0" y="0"/>
          <wp:positionH relativeFrom="column">
            <wp:posOffset>3903345</wp:posOffset>
          </wp:positionH>
          <wp:positionV relativeFrom="paragraph">
            <wp:posOffset>-33019</wp:posOffset>
          </wp:positionV>
          <wp:extent cx="2352040" cy="895350"/>
          <wp:effectExtent l="0" t="0" r="0" b="0"/>
          <wp:wrapSquare wrapText="bothSides" distT="0" distB="0" distL="114300" distR="114300"/>
          <wp:docPr id="2117594484" name="image1.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44617D14" w14:textId="77777777" w:rsidR="0080751B" w:rsidRDefault="0080751B">
    <w:pPr>
      <w:pBdr>
        <w:top w:val="nil"/>
        <w:left w:val="nil"/>
        <w:bottom w:val="nil"/>
        <w:right w:val="nil"/>
        <w:between w:val="nil"/>
      </w:pBdr>
      <w:tabs>
        <w:tab w:val="center" w:pos="4252"/>
        <w:tab w:val="right" w:pos="8504"/>
      </w:tabs>
      <w:rPr>
        <w:color w:val="000000"/>
      </w:rPr>
    </w:pPr>
  </w:p>
  <w:p w14:paraId="6B08543C" w14:textId="77777777" w:rsidR="0080751B" w:rsidRDefault="0080751B">
    <w:pPr>
      <w:pBdr>
        <w:top w:val="nil"/>
        <w:left w:val="nil"/>
        <w:bottom w:val="nil"/>
        <w:right w:val="nil"/>
        <w:between w:val="nil"/>
      </w:pBdr>
      <w:tabs>
        <w:tab w:val="center" w:pos="4252"/>
        <w:tab w:val="right" w:pos="8504"/>
      </w:tabs>
      <w:rPr>
        <w:color w:val="000000"/>
      </w:rPr>
    </w:pPr>
  </w:p>
  <w:p w14:paraId="3994782F" w14:textId="77777777" w:rsidR="0080751B" w:rsidRDefault="0080751B">
    <w:pPr>
      <w:pBdr>
        <w:top w:val="nil"/>
        <w:left w:val="nil"/>
        <w:bottom w:val="nil"/>
        <w:right w:val="nil"/>
        <w:between w:val="nil"/>
      </w:pBdr>
      <w:tabs>
        <w:tab w:val="center" w:pos="4252"/>
        <w:tab w:val="right" w:pos="8504"/>
      </w:tabs>
      <w:rPr>
        <w:color w:val="000000"/>
      </w:rPr>
    </w:pPr>
  </w:p>
  <w:p w14:paraId="0FD37C9E" w14:textId="77777777" w:rsidR="0080751B" w:rsidRDefault="0080751B">
    <w:pPr>
      <w:pBdr>
        <w:top w:val="nil"/>
        <w:left w:val="nil"/>
        <w:bottom w:val="nil"/>
        <w:right w:val="nil"/>
        <w:between w:val="nil"/>
      </w:pBdr>
      <w:tabs>
        <w:tab w:val="center" w:pos="4252"/>
        <w:tab w:val="right" w:pos="8504"/>
      </w:tabs>
      <w:rPr>
        <w:color w:val="000000"/>
      </w:rPr>
    </w:pPr>
  </w:p>
  <w:p w14:paraId="3F606F33" w14:textId="77777777" w:rsidR="0080751B" w:rsidRDefault="0080751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85D09"/>
    <w:multiLevelType w:val="multilevel"/>
    <w:tmpl w:val="E7B6F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4790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51B"/>
    <w:rsid w:val="00172309"/>
    <w:rsid w:val="0019229E"/>
    <w:rsid w:val="0080751B"/>
    <w:rsid w:val="008C0D48"/>
    <w:rsid w:val="00AE78CA"/>
    <w:rsid w:val="00FB3E5B"/>
    <w:rsid w:val="00FC3D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48693"/>
  <w15:docId w15:val="{4DD0D152-3F31-44D5-B6BF-2690FDBA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1922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atavenues.com/" TargetMode="External"/><Relationship Id="rId18" Type="http://schemas.openxmlformats.org/officeDocument/2006/relationships/hyperlink" Target="https://datavenues.com/" TargetMode="External"/><Relationship Id="rId26" Type="http://schemas.openxmlformats.org/officeDocument/2006/relationships/hyperlink" Target="https://www.habitaclia.com/" TargetMode="External"/><Relationship Id="rId3" Type="http://schemas.openxmlformats.org/officeDocument/2006/relationships/styles" Target="styles.xml"/><Relationship Id="rId21" Type="http://schemas.openxmlformats.org/officeDocument/2006/relationships/hyperlink" Target="https://datavenue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image" Target="media/image2.png"/><Relationship Id="rId25" Type="http://schemas.openxmlformats.org/officeDocument/2006/relationships/hyperlink" Target="https://www.fotocasa.es/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datavenues.com/" TargetMode="External"/><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fotocasa.es/es/quienes-somo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atavenues.com/" TargetMode="External"/><Relationship Id="rId23" Type="http://schemas.openxmlformats.org/officeDocument/2006/relationships/hyperlink" Target="http://prensa.fotocasa.es" TargetMode="External"/><Relationship Id="rId28" Type="http://schemas.openxmlformats.org/officeDocument/2006/relationships/hyperlink" Target="https://www.coches.net/" TargetMode="Externa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1.png"/><Relationship Id="rId22" Type="http://schemas.openxmlformats.org/officeDocument/2006/relationships/hyperlink" Target="https://www.fotocasa.es/indice/" TargetMode="External"/><Relationship Id="rId27" Type="http://schemas.openxmlformats.org/officeDocument/2006/relationships/hyperlink" Target="https://www.infojobs.net/" TargetMode="External"/><Relationship Id="rId30" Type="http://schemas.openxmlformats.org/officeDocument/2006/relationships/hyperlink" Target="http://adevinta.es" TargetMode="External"/><Relationship Id="rId35" Type="http://schemas.openxmlformats.org/officeDocument/2006/relationships/theme" Target="theme/theme1.xml"/><Relationship Id="rId8" Type="http://schemas.openxmlformats.org/officeDocument/2006/relationships/hyperlink" Target="https://datavenu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T44zJcVoJVChcot/Vpp7oUz5A==">CgMxLjAyCWguMzBqMHpsbDIOaC5yZTE1ajg4dnh3cTUyDmgub3J0Z2ZqdXZkOXR0Mg5oLmtzNWFnZGIxY3FhYjIOaC42NnRzMjk0MGx1eXgyDmguMjJhN3BxdXpyMnBsMgloLjJzOGV5bzEyDmgucGo3c2h3dWltZjdhOAByITE3QklhTnVWeFluRkxkWDBKREpfYnB0Z1pKMTIwaEdWUg==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1531</Words>
  <Characters>8422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2021-03-17T10:21:00Z</dcterms:created>
  <dcterms:modified xsi:type="dcterms:W3CDTF">2025-04-22T11:53:00Z</dcterms:modified>
</cp:coreProperties>
</file>