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7BA34" w14:textId="591C1B80" w:rsidR="00E35F33" w:rsidRDefault="00000000">
      <w:pPr>
        <w:spacing w:line="276" w:lineRule="auto"/>
        <w:ind w:right="-560"/>
        <w:jc w:val="center"/>
        <w:rPr>
          <w:rFonts w:ascii="National" w:eastAsia="National" w:hAnsi="National" w:cs="National"/>
          <w:b/>
          <w:color w:val="1DBDC5"/>
          <w:sz w:val="42"/>
          <w:szCs w:val="42"/>
        </w:rPr>
      </w:pPr>
      <w:r>
        <w:rPr>
          <w:rFonts w:ascii="National" w:eastAsia="National" w:hAnsi="National" w:cs="National"/>
          <w:b/>
          <w:color w:val="1DBDC5"/>
          <w:sz w:val="32"/>
          <w:szCs w:val="32"/>
        </w:rPr>
        <w:t>ÍNDICE PREDICTIVO DE PRECIOS “SMARTPRICE”</w:t>
      </w:r>
    </w:p>
    <w:p w14:paraId="3E5F5095" w14:textId="77777777" w:rsidR="00E35F33" w:rsidRDefault="00000000">
      <w:pPr>
        <w:ind w:right="-560"/>
        <w:jc w:val="center"/>
        <w:rPr>
          <w:rFonts w:ascii="National" w:eastAsia="National" w:hAnsi="National" w:cs="National"/>
          <w:b/>
          <w:color w:val="002060"/>
          <w:sz w:val="46"/>
          <w:szCs w:val="46"/>
        </w:rPr>
      </w:pPr>
      <w:r>
        <w:rPr>
          <w:rFonts w:ascii="National" w:eastAsia="National" w:hAnsi="National" w:cs="National"/>
          <w:b/>
          <w:color w:val="002060"/>
          <w:sz w:val="46"/>
          <w:szCs w:val="46"/>
        </w:rPr>
        <w:t>La IA prevé que Valladolid, Soria y Burgos registren las mayores subidas de precios de compraventa al cierre del segundo trimestre</w:t>
      </w:r>
    </w:p>
    <w:p w14:paraId="69A33486" w14:textId="77777777" w:rsidR="00E35F33" w:rsidRDefault="00E35F33">
      <w:pPr>
        <w:spacing w:line="276" w:lineRule="auto"/>
        <w:ind w:right="-560"/>
        <w:jc w:val="both"/>
        <w:rPr>
          <w:rFonts w:ascii="Open Sans" w:eastAsia="Open Sans" w:hAnsi="Open Sans" w:cs="Open Sans"/>
          <w:color w:val="002060"/>
        </w:rPr>
      </w:pPr>
    </w:p>
    <w:p w14:paraId="3522F510" w14:textId="77777777" w:rsidR="00E35F33"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Por contra, capitales de provincia como Ciudad Real (-3,6%), Lugo (-9,1%) y Teruel (-9,7%) experimentarán los mayores descensos trimestrales de precios</w:t>
      </w:r>
    </w:p>
    <w:p w14:paraId="19202E5F" w14:textId="77777777" w:rsidR="00E35F33"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Según el Índice Predictivo de Fotocasa, se moderan los crecimientos en las zonas con mayores subidas, mientras que aparecen más ciudades con bajadas de precios</w:t>
      </w:r>
    </w:p>
    <w:p w14:paraId="029FB7E6" w14:textId="77777777" w:rsidR="00E35F33"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La innovadora herramienta DataVenues, desarrollada por Fotocasa, ofrece la posibilidad de adelantarse al comportamiento del mercado gracias a un análisis combinado de Big Data e Inteligencia Artificial</w:t>
      </w:r>
    </w:p>
    <w:p w14:paraId="445EADAC" w14:textId="77777777" w:rsidR="00E35F33" w:rsidRDefault="00000000">
      <w:pPr>
        <w:numPr>
          <w:ilvl w:val="0"/>
          <w:numId w:val="1"/>
        </w:numPr>
        <w:pBdr>
          <w:top w:val="nil"/>
          <w:left w:val="nil"/>
          <w:bottom w:val="nil"/>
          <w:right w:val="nil"/>
          <w:between w:val="nil"/>
        </w:pBdr>
        <w:spacing w:line="276" w:lineRule="auto"/>
        <w:ind w:right="-560"/>
        <w:jc w:val="both"/>
        <w:rPr>
          <w:rFonts w:ascii="Open Sans" w:eastAsia="Open Sans" w:hAnsi="Open Sans" w:cs="Open Sans"/>
          <w:b/>
          <w:color w:val="002060"/>
        </w:rPr>
      </w:pPr>
      <w:r>
        <w:rPr>
          <w:rFonts w:ascii="Open Sans" w:eastAsia="Open Sans" w:hAnsi="Open Sans" w:cs="Open Sans"/>
          <w:color w:val="002060"/>
        </w:rPr>
        <w:t>Desde enero de 2025, Fotocasa publica trimestralmente las previsiones sobre compraventa y alquiler que realiza esta revolucionaria herramienta tecnológica</w:t>
      </w:r>
    </w:p>
    <w:p w14:paraId="7F398563" w14:textId="77777777" w:rsidR="00E35F33" w:rsidRDefault="00E35F33">
      <w:pPr>
        <w:pBdr>
          <w:top w:val="nil"/>
          <w:left w:val="nil"/>
          <w:bottom w:val="nil"/>
          <w:right w:val="nil"/>
          <w:between w:val="nil"/>
        </w:pBdr>
        <w:spacing w:line="276" w:lineRule="auto"/>
        <w:ind w:left="720" w:right="-560"/>
        <w:jc w:val="both"/>
        <w:rPr>
          <w:rFonts w:ascii="Open Sans" w:eastAsia="Open Sans" w:hAnsi="Open Sans" w:cs="Open Sans"/>
          <w:b/>
          <w:color w:val="303AB2"/>
        </w:rPr>
      </w:pPr>
    </w:p>
    <w:p w14:paraId="5CBF1901" w14:textId="77777777" w:rsidR="00E35F33" w:rsidRDefault="00000000">
      <w:pPr>
        <w:spacing w:line="276" w:lineRule="auto"/>
        <w:ind w:right="-560"/>
        <w:rPr>
          <w:rFonts w:ascii="Open Sans" w:eastAsia="Open Sans" w:hAnsi="Open Sans" w:cs="Open Sans"/>
          <w:b/>
          <w:color w:val="002060"/>
          <w:sz w:val="22"/>
          <w:szCs w:val="22"/>
        </w:rPr>
      </w:pPr>
      <w:r>
        <w:rPr>
          <w:rFonts w:ascii="Open Sans" w:eastAsia="Open Sans" w:hAnsi="Open Sans" w:cs="Open Sans"/>
          <w:b/>
          <w:color w:val="002060"/>
          <w:sz w:val="22"/>
          <w:szCs w:val="22"/>
        </w:rPr>
        <w:t>Madrid, 10 de abril de 2025</w:t>
      </w:r>
    </w:p>
    <w:p w14:paraId="2A2F26E3" w14:textId="77777777" w:rsidR="00E35F33" w:rsidRDefault="00E35F33">
      <w:pPr>
        <w:spacing w:line="276" w:lineRule="auto"/>
        <w:ind w:right="-560"/>
        <w:jc w:val="both"/>
        <w:rPr>
          <w:rFonts w:ascii="Open Sans" w:eastAsia="Open Sans" w:hAnsi="Open Sans" w:cs="Open Sans"/>
          <w:sz w:val="22"/>
          <w:szCs w:val="22"/>
        </w:rPr>
      </w:pPr>
    </w:p>
    <w:p w14:paraId="6DF39F0A" w14:textId="24ECFDB2" w:rsidR="00E35F33" w:rsidRDefault="00000000">
      <w:pPr>
        <w:spacing w:line="276" w:lineRule="auto"/>
        <w:ind w:right="-560"/>
        <w:jc w:val="both"/>
        <w:rPr>
          <w:rFonts w:ascii="Open Sans" w:eastAsia="Open Sans" w:hAnsi="Open Sans" w:cs="Open Sans"/>
          <w:color w:val="262626"/>
          <w:sz w:val="22"/>
          <w:szCs w:val="22"/>
        </w:rPr>
      </w:pPr>
      <w:bookmarkStart w:id="0" w:name="_heading=h.30j0zll" w:colFirst="0" w:colLast="0"/>
      <w:bookmarkEnd w:id="0"/>
      <w:r>
        <w:rPr>
          <w:rFonts w:ascii="Open Sans" w:eastAsia="Open Sans" w:hAnsi="Open Sans" w:cs="Open Sans"/>
          <w:color w:val="262626"/>
          <w:sz w:val="22"/>
          <w:szCs w:val="22"/>
        </w:rPr>
        <w:t xml:space="preserve">La Inteligencia Artificial prevé que las ciudades de Valladolid (+5,7%), Soria (+4,5%) y Burgos (+4,3%) registren las mayores subidas de precios de compraventa de viviendas de toda España a nivel trimestral (es decir, comparando la evolución estimada entre 1 de abril y 30 de junio de 2025). </w:t>
      </w:r>
      <w:r>
        <w:rPr>
          <w:rFonts w:ascii="Open Sans" w:eastAsia="Open Sans" w:hAnsi="Open Sans" w:cs="Open Sans"/>
          <w:b/>
          <w:color w:val="262626"/>
          <w:sz w:val="22"/>
          <w:szCs w:val="22"/>
        </w:rPr>
        <w:t xml:space="preserve">Estas son las principales estimaciones del algoritmo que </w:t>
      </w:r>
      <w:hyperlink r:id="rId8">
        <w:r w:rsidR="00E35F33">
          <w:rPr>
            <w:rFonts w:ascii="Open Sans" w:eastAsia="Open Sans" w:hAnsi="Open Sans" w:cs="Open Sans"/>
            <w:b/>
            <w:color w:val="0000FF"/>
            <w:sz w:val="22"/>
            <w:szCs w:val="22"/>
            <w:u w:val="single"/>
          </w:rPr>
          <w:t>Fotocasa</w:t>
        </w:r>
      </w:hyperlink>
      <w:r>
        <w:rPr>
          <w:rFonts w:ascii="Open Sans" w:eastAsia="Open Sans" w:hAnsi="Open Sans" w:cs="Open Sans"/>
          <w:b/>
          <w:color w:val="262626"/>
          <w:sz w:val="22"/>
          <w:szCs w:val="22"/>
        </w:rPr>
        <w:t xml:space="preserve">, gracias a su innovadora herramienta de datos </w:t>
      </w:r>
      <w:hyperlink r:id="rId9">
        <w:r w:rsidR="00E35F33">
          <w:rPr>
            <w:rFonts w:ascii="Open Sans" w:eastAsia="Open Sans" w:hAnsi="Open Sans" w:cs="Open Sans"/>
            <w:b/>
            <w:color w:val="0000FF"/>
            <w:sz w:val="22"/>
            <w:szCs w:val="22"/>
            <w:u w:val="single"/>
          </w:rPr>
          <w:t>DataVenues</w:t>
        </w:r>
      </w:hyperlink>
      <w:r>
        <w:rPr>
          <w:rFonts w:ascii="Open Sans" w:eastAsia="Open Sans" w:hAnsi="Open Sans" w:cs="Open Sans"/>
          <w:b/>
          <w:color w:val="262626"/>
          <w:sz w:val="22"/>
          <w:szCs w:val="22"/>
        </w:rPr>
        <w:t>, ha desarrollado y que permite adelantarse al comportamiento del mercado, así c</w:t>
      </w:r>
      <w:r w:rsidR="00F55F17">
        <w:rPr>
          <w:rFonts w:ascii="Open Sans" w:eastAsia="Open Sans" w:hAnsi="Open Sans" w:cs="Open Sans"/>
          <w:b/>
          <w:color w:val="262626"/>
          <w:sz w:val="22"/>
          <w:szCs w:val="22"/>
        </w:rPr>
        <w:t>o</w:t>
      </w:r>
      <w:r>
        <w:rPr>
          <w:rFonts w:ascii="Open Sans" w:eastAsia="Open Sans" w:hAnsi="Open Sans" w:cs="Open Sans"/>
          <w:b/>
          <w:color w:val="262626"/>
          <w:sz w:val="22"/>
          <w:szCs w:val="22"/>
        </w:rPr>
        <w:t xml:space="preserve">mo prever la evolución de los precios, tanto de compra como de alquiler, a nivel trimestral. </w:t>
      </w:r>
      <w:r>
        <w:rPr>
          <w:rFonts w:ascii="Open Sans" w:eastAsia="Open Sans" w:hAnsi="Open Sans" w:cs="Open Sans"/>
          <w:color w:val="262626"/>
          <w:sz w:val="22"/>
          <w:szCs w:val="22"/>
        </w:rPr>
        <w:t xml:space="preserve">Desde enero de 2025, </w:t>
      </w:r>
      <w:hyperlink r:id="rId10">
        <w:r w:rsidR="00E35F33">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 trimestralmente las estimaciones de esta revolucionaria aplicación desplegada gracias al uso combinado de tecnologías como la Inteligencia Artificial y el Big Data, puestas al servicio del mercado de la vivienda.</w:t>
      </w:r>
    </w:p>
    <w:p w14:paraId="362934E6" w14:textId="77777777" w:rsidR="00E35F33" w:rsidRDefault="00E35F33">
      <w:pPr>
        <w:spacing w:line="276" w:lineRule="auto"/>
        <w:ind w:right="-560"/>
        <w:jc w:val="both"/>
        <w:rPr>
          <w:rFonts w:ascii="Open Sans" w:eastAsia="Open Sans" w:hAnsi="Open Sans" w:cs="Open Sans"/>
          <w:color w:val="262626"/>
          <w:sz w:val="22"/>
          <w:szCs w:val="22"/>
        </w:rPr>
      </w:pPr>
    </w:p>
    <w:p w14:paraId="65DF358B" w14:textId="248FD7F1" w:rsidR="00E35F33" w:rsidRDefault="00000000">
      <w:pPr>
        <w:spacing w:line="276" w:lineRule="auto"/>
        <w:ind w:right="-560"/>
        <w:jc w:val="both"/>
        <w:rPr>
          <w:rFonts w:ascii="Open Sans" w:eastAsia="Open Sans" w:hAnsi="Open Sans" w:cs="Open Sans"/>
          <w:b/>
          <w:color w:val="000000"/>
          <w:sz w:val="22"/>
          <w:szCs w:val="22"/>
        </w:rPr>
      </w:pPr>
      <w:r>
        <w:rPr>
          <w:rFonts w:ascii="Open Sans" w:eastAsia="Open Sans" w:hAnsi="Open Sans" w:cs="Open Sans"/>
          <w:color w:val="262626"/>
          <w:sz w:val="22"/>
          <w:szCs w:val="22"/>
        </w:rPr>
        <w:t xml:space="preserve">“Desde </w:t>
      </w:r>
      <w:hyperlink r:id="rId11">
        <w:r w:rsidR="00E35F33">
          <w:rPr>
            <w:rFonts w:ascii="Open Sans" w:eastAsia="Open Sans" w:hAnsi="Open Sans" w:cs="Open Sans"/>
            <w:color w:val="1155CC"/>
            <w:sz w:val="22"/>
            <w:szCs w:val="22"/>
            <w:u w:val="single"/>
          </w:rPr>
          <w:t>Fotocasa</w:t>
        </w:r>
      </w:hyperlink>
      <w:r>
        <w:rPr>
          <w:rFonts w:ascii="Open Sans" w:eastAsia="Open Sans" w:hAnsi="Open Sans" w:cs="Open Sans"/>
          <w:color w:val="262626"/>
          <w:sz w:val="22"/>
          <w:szCs w:val="22"/>
        </w:rPr>
        <w:t xml:space="preserve"> hemos querido dar un paso más hacia la transparencia del mercado con el lanzamiento de nuestro Índice Predictivo de Precios que, gracias al uso de inteligencia artificial y al análisis masivo de datos de oferta y demanda, anticipa cómo evolucionarán </w:t>
      </w:r>
      <w:r>
        <w:rPr>
          <w:rFonts w:ascii="Open Sans" w:eastAsia="Open Sans" w:hAnsi="Open Sans" w:cs="Open Sans"/>
          <w:color w:val="262626"/>
          <w:sz w:val="22"/>
          <w:szCs w:val="22"/>
        </w:rPr>
        <w:lastRenderedPageBreak/>
        <w:t>los precios en las diferentes zonas. El objetivo es doble: por un lado, ayudar a los ciudadanos a tomar decisiones informadas en un momento clave; y por otro, ofrecer a los profesionales del sector una visión estratégica que les permita como expertos adelantarse a las dinámicas del mercado. En un contexto marcado por la incertidumbre y la escasez de oferta, contar con datos transparentes y previsiones objetivas se vuelve más necesario que nunca para mejorar el acceso a la vivienda</w:t>
      </w:r>
      <w:r>
        <w:rPr>
          <w:rFonts w:ascii="Open Sans" w:eastAsia="Open Sans" w:hAnsi="Open Sans" w:cs="Open Sans"/>
          <w:color w:val="000000"/>
          <w:sz w:val="22"/>
          <w:szCs w:val="22"/>
        </w:rPr>
        <w:t xml:space="preserve">”, </w:t>
      </w:r>
      <w:r>
        <w:rPr>
          <w:rFonts w:ascii="Open Sans" w:eastAsia="Open Sans" w:hAnsi="Open Sans" w:cs="Open Sans"/>
          <w:b/>
          <w:sz w:val="22"/>
          <w:szCs w:val="22"/>
        </w:rPr>
        <w:t>explica</w:t>
      </w:r>
      <w:r>
        <w:rPr>
          <w:rFonts w:ascii="Open Sans" w:eastAsia="Open Sans" w:hAnsi="Open Sans" w:cs="Open Sans"/>
          <w:b/>
          <w:color w:val="000000"/>
          <w:sz w:val="22"/>
          <w:szCs w:val="22"/>
        </w:rPr>
        <w:t xml:space="preserve"> María Matos, directora de Estudios de</w:t>
      </w:r>
      <w:hyperlink r:id="rId12">
        <w:r w:rsidR="00E35F33">
          <w:rPr>
            <w:rFonts w:ascii="Open Sans" w:eastAsia="Open Sans" w:hAnsi="Open Sans" w:cs="Open Sans"/>
            <w:b/>
            <w:color w:val="1155CC"/>
            <w:sz w:val="22"/>
            <w:szCs w:val="22"/>
            <w:u w:val="single"/>
          </w:rPr>
          <w:t xml:space="preserve"> Fotocasa</w:t>
        </w:r>
      </w:hyperlink>
      <w:r>
        <w:rPr>
          <w:rFonts w:ascii="Open Sans" w:eastAsia="Open Sans" w:hAnsi="Open Sans" w:cs="Open Sans"/>
          <w:b/>
          <w:color w:val="000000"/>
          <w:sz w:val="22"/>
          <w:szCs w:val="22"/>
        </w:rPr>
        <w:t>.</w:t>
      </w:r>
    </w:p>
    <w:p w14:paraId="3F15F51B" w14:textId="77777777" w:rsidR="00E35F33" w:rsidRDefault="00E35F33">
      <w:pPr>
        <w:spacing w:line="276" w:lineRule="auto"/>
        <w:ind w:right="-560"/>
        <w:jc w:val="both"/>
        <w:rPr>
          <w:rFonts w:ascii="Open Sans" w:eastAsia="Open Sans" w:hAnsi="Open Sans" w:cs="Open Sans"/>
          <w:b/>
          <w:color w:val="000000"/>
          <w:sz w:val="22"/>
          <w:szCs w:val="22"/>
        </w:rPr>
      </w:pPr>
    </w:p>
    <w:p w14:paraId="4868DDF5" w14:textId="77777777" w:rsidR="00E35F33" w:rsidRDefault="00000000">
      <w:pPr>
        <w:spacing w:line="276" w:lineRule="auto"/>
        <w:ind w:right="-560"/>
        <w:jc w:val="both"/>
        <w:rPr>
          <w:rFonts w:ascii="Open Sans" w:eastAsia="Open Sans" w:hAnsi="Open Sans" w:cs="Open Sans"/>
          <w:b/>
          <w:color w:val="002060"/>
        </w:rPr>
      </w:pPr>
      <w:r>
        <w:rPr>
          <w:rFonts w:ascii="Open Sans" w:eastAsia="Open Sans" w:hAnsi="Open Sans" w:cs="Open Sans"/>
          <w:b/>
          <w:color w:val="002060"/>
        </w:rPr>
        <w:t>Se incrementa el número de ciudades con precios a la baja</w:t>
      </w:r>
    </w:p>
    <w:p w14:paraId="7A17CEFA" w14:textId="77777777" w:rsidR="00E35F33" w:rsidRDefault="00E35F33">
      <w:pPr>
        <w:spacing w:line="276" w:lineRule="auto"/>
        <w:ind w:right="-560"/>
        <w:jc w:val="both"/>
        <w:rPr>
          <w:rFonts w:ascii="Open Sans" w:eastAsia="Open Sans" w:hAnsi="Open Sans" w:cs="Open Sans"/>
          <w:b/>
          <w:color w:val="002060"/>
        </w:rPr>
      </w:pPr>
    </w:p>
    <w:p w14:paraId="29A6AF5D" w14:textId="77777777" w:rsidR="00E35F33"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Por el contrario, el Índice Predictivo de Precios de </w:t>
      </w:r>
      <w:hyperlink r:id="rId13">
        <w:r w:rsidR="00E35F33">
          <w:rPr>
            <w:rFonts w:ascii="Open Sans" w:eastAsia="Open Sans" w:hAnsi="Open Sans" w:cs="Open Sans"/>
            <w:color w:val="0000FF"/>
            <w:sz w:val="22"/>
            <w:szCs w:val="22"/>
            <w:u w:val="single"/>
          </w:rPr>
          <w:t>DataVenues</w:t>
        </w:r>
      </w:hyperlink>
      <w:r>
        <w:rPr>
          <w:rFonts w:ascii="Open Sans" w:eastAsia="Open Sans" w:hAnsi="Open Sans" w:cs="Open Sans"/>
          <w:color w:val="262626"/>
          <w:sz w:val="22"/>
          <w:szCs w:val="22"/>
        </w:rPr>
        <w:t xml:space="preserve"> también estima que los precios bajarán en otras capitales de provincia al cierre del segundo trimestre de 2025. </w:t>
      </w:r>
      <w:r>
        <w:rPr>
          <w:rFonts w:ascii="Open Sans" w:eastAsia="Open Sans" w:hAnsi="Open Sans" w:cs="Open Sans"/>
          <w:b/>
          <w:color w:val="262626"/>
          <w:sz w:val="22"/>
          <w:szCs w:val="22"/>
        </w:rPr>
        <w:t>Entre las ciudades que se prevé que se registren descensos en los precios de la vivienda están Teruel (-9,7%), Lugo (-9,1%), Ciudad Real (-3,6%), Palencia (-3,3%), Bilbao (-2,5%), Badajoz (-1,8%), Salamanca (-1,3%), y Lleida (-1,2%).</w:t>
      </w:r>
      <w:r>
        <w:rPr>
          <w:rFonts w:ascii="Open Sans" w:eastAsia="Open Sans" w:hAnsi="Open Sans" w:cs="Open Sans"/>
          <w:color w:val="262626"/>
          <w:sz w:val="22"/>
          <w:szCs w:val="22"/>
        </w:rPr>
        <w:t xml:space="preserve"> También experimentarán descensos trimestrales más suaves (por debajo del 1%) otras ciudades como Zaragoza (-0,9%), Granada (-0,9%), Pamplona (-0,6%), Madrid (-0,4%), Las Palmas de Gran Canaria (-0,3%), Málaga (-0,2%), o Ávila (-0,2%). Así, pasan de 12 a 15 las ciudades analizadas que registran precios a la baja en la comparativa entre marzo y junio de 2025, con caídas porcentuales más fuertes en las valoraciones de las capitales que experimentan los mayores retrocesos de precios. Las ciudades sin variaciones de precios pasan de 8 a 3.</w:t>
      </w:r>
    </w:p>
    <w:p w14:paraId="247820CE" w14:textId="77777777" w:rsidR="00571870" w:rsidRDefault="00571870">
      <w:pPr>
        <w:spacing w:line="276" w:lineRule="auto"/>
        <w:ind w:right="-560"/>
        <w:jc w:val="both"/>
        <w:rPr>
          <w:rFonts w:ascii="Open Sans" w:eastAsia="Open Sans" w:hAnsi="Open Sans" w:cs="Open Sans"/>
          <w:color w:val="262626"/>
          <w:sz w:val="22"/>
          <w:szCs w:val="22"/>
        </w:rPr>
      </w:pPr>
    </w:p>
    <w:p w14:paraId="2838B132" w14:textId="21F28144" w:rsidR="00571870" w:rsidRDefault="00571870">
      <w:pPr>
        <w:spacing w:line="276" w:lineRule="auto"/>
        <w:ind w:right="-560"/>
        <w:jc w:val="both"/>
        <w:rPr>
          <w:rFonts w:ascii="Open Sans" w:eastAsia="Open Sans" w:hAnsi="Open Sans" w:cs="Open Sans"/>
          <w:color w:val="262626"/>
          <w:sz w:val="22"/>
          <w:szCs w:val="22"/>
        </w:rPr>
      </w:pPr>
      <w:r>
        <w:rPr>
          <w:noProof/>
        </w:rPr>
        <w:drawing>
          <wp:inline distT="0" distB="0" distL="0" distR="0" wp14:anchorId="6F55C6B9" wp14:editId="067F9662">
            <wp:extent cx="5396230" cy="2697820"/>
            <wp:effectExtent l="0" t="0" r="0" b="0"/>
            <wp:docPr id="1198618799" name="Gráfico 1198618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A25D4C" w14:textId="77777777" w:rsidR="00E35F33" w:rsidRDefault="00E35F33">
      <w:pPr>
        <w:spacing w:line="276" w:lineRule="auto"/>
        <w:ind w:right="-560"/>
        <w:jc w:val="both"/>
        <w:rPr>
          <w:rFonts w:ascii="Open Sans" w:eastAsia="Open Sans" w:hAnsi="Open Sans" w:cs="Open Sans"/>
          <w:color w:val="262626"/>
          <w:sz w:val="22"/>
          <w:szCs w:val="22"/>
        </w:rPr>
      </w:pPr>
    </w:p>
    <w:p w14:paraId="41E216A2" w14:textId="77777777" w:rsidR="00E35F33" w:rsidRDefault="00000000">
      <w:pPr>
        <w:spacing w:line="276" w:lineRule="auto"/>
        <w:ind w:right="-560"/>
        <w:jc w:val="both"/>
        <w:rPr>
          <w:rFonts w:ascii="Open Sans" w:eastAsia="Open Sans" w:hAnsi="Open Sans" w:cs="Open Sans"/>
          <w:b/>
          <w:color w:val="262626"/>
          <w:sz w:val="22"/>
          <w:szCs w:val="22"/>
        </w:rPr>
      </w:pPr>
      <w:r>
        <w:rPr>
          <w:rFonts w:ascii="Open Sans" w:eastAsia="Open Sans" w:hAnsi="Open Sans" w:cs="Open Sans"/>
          <w:color w:val="262626"/>
          <w:sz w:val="22"/>
          <w:szCs w:val="22"/>
        </w:rPr>
        <w:lastRenderedPageBreak/>
        <w:t xml:space="preserve">“La tendencia indica que el encarecimiento del precio no será tan intenso en los próximos meses. Podemos comprobar que sobre todo se refiere a las regiones donde el precio por metro cuadrado está por debajo de la media nacional y la capacidad de atracción poblacional no es tan elevada como en las ciudades habitualmente más tensionadas”, </w:t>
      </w:r>
      <w:r>
        <w:rPr>
          <w:rFonts w:ascii="Open Sans" w:eastAsia="Open Sans" w:hAnsi="Open Sans" w:cs="Open Sans"/>
          <w:b/>
          <w:color w:val="262626"/>
          <w:sz w:val="22"/>
          <w:szCs w:val="22"/>
        </w:rPr>
        <w:t xml:space="preserve">comenta María Matos, directora de Estudios y portavoz de </w:t>
      </w:r>
      <w:hyperlink r:id="rId15">
        <w:r w:rsidR="00E35F33">
          <w:rPr>
            <w:rFonts w:ascii="Open Sans" w:eastAsia="Open Sans" w:hAnsi="Open Sans" w:cs="Open Sans"/>
            <w:b/>
            <w:color w:val="1155CC"/>
            <w:sz w:val="22"/>
            <w:szCs w:val="22"/>
            <w:u w:val="single"/>
          </w:rPr>
          <w:t>Fotocasa</w:t>
        </w:r>
      </w:hyperlink>
      <w:r>
        <w:rPr>
          <w:rFonts w:ascii="Open Sans" w:eastAsia="Open Sans" w:hAnsi="Open Sans" w:cs="Open Sans"/>
          <w:b/>
          <w:color w:val="262626"/>
          <w:sz w:val="22"/>
          <w:szCs w:val="22"/>
        </w:rPr>
        <w:t xml:space="preserve">. </w:t>
      </w:r>
    </w:p>
    <w:p w14:paraId="198B1F98" w14:textId="77777777" w:rsidR="00E35F33" w:rsidRDefault="00E35F33">
      <w:pPr>
        <w:spacing w:line="276" w:lineRule="auto"/>
        <w:ind w:right="-560"/>
        <w:jc w:val="both"/>
        <w:rPr>
          <w:rFonts w:ascii="Open Sans" w:eastAsia="Open Sans" w:hAnsi="Open Sans" w:cs="Open Sans"/>
          <w:b/>
          <w:color w:val="262626"/>
          <w:sz w:val="22"/>
          <w:szCs w:val="22"/>
        </w:rPr>
      </w:pPr>
    </w:p>
    <w:p w14:paraId="0947BC6D" w14:textId="77777777" w:rsidR="00E35F33" w:rsidRDefault="00000000">
      <w:pPr>
        <w:spacing w:line="276" w:lineRule="auto"/>
        <w:ind w:right="-560"/>
        <w:jc w:val="both"/>
        <w:rPr>
          <w:rFonts w:ascii="Open Sans" w:eastAsia="Open Sans" w:hAnsi="Open Sans" w:cs="Open Sans"/>
          <w:b/>
          <w:color w:val="002060"/>
        </w:rPr>
      </w:pPr>
      <w:r>
        <w:rPr>
          <w:rFonts w:ascii="Open Sans" w:eastAsia="Open Sans" w:hAnsi="Open Sans" w:cs="Open Sans"/>
          <w:b/>
          <w:color w:val="002060"/>
        </w:rPr>
        <w:t xml:space="preserve">La subida de precios se modera en la mayoría de las capitales </w:t>
      </w:r>
    </w:p>
    <w:p w14:paraId="20144989" w14:textId="77777777" w:rsidR="00E35F33" w:rsidRDefault="00E35F33">
      <w:pPr>
        <w:spacing w:line="276" w:lineRule="auto"/>
        <w:ind w:right="-560"/>
        <w:jc w:val="both"/>
        <w:rPr>
          <w:rFonts w:ascii="Open Sans" w:eastAsia="Open Sans" w:hAnsi="Open Sans" w:cs="Open Sans"/>
          <w:color w:val="262626"/>
          <w:sz w:val="22"/>
          <w:szCs w:val="22"/>
        </w:rPr>
      </w:pPr>
    </w:p>
    <w:p w14:paraId="4555DF7E" w14:textId="19743724" w:rsidR="00E35F33"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A diferencia de la previsión de </w:t>
      </w:r>
      <w:r w:rsidRPr="00BF68C7">
        <w:rPr>
          <w:rFonts w:ascii="Open Sans" w:eastAsia="Open Sans" w:hAnsi="Open Sans" w:cs="Open Sans"/>
          <w:i/>
          <w:iCs/>
          <w:color w:val="262626"/>
          <w:sz w:val="22"/>
          <w:szCs w:val="22"/>
        </w:rPr>
        <w:t>SmartPrice</w:t>
      </w:r>
      <w:r>
        <w:rPr>
          <w:rFonts w:ascii="Open Sans" w:eastAsia="Open Sans" w:hAnsi="Open Sans" w:cs="Open Sans"/>
          <w:color w:val="262626"/>
          <w:sz w:val="22"/>
          <w:szCs w:val="22"/>
        </w:rPr>
        <w:t xml:space="preserve"> para el cierre del </w:t>
      </w:r>
      <w:r w:rsidR="00A65A9C">
        <w:rPr>
          <w:rFonts w:ascii="Open Sans" w:eastAsia="Open Sans" w:hAnsi="Open Sans" w:cs="Open Sans"/>
          <w:color w:val="262626"/>
          <w:sz w:val="22"/>
          <w:szCs w:val="22"/>
        </w:rPr>
        <w:t>primer</w:t>
      </w:r>
      <w:r>
        <w:rPr>
          <w:rFonts w:ascii="Open Sans" w:eastAsia="Open Sans" w:hAnsi="Open Sans" w:cs="Open Sans"/>
          <w:color w:val="262626"/>
          <w:sz w:val="22"/>
          <w:szCs w:val="22"/>
        </w:rPr>
        <w:t xml:space="preserve"> trimestre, </w:t>
      </w:r>
      <w:r>
        <w:rPr>
          <w:rFonts w:ascii="Open Sans" w:eastAsia="Open Sans" w:hAnsi="Open Sans" w:cs="Open Sans"/>
          <w:b/>
          <w:color w:val="262626"/>
          <w:sz w:val="22"/>
          <w:szCs w:val="22"/>
        </w:rPr>
        <w:t>en esta ocasión se puede observar cómo se moderan los incrementos de precios en las ciudades con mayores subidas</w:t>
      </w:r>
      <w:r>
        <w:rPr>
          <w:rFonts w:ascii="Open Sans" w:eastAsia="Open Sans" w:hAnsi="Open Sans" w:cs="Open Sans"/>
          <w:color w:val="262626"/>
          <w:sz w:val="22"/>
          <w:szCs w:val="22"/>
        </w:rPr>
        <w:t xml:space="preserve">, mientras que el número de capitales con valores de compraventa alcistas se mantiene prácticamente igual (suben de 31 a 33). Tras las ciudades de Valladolid, Soria y Burgos, otras capitales de provincia registrarán notables subidas en los precios de compraventa de viviendas en España a cierre del </w:t>
      </w:r>
      <w:r w:rsidR="00A65A9C">
        <w:rPr>
          <w:rFonts w:ascii="Open Sans" w:eastAsia="Open Sans" w:hAnsi="Open Sans" w:cs="Open Sans"/>
          <w:color w:val="262626"/>
          <w:sz w:val="22"/>
          <w:szCs w:val="22"/>
        </w:rPr>
        <w:t>segundo</w:t>
      </w:r>
      <w:r>
        <w:rPr>
          <w:rFonts w:ascii="Open Sans" w:eastAsia="Open Sans" w:hAnsi="Open Sans" w:cs="Open Sans"/>
          <w:color w:val="262626"/>
          <w:sz w:val="22"/>
          <w:szCs w:val="22"/>
        </w:rPr>
        <w:t xml:space="preserve"> trimestre. Así, el valor de un inmueble en Oviedo se incrementará un 4,3%, seguida de las ciudades de Almería (+3,8%), Guadalajara (+3,3%), y Valencia (+2,7%). Según el algoritmo, estas capitales completarán el Top 10 de ciudades con mayores alzas de precios a nivel nacional: Albacete (+2,7%), Girona (+2,6%), y A Coruña (+2,6%).</w:t>
      </w:r>
    </w:p>
    <w:p w14:paraId="0A6BACA2" w14:textId="77777777" w:rsidR="00E35F33" w:rsidRDefault="00E35F33">
      <w:pPr>
        <w:spacing w:line="276" w:lineRule="auto"/>
        <w:ind w:right="-560"/>
        <w:jc w:val="both"/>
        <w:rPr>
          <w:rFonts w:ascii="Open Sans" w:eastAsia="Open Sans" w:hAnsi="Open Sans" w:cs="Open Sans"/>
          <w:color w:val="262626"/>
          <w:sz w:val="22"/>
          <w:szCs w:val="22"/>
        </w:rPr>
      </w:pPr>
    </w:p>
    <w:p w14:paraId="5FCA7DBE" w14:textId="77777777" w:rsidR="00E35F33" w:rsidRDefault="00000000">
      <w:pPr>
        <w:spacing w:line="276" w:lineRule="auto"/>
        <w:ind w:right="-560"/>
        <w:jc w:val="both"/>
        <w:rPr>
          <w:rFonts w:ascii="Open Sans" w:eastAsia="Open Sans" w:hAnsi="Open Sans" w:cs="Open Sans"/>
          <w:color w:val="262626"/>
          <w:sz w:val="22"/>
          <w:szCs w:val="22"/>
        </w:rPr>
      </w:pPr>
      <w:r>
        <w:rPr>
          <w:noProof/>
        </w:rPr>
        <w:drawing>
          <wp:inline distT="0" distB="0" distL="0" distR="0" wp14:anchorId="2E0CDAD4" wp14:editId="3E33BC06">
            <wp:extent cx="5772150" cy="2800532"/>
            <wp:effectExtent l="0" t="0" r="0" b="0"/>
            <wp:docPr id="1198618800" name="Gráfico 11986188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46D962" w14:textId="77777777" w:rsidR="00E35F33" w:rsidRDefault="00000000">
      <w:pPr>
        <w:spacing w:line="276" w:lineRule="auto"/>
        <w:ind w:right="-560"/>
        <w:jc w:val="both"/>
        <w:rPr>
          <w:rFonts w:ascii="Open Sans" w:eastAsia="Open Sans" w:hAnsi="Open Sans" w:cs="Open Sans"/>
          <w:b/>
          <w:color w:val="303AB2"/>
        </w:rPr>
      </w:pPr>
      <w:r>
        <w:rPr>
          <w:rFonts w:ascii="Open Sans" w:eastAsia="Open Sans" w:hAnsi="Open Sans" w:cs="Open Sans"/>
          <w:b/>
          <w:color w:val="262626"/>
          <w:sz w:val="22"/>
          <w:szCs w:val="22"/>
        </w:rPr>
        <w:t>En la zona más temperada de incrementos de precio se encontrarán ciudades como Huelva (+2,5%), Pontevedra (+2,4%), Castellón de la Plana (+2,2%), Murcia (+2,2%), Ourense (+2,1%), Palma (+1,8%), Barcelona (+1,7%), León (+1,4%), Segovia (+1,1%), y Vitoria (+1,0%)</w:t>
      </w:r>
      <w:r>
        <w:rPr>
          <w:rFonts w:ascii="Open Sans" w:eastAsia="Open Sans" w:hAnsi="Open Sans" w:cs="Open Sans"/>
          <w:color w:val="262626"/>
          <w:sz w:val="22"/>
          <w:szCs w:val="22"/>
        </w:rPr>
        <w:t xml:space="preserve">. A continuación, el algoritmo </w:t>
      </w:r>
      <w:r>
        <w:rPr>
          <w:rFonts w:ascii="Open Sans" w:eastAsia="Open Sans" w:hAnsi="Open Sans" w:cs="Open Sans"/>
          <w:i/>
          <w:color w:val="262626"/>
          <w:sz w:val="22"/>
          <w:szCs w:val="22"/>
        </w:rPr>
        <w:t>SmartPrice</w:t>
      </w:r>
      <w:r>
        <w:rPr>
          <w:rFonts w:ascii="Open Sans" w:eastAsia="Open Sans" w:hAnsi="Open Sans" w:cs="Open Sans"/>
          <w:color w:val="262626"/>
          <w:sz w:val="22"/>
          <w:szCs w:val="22"/>
        </w:rPr>
        <w:t xml:space="preserve"> predice que registrarán variaciones positivas inferiores al 1% capitales de provincia como Zamora (+0,9%), Cuenca </w:t>
      </w:r>
      <w:r>
        <w:rPr>
          <w:rFonts w:ascii="Open Sans" w:eastAsia="Open Sans" w:hAnsi="Open Sans" w:cs="Open Sans"/>
          <w:color w:val="262626"/>
          <w:sz w:val="22"/>
          <w:szCs w:val="22"/>
        </w:rPr>
        <w:lastRenderedPageBreak/>
        <w:t>(+0,9%), Córdoba (+0,8%), Huesca (+0,7%), Alicante (+0,7%), Logroño (+0,5%), Santa Cruz de Tenerife (+0,5%), Jaén (+0,4%), Santander (+0,3%), Cáceres (+0,3%), Cádiz (+0,3%), Sevilla (+0,3%), y Vigo (+0,1%). En cambio, las ciudades de Tarragona, San Sebastián y Toledo se mantendrán estables en lo relativo a los precios de compraventa de viviendas.</w:t>
      </w:r>
    </w:p>
    <w:tbl>
      <w:tblPr>
        <w:tblStyle w:val="a3"/>
        <w:tblW w:w="84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69"/>
        <w:gridCol w:w="4029"/>
      </w:tblGrid>
      <w:tr w:rsidR="00E35F33" w14:paraId="3FE5A650" w14:textId="77777777">
        <w:tc>
          <w:tcPr>
            <w:tcW w:w="4469" w:type="dxa"/>
          </w:tcPr>
          <w:p w14:paraId="170E6C01" w14:textId="77777777" w:rsidR="00E35F33" w:rsidRDefault="00E35F33">
            <w:pPr>
              <w:widowControl w:val="0"/>
              <w:pBdr>
                <w:top w:val="nil"/>
                <w:left w:val="nil"/>
                <w:bottom w:val="nil"/>
                <w:right w:val="nil"/>
                <w:between w:val="nil"/>
              </w:pBdr>
              <w:spacing w:line="276" w:lineRule="auto"/>
              <w:rPr>
                <w:rFonts w:ascii="Open Sans" w:eastAsia="Open Sans" w:hAnsi="Open Sans" w:cs="Open Sans"/>
                <w:b/>
                <w:color w:val="303AB2"/>
              </w:rPr>
            </w:pPr>
          </w:p>
          <w:tbl>
            <w:tblPr>
              <w:tblStyle w:val="a4"/>
              <w:tblW w:w="424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121"/>
              <w:gridCol w:w="2122"/>
            </w:tblGrid>
            <w:tr w:rsidR="00E35F33" w14:paraId="7B551081" w14:textId="77777777" w:rsidTr="00E35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shd w:val="clear" w:color="auto" w:fill="3B3838"/>
                </w:tcPr>
                <w:p w14:paraId="1F522F51" w14:textId="77777777" w:rsidR="00E35F33" w:rsidRDefault="00000000">
                  <w:pPr>
                    <w:spacing w:line="276" w:lineRule="auto"/>
                    <w:ind w:right="-560"/>
                    <w:jc w:val="both"/>
                    <w:rPr>
                      <w:rFonts w:ascii="Open Sans" w:eastAsia="Open Sans" w:hAnsi="Open Sans" w:cs="Open Sans"/>
                      <w:color w:val="FFFFFF"/>
                      <w:sz w:val="18"/>
                      <w:szCs w:val="18"/>
                    </w:rPr>
                  </w:pPr>
                  <w:r>
                    <w:rPr>
                      <w:rFonts w:ascii="Open Sans" w:eastAsia="Open Sans" w:hAnsi="Open Sans" w:cs="Open Sans"/>
                      <w:b w:val="0"/>
                      <w:color w:val="FFFFFF"/>
                      <w:sz w:val="18"/>
                      <w:szCs w:val="18"/>
                    </w:rPr>
                    <w:t>Ciudad</w:t>
                  </w:r>
                </w:p>
              </w:tc>
              <w:tc>
                <w:tcPr>
                  <w:tcW w:w="2122" w:type="dxa"/>
                  <w:shd w:val="clear" w:color="auto" w:fill="3B3838"/>
                </w:tcPr>
                <w:p w14:paraId="2EEDFECF" w14:textId="77777777" w:rsidR="00E35F33" w:rsidRDefault="00000000">
                  <w:pPr>
                    <w:spacing w:line="276" w:lineRule="auto"/>
                    <w:ind w:right="-560"/>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FFFFFF"/>
                      <w:sz w:val="18"/>
                      <w:szCs w:val="18"/>
                    </w:rPr>
                  </w:pPr>
                  <w:r>
                    <w:rPr>
                      <w:rFonts w:ascii="Open Sans" w:eastAsia="Open Sans" w:hAnsi="Open Sans" w:cs="Open Sans"/>
                      <w:b w:val="0"/>
                      <w:color w:val="FFFFFF"/>
                      <w:sz w:val="18"/>
                      <w:szCs w:val="18"/>
                    </w:rPr>
                    <w:t>Variación trimestral</w:t>
                  </w:r>
                </w:p>
              </w:tc>
            </w:tr>
            <w:tr w:rsidR="00E35F33" w14:paraId="3B56ED3D"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096725BE" w14:textId="77777777" w:rsidR="00E35F33" w:rsidRDefault="00000000">
                  <w:pPr>
                    <w:rPr>
                      <w:sz w:val="22"/>
                      <w:szCs w:val="22"/>
                    </w:rPr>
                  </w:pPr>
                  <w:r>
                    <w:rPr>
                      <w:b w:val="0"/>
                      <w:sz w:val="22"/>
                      <w:szCs w:val="22"/>
                    </w:rPr>
                    <w:t>Valladolid</w:t>
                  </w:r>
                </w:p>
              </w:tc>
              <w:tc>
                <w:tcPr>
                  <w:tcW w:w="2122" w:type="dxa"/>
                </w:tcPr>
                <w:p w14:paraId="551FADAF"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5,7</w:t>
                  </w:r>
                </w:p>
              </w:tc>
            </w:tr>
            <w:tr w:rsidR="00E35F33" w14:paraId="5F381BE6"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10D80EC3" w14:textId="77777777" w:rsidR="00E35F33" w:rsidRDefault="00000000">
                  <w:pPr>
                    <w:rPr>
                      <w:sz w:val="22"/>
                      <w:szCs w:val="22"/>
                    </w:rPr>
                  </w:pPr>
                  <w:r>
                    <w:rPr>
                      <w:b w:val="0"/>
                      <w:sz w:val="22"/>
                      <w:szCs w:val="22"/>
                    </w:rPr>
                    <w:t>Soria</w:t>
                  </w:r>
                </w:p>
              </w:tc>
              <w:tc>
                <w:tcPr>
                  <w:tcW w:w="2122" w:type="dxa"/>
                </w:tcPr>
                <w:p w14:paraId="4BBAFAE6"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r>
            <w:tr w:rsidR="00E35F33" w14:paraId="2C5C804C"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0693384D" w14:textId="77777777" w:rsidR="00E35F33" w:rsidRDefault="00000000">
                  <w:pPr>
                    <w:rPr>
                      <w:sz w:val="22"/>
                      <w:szCs w:val="22"/>
                    </w:rPr>
                  </w:pPr>
                  <w:r>
                    <w:rPr>
                      <w:b w:val="0"/>
                      <w:sz w:val="22"/>
                      <w:szCs w:val="22"/>
                    </w:rPr>
                    <w:t>Burgos</w:t>
                  </w:r>
                </w:p>
              </w:tc>
              <w:tc>
                <w:tcPr>
                  <w:tcW w:w="2122" w:type="dxa"/>
                </w:tcPr>
                <w:p w14:paraId="58E38B1B"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4,3</w:t>
                  </w:r>
                </w:p>
              </w:tc>
            </w:tr>
            <w:tr w:rsidR="00E35F33" w14:paraId="606E7DD0"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73B2B641" w14:textId="77777777" w:rsidR="00E35F33" w:rsidRDefault="00000000">
                  <w:pPr>
                    <w:rPr>
                      <w:sz w:val="22"/>
                      <w:szCs w:val="22"/>
                    </w:rPr>
                  </w:pPr>
                  <w:r>
                    <w:rPr>
                      <w:b w:val="0"/>
                      <w:sz w:val="22"/>
                      <w:szCs w:val="22"/>
                    </w:rPr>
                    <w:t>Oviedo</w:t>
                  </w:r>
                </w:p>
              </w:tc>
              <w:tc>
                <w:tcPr>
                  <w:tcW w:w="2122" w:type="dxa"/>
                </w:tcPr>
                <w:p w14:paraId="2A06C2DE"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4,3</w:t>
                  </w:r>
                </w:p>
              </w:tc>
            </w:tr>
            <w:tr w:rsidR="00E35F33" w14:paraId="145F55DC"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09DD7320" w14:textId="77777777" w:rsidR="00E35F33" w:rsidRDefault="00000000">
                  <w:pPr>
                    <w:rPr>
                      <w:sz w:val="22"/>
                      <w:szCs w:val="22"/>
                    </w:rPr>
                  </w:pPr>
                  <w:r>
                    <w:rPr>
                      <w:b w:val="0"/>
                      <w:sz w:val="22"/>
                      <w:szCs w:val="22"/>
                    </w:rPr>
                    <w:t>Almería</w:t>
                  </w:r>
                </w:p>
              </w:tc>
              <w:tc>
                <w:tcPr>
                  <w:tcW w:w="2122" w:type="dxa"/>
                </w:tcPr>
                <w:p w14:paraId="0F964EF2"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w:t>
                  </w:r>
                </w:p>
              </w:tc>
            </w:tr>
            <w:tr w:rsidR="00E35F33" w14:paraId="1E9B4578"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286D9863" w14:textId="77777777" w:rsidR="00E35F33" w:rsidRDefault="00000000">
                  <w:pPr>
                    <w:rPr>
                      <w:sz w:val="22"/>
                      <w:szCs w:val="22"/>
                    </w:rPr>
                  </w:pPr>
                  <w:r>
                    <w:rPr>
                      <w:b w:val="0"/>
                      <w:sz w:val="22"/>
                      <w:szCs w:val="22"/>
                    </w:rPr>
                    <w:t>Guadalajara</w:t>
                  </w:r>
                </w:p>
              </w:tc>
              <w:tc>
                <w:tcPr>
                  <w:tcW w:w="2122" w:type="dxa"/>
                </w:tcPr>
                <w:p w14:paraId="0F7BE20A"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w:t>
                  </w:r>
                </w:p>
              </w:tc>
            </w:tr>
            <w:tr w:rsidR="00E35F33" w14:paraId="511FA877"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45C4CA09" w14:textId="77777777" w:rsidR="00E35F33" w:rsidRDefault="00000000">
                  <w:pPr>
                    <w:rPr>
                      <w:sz w:val="22"/>
                      <w:szCs w:val="22"/>
                    </w:rPr>
                  </w:pPr>
                  <w:r>
                    <w:rPr>
                      <w:b w:val="0"/>
                      <w:sz w:val="22"/>
                      <w:szCs w:val="22"/>
                    </w:rPr>
                    <w:t>Valencia</w:t>
                  </w:r>
                </w:p>
              </w:tc>
              <w:tc>
                <w:tcPr>
                  <w:tcW w:w="2122" w:type="dxa"/>
                </w:tcPr>
                <w:p w14:paraId="29879303"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p>
              </w:tc>
            </w:tr>
            <w:tr w:rsidR="00E35F33" w14:paraId="2CEBC03A"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468EB6EB" w14:textId="77777777" w:rsidR="00E35F33" w:rsidRDefault="00000000">
                  <w:pPr>
                    <w:rPr>
                      <w:sz w:val="22"/>
                      <w:szCs w:val="22"/>
                    </w:rPr>
                  </w:pPr>
                  <w:r>
                    <w:rPr>
                      <w:b w:val="0"/>
                      <w:sz w:val="22"/>
                      <w:szCs w:val="22"/>
                    </w:rPr>
                    <w:t>Albacete</w:t>
                  </w:r>
                </w:p>
              </w:tc>
              <w:tc>
                <w:tcPr>
                  <w:tcW w:w="2122" w:type="dxa"/>
                </w:tcPr>
                <w:p w14:paraId="6C0C3F78"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r>
            <w:tr w:rsidR="00E35F33" w14:paraId="5BA28CE5"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6B3A3E9E" w14:textId="77777777" w:rsidR="00E35F33" w:rsidRDefault="00000000">
                  <w:pPr>
                    <w:rPr>
                      <w:sz w:val="22"/>
                      <w:szCs w:val="22"/>
                    </w:rPr>
                  </w:pPr>
                  <w:r>
                    <w:rPr>
                      <w:b w:val="0"/>
                      <w:sz w:val="22"/>
                      <w:szCs w:val="22"/>
                    </w:rPr>
                    <w:t>Girona</w:t>
                  </w:r>
                </w:p>
              </w:tc>
              <w:tc>
                <w:tcPr>
                  <w:tcW w:w="2122" w:type="dxa"/>
                </w:tcPr>
                <w:p w14:paraId="34813387"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w:t>
                  </w:r>
                </w:p>
              </w:tc>
            </w:tr>
            <w:tr w:rsidR="00E35F33" w14:paraId="29CA2E76"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060418A4" w14:textId="77777777" w:rsidR="00E35F33" w:rsidRDefault="00000000">
                  <w:pPr>
                    <w:rPr>
                      <w:sz w:val="22"/>
                      <w:szCs w:val="22"/>
                    </w:rPr>
                  </w:pPr>
                  <w:r>
                    <w:rPr>
                      <w:b w:val="0"/>
                      <w:sz w:val="22"/>
                      <w:szCs w:val="22"/>
                    </w:rPr>
                    <w:t>La Coruña</w:t>
                  </w:r>
                </w:p>
              </w:tc>
              <w:tc>
                <w:tcPr>
                  <w:tcW w:w="2122" w:type="dxa"/>
                </w:tcPr>
                <w:p w14:paraId="6632112F"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w:t>
                  </w:r>
                </w:p>
              </w:tc>
            </w:tr>
            <w:tr w:rsidR="00E35F33" w14:paraId="298FC26D"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4C653E68" w14:textId="77777777" w:rsidR="00E35F33" w:rsidRDefault="00000000">
                  <w:pPr>
                    <w:rPr>
                      <w:sz w:val="22"/>
                      <w:szCs w:val="22"/>
                    </w:rPr>
                  </w:pPr>
                  <w:r>
                    <w:rPr>
                      <w:b w:val="0"/>
                      <w:sz w:val="22"/>
                      <w:szCs w:val="22"/>
                    </w:rPr>
                    <w:t>Huelva</w:t>
                  </w:r>
                </w:p>
              </w:tc>
              <w:tc>
                <w:tcPr>
                  <w:tcW w:w="2122" w:type="dxa"/>
                </w:tcPr>
                <w:p w14:paraId="6317F7F1"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r>
            <w:tr w:rsidR="00E35F33" w14:paraId="6390E2F2"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0B229C54" w14:textId="77777777" w:rsidR="00E35F33" w:rsidRDefault="00000000">
                  <w:pPr>
                    <w:rPr>
                      <w:sz w:val="22"/>
                      <w:szCs w:val="22"/>
                    </w:rPr>
                  </w:pPr>
                  <w:r>
                    <w:rPr>
                      <w:b w:val="0"/>
                      <w:sz w:val="22"/>
                      <w:szCs w:val="22"/>
                    </w:rPr>
                    <w:t>Pontevedra</w:t>
                  </w:r>
                </w:p>
              </w:tc>
              <w:tc>
                <w:tcPr>
                  <w:tcW w:w="2122" w:type="dxa"/>
                </w:tcPr>
                <w:p w14:paraId="49D3F5FE"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w:t>
                  </w:r>
                </w:p>
              </w:tc>
            </w:tr>
            <w:tr w:rsidR="00E35F33" w14:paraId="3D195511"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485F374E" w14:textId="77777777" w:rsidR="00E35F33" w:rsidRDefault="00000000">
                  <w:pPr>
                    <w:rPr>
                      <w:sz w:val="22"/>
                      <w:szCs w:val="22"/>
                    </w:rPr>
                  </w:pPr>
                  <w:r>
                    <w:rPr>
                      <w:b w:val="0"/>
                      <w:sz w:val="22"/>
                      <w:szCs w:val="22"/>
                    </w:rPr>
                    <w:t>Castellón</w:t>
                  </w:r>
                </w:p>
              </w:tc>
              <w:tc>
                <w:tcPr>
                  <w:tcW w:w="2122" w:type="dxa"/>
                </w:tcPr>
                <w:p w14:paraId="07D97991"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r>
            <w:tr w:rsidR="00E35F33" w14:paraId="7E3CBD3D"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0FE13928" w14:textId="77777777" w:rsidR="00E35F33" w:rsidRDefault="00000000">
                  <w:pPr>
                    <w:rPr>
                      <w:sz w:val="22"/>
                      <w:szCs w:val="22"/>
                    </w:rPr>
                  </w:pPr>
                  <w:r>
                    <w:rPr>
                      <w:b w:val="0"/>
                      <w:sz w:val="22"/>
                      <w:szCs w:val="22"/>
                    </w:rPr>
                    <w:t>Murcia</w:t>
                  </w:r>
                </w:p>
              </w:tc>
              <w:tc>
                <w:tcPr>
                  <w:tcW w:w="2122" w:type="dxa"/>
                </w:tcPr>
                <w:p w14:paraId="4E5A6E0D"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r>
            <w:tr w:rsidR="00E35F33" w14:paraId="77E629F5"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7B34C92A" w14:textId="77777777" w:rsidR="00E35F33" w:rsidRDefault="00000000">
                  <w:pPr>
                    <w:rPr>
                      <w:sz w:val="22"/>
                      <w:szCs w:val="22"/>
                    </w:rPr>
                  </w:pPr>
                  <w:r>
                    <w:rPr>
                      <w:b w:val="0"/>
                      <w:sz w:val="22"/>
                      <w:szCs w:val="22"/>
                    </w:rPr>
                    <w:t>Orense</w:t>
                  </w:r>
                </w:p>
              </w:tc>
              <w:tc>
                <w:tcPr>
                  <w:tcW w:w="2122" w:type="dxa"/>
                </w:tcPr>
                <w:p w14:paraId="331641C6"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r>
            <w:tr w:rsidR="00E35F33" w14:paraId="19D8A4A8"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53E4A4D2" w14:textId="77777777" w:rsidR="00E35F33" w:rsidRDefault="00000000">
                  <w:pPr>
                    <w:rPr>
                      <w:sz w:val="22"/>
                      <w:szCs w:val="22"/>
                    </w:rPr>
                  </w:pPr>
                  <w:r>
                    <w:rPr>
                      <w:b w:val="0"/>
                      <w:sz w:val="22"/>
                      <w:szCs w:val="22"/>
                    </w:rPr>
                    <w:t>Palma</w:t>
                  </w:r>
                </w:p>
              </w:tc>
              <w:tc>
                <w:tcPr>
                  <w:tcW w:w="2122" w:type="dxa"/>
                </w:tcPr>
                <w:p w14:paraId="05940035"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r>
            <w:tr w:rsidR="00E35F33" w14:paraId="1EEF3B0D"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27318BBD" w14:textId="77777777" w:rsidR="00E35F33" w:rsidRDefault="00000000">
                  <w:pPr>
                    <w:rPr>
                      <w:sz w:val="22"/>
                      <w:szCs w:val="22"/>
                    </w:rPr>
                  </w:pPr>
                  <w:r>
                    <w:rPr>
                      <w:b w:val="0"/>
                      <w:sz w:val="22"/>
                      <w:szCs w:val="22"/>
                    </w:rPr>
                    <w:t>Barcelona</w:t>
                  </w:r>
                </w:p>
              </w:tc>
              <w:tc>
                <w:tcPr>
                  <w:tcW w:w="2122" w:type="dxa"/>
                </w:tcPr>
                <w:p w14:paraId="32CA88CF"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w:t>
                  </w:r>
                </w:p>
              </w:tc>
            </w:tr>
            <w:tr w:rsidR="00E35F33" w14:paraId="55E54E5A"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5AB930FF" w14:textId="77777777" w:rsidR="00E35F33" w:rsidRDefault="00000000">
                  <w:pPr>
                    <w:rPr>
                      <w:sz w:val="22"/>
                      <w:szCs w:val="22"/>
                    </w:rPr>
                  </w:pPr>
                  <w:r>
                    <w:rPr>
                      <w:b w:val="0"/>
                      <w:sz w:val="22"/>
                      <w:szCs w:val="22"/>
                    </w:rPr>
                    <w:t>León</w:t>
                  </w:r>
                </w:p>
              </w:tc>
              <w:tc>
                <w:tcPr>
                  <w:tcW w:w="2122" w:type="dxa"/>
                </w:tcPr>
                <w:p w14:paraId="0D998739"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r>
            <w:tr w:rsidR="00E35F33" w14:paraId="0E22FF83"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58FBB8D2" w14:textId="77777777" w:rsidR="00E35F33" w:rsidRDefault="00000000">
                  <w:pPr>
                    <w:rPr>
                      <w:sz w:val="22"/>
                      <w:szCs w:val="22"/>
                    </w:rPr>
                  </w:pPr>
                  <w:r>
                    <w:rPr>
                      <w:b w:val="0"/>
                      <w:sz w:val="22"/>
                      <w:szCs w:val="22"/>
                    </w:rPr>
                    <w:t>Segovia</w:t>
                  </w:r>
                </w:p>
              </w:tc>
              <w:tc>
                <w:tcPr>
                  <w:tcW w:w="2122" w:type="dxa"/>
                </w:tcPr>
                <w:p w14:paraId="4BEE403B"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r>
            <w:tr w:rsidR="00E35F33" w14:paraId="00B02892"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6FB10387" w14:textId="77777777" w:rsidR="00E35F33" w:rsidRDefault="00000000">
                  <w:pPr>
                    <w:rPr>
                      <w:sz w:val="22"/>
                      <w:szCs w:val="22"/>
                    </w:rPr>
                  </w:pPr>
                  <w:r>
                    <w:rPr>
                      <w:b w:val="0"/>
                      <w:sz w:val="22"/>
                      <w:szCs w:val="22"/>
                    </w:rPr>
                    <w:t>Vitoria</w:t>
                  </w:r>
                </w:p>
              </w:tc>
              <w:tc>
                <w:tcPr>
                  <w:tcW w:w="2122" w:type="dxa"/>
                </w:tcPr>
                <w:p w14:paraId="74E1420F"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r w:rsidR="00E35F33" w14:paraId="5D9CDB05"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01112AE8" w14:textId="77777777" w:rsidR="00E35F33" w:rsidRDefault="00000000">
                  <w:pPr>
                    <w:rPr>
                      <w:sz w:val="22"/>
                      <w:szCs w:val="22"/>
                    </w:rPr>
                  </w:pPr>
                  <w:r>
                    <w:rPr>
                      <w:b w:val="0"/>
                      <w:sz w:val="22"/>
                      <w:szCs w:val="22"/>
                    </w:rPr>
                    <w:t>Zamora</w:t>
                  </w:r>
                </w:p>
              </w:tc>
              <w:tc>
                <w:tcPr>
                  <w:tcW w:w="2122" w:type="dxa"/>
                </w:tcPr>
                <w:p w14:paraId="0AA7ACCD"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0,9</w:t>
                  </w:r>
                </w:p>
              </w:tc>
            </w:tr>
            <w:tr w:rsidR="00E35F33" w14:paraId="27280531"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658B3643" w14:textId="77777777" w:rsidR="00E35F33" w:rsidRDefault="00000000">
                  <w:pPr>
                    <w:rPr>
                      <w:sz w:val="22"/>
                      <w:szCs w:val="22"/>
                    </w:rPr>
                  </w:pPr>
                  <w:r>
                    <w:rPr>
                      <w:b w:val="0"/>
                      <w:sz w:val="22"/>
                      <w:szCs w:val="22"/>
                    </w:rPr>
                    <w:t>Cuenca</w:t>
                  </w:r>
                </w:p>
              </w:tc>
              <w:tc>
                <w:tcPr>
                  <w:tcW w:w="2122" w:type="dxa"/>
                </w:tcPr>
                <w:p w14:paraId="28AD9B35"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0,9</w:t>
                  </w:r>
                </w:p>
              </w:tc>
            </w:tr>
            <w:tr w:rsidR="00E35F33" w14:paraId="77F5157E"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455BE079" w14:textId="77777777" w:rsidR="00E35F33" w:rsidRDefault="00000000">
                  <w:pPr>
                    <w:rPr>
                      <w:sz w:val="22"/>
                      <w:szCs w:val="22"/>
                    </w:rPr>
                  </w:pPr>
                  <w:r>
                    <w:rPr>
                      <w:b w:val="0"/>
                      <w:sz w:val="22"/>
                      <w:szCs w:val="22"/>
                    </w:rPr>
                    <w:t>Córdoba</w:t>
                  </w:r>
                </w:p>
              </w:tc>
              <w:tc>
                <w:tcPr>
                  <w:tcW w:w="2122" w:type="dxa"/>
                </w:tcPr>
                <w:p w14:paraId="70BF5A38"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0,8</w:t>
                  </w:r>
                </w:p>
              </w:tc>
            </w:tr>
            <w:tr w:rsidR="00E35F33" w14:paraId="0D14F343"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10468C6C" w14:textId="77777777" w:rsidR="00E35F33" w:rsidRDefault="00000000">
                  <w:pPr>
                    <w:rPr>
                      <w:sz w:val="22"/>
                      <w:szCs w:val="22"/>
                    </w:rPr>
                  </w:pPr>
                  <w:r>
                    <w:rPr>
                      <w:b w:val="0"/>
                      <w:sz w:val="22"/>
                      <w:szCs w:val="22"/>
                    </w:rPr>
                    <w:t>Huesca</w:t>
                  </w:r>
                </w:p>
              </w:tc>
              <w:tc>
                <w:tcPr>
                  <w:tcW w:w="2122" w:type="dxa"/>
                </w:tcPr>
                <w:p w14:paraId="7D85B245"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0,7</w:t>
                  </w:r>
                </w:p>
              </w:tc>
            </w:tr>
            <w:tr w:rsidR="00E35F33" w14:paraId="5FB4942E"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1" w:type="dxa"/>
                </w:tcPr>
                <w:p w14:paraId="77C4FDEB" w14:textId="77777777" w:rsidR="00E35F33" w:rsidRDefault="00000000">
                  <w:pPr>
                    <w:rPr>
                      <w:sz w:val="22"/>
                      <w:szCs w:val="22"/>
                    </w:rPr>
                  </w:pPr>
                  <w:r>
                    <w:rPr>
                      <w:b w:val="0"/>
                      <w:sz w:val="22"/>
                      <w:szCs w:val="22"/>
                    </w:rPr>
                    <w:t>Alicante</w:t>
                  </w:r>
                </w:p>
              </w:tc>
              <w:tc>
                <w:tcPr>
                  <w:tcW w:w="2122" w:type="dxa"/>
                </w:tcPr>
                <w:p w14:paraId="5B4E237F"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0,7</w:t>
                  </w:r>
                </w:p>
              </w:tc>
            </w:tr>
            <w:tr w:rsidR="00E35F33" w14:paraId="47317B81"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2121" w:type="dxa"/>
                </w:tcPr>
                <w:p w14:paraId="2DA588C5" w14:textId="77777777" w:rsidR="00E35F33" w:rsidRDefault="00000000">
                  <w:pPr>
                    <w:rPr>
                      <w:sz w:val="22"/>
                      <w:szCs w:val="22"/>
                    </w:rPr>
                  </w:pPr>
                  <w:r>
                    <w:rPr>
                      <w:b w:val="0"/>
                      <w:sz w:val="22"/>
                      <w:szCs w:val="22"/>
                    </w:rPr>
                    <w:t>Logroño</w:t>
                  </w:r>
                </w:p>
              </w:tc>
              <w:tc>
                <w:tcPr>
                  <w:tcW w:w="2122" w:type="dxa"/>
                </w:tcPr>
                <w:p w14:paraId="427CC229"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0,5</w:t>
                  </w:r>
                </w:p>
              </w:tc>
            </w:tr>
          </w:tbl>
          <w:p w14:paraId="505BF12F" w14:textId="77777777" w:rsidR="00E35F33" w:rsidRDefault="00E35F33">
            <w:pPr>
              <w:spacing w:before="240" w:line="276" w:lineRule="auto"/>
              <w:ind w:right="-560"/>
              <w:jc w:val="both"/>
              <w:rPr>
                <w:rFonts w:ascii="Open Sans" w:eastAsia="Open Sans" w:hAnsi="Open Sans" w:cs="Open Sans"/>
                <w:sz w:val="22"/>
                <w:szCs w:val="22"/>
              </w:rPr>
            </w:pPr>
          </w:p>
        </w:tc>
        <w:tc>
          <w:tcPr>
            <w:tcW w:w="4029" w:type="dxa"/>
          </w:tcPr>
          <w:p w14:paraId="7240726F" w14:textId="77777777" w:rsidR="00E35F33" w:rsidRDefault="00E35F33">
            <w:pPr>
              <w:widowControl w:val="0"/>
              <w:pBdr>
                <w:top w:val="nil"/>
                <w:left w:val="nil"/>
                <w:bottom w:val="nil"/>
                <w:right w:val="nil"/>
                <w:between w:val="nil"/>
              </w:pBdr>
              <w:spacing w:line="276" w:lineRule="auto"/>
              <w:rPr>
                <w:rFonts w:ascii="Open Sans" w:eastAsia="Open Sans" w:hAnsi="Open Sans" w:cs="Open Sans"/>
                <w:sz w:val="22"/>
                <w:szCs w:val="22"/>
              </w:rPr>
            </w:pPr>
          </w:p>
          <w:tbl>
            <w:tblPr>
              <w:tblStyle w:val="a5"/>
              <w:tblW w:w="3802"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901"/>
              <w:gridCol w:w="1901"/>
            </w:tblGrid>
            <w:tr w:rsidR="00E35F33" w14:paraId="5D655676" w14:textId="77777777" w:rsidTr="00E35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3B3838"/>
                </w:tcPr>
                <w:p w14:paraId="2D730EC7" w14:textId="77777777" w:rsidR="00E35F33" w:rsidRDefault="00000000">
                  <w:pPr>
                    <w:spacing w:line="276" w:lineRule="auto"/>
                    <w:ind w:right="-560"/>
                    <w:jc w:val="both"/>
                    <w:rPr>
                      <w:rFonts w:ascii="Open Sans" w:eastAsia="Open Sans" w:hAnsi="Open Sans" w:cs="Open Sans"/>
                      <w:color w:val="FFFFFF"/>
                      <w:sz w:val="18"/>
                      <w:szCs w:val="18"/>
                    </w:rPr>
                  </w:pPr>
                  <w:r>
                    <w:rPr>
                      <w:rFonts w:ascii="Open Sans" w:eastAsia="Open Sans" w:hAnsi="Open Sans" w:cs="Open Sans"/>
                      <w:b w:val="0"/>
                      <w:color w:val="FFFFFF"/>
                      <w:sz w:val="18"/>
                      <w:szCs w:val="18"/>
                    </w:rPr>
                    <w:t>Ciudad</w:t>
                  </w:r>
                </w:p>
              </w:tc>
              <w:tc>
                <w:tcPr>
                  <w:tcW w:w="1902" w:type="dxa"/>
                  <w:shd w:val="clear" w:color="auto" w:fill="3B3838"/>
                </w:tcPr>
                <w:p w14:paraId="320AA4E9" w14:textId="77777777" w:rsidR="00E35F33" w:rsidRDefault="00000000">
                  <w:pPr>
                    <w:spacing w:line="276" w:lineRule="auto"/>
                    <w:ind w:right="-560"/>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FFFFFF"/>
                      <w:sz w:val="18"/>
                      <w:szCs w:val="18"/>
                    </w:rPr>
                  </w:pPr>
                  <w:r>
                    <w:rPr>
                      <w:rFonts w:ascii="Open Sans" w:eastAsia="Open Sans" w:hAnsi="Open Sans" w:cs="Open Sans"/>
                      <w:b w:val="0"/>
                      <w:color w:val="FFFFFF"/>
                      <w:sz w:val="18"/>
                      <w:szCs w:val="18"/>
                    </w:rPr>
                    <w:t>Variación trimestral</w:t>
                  </w:r>
                </w:p>
              </w:tc>
            </w:tr>
            <w:tr w:rsidR="00E35F33" w14:paraId="3B70608C"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13B2C237" w14:textId="77777777" w:rsidR="00E35F33" w:rsidRDefault="00000000">
                  <w:pPr>
                    <w:rPr>
                      <w:sz w:val="22"/>
                      <w:szCs w:val="22"/>
                    </w:rPr>
                  </w:pPr>
                  <w:r>
                    <w:rPr>
                      <w:b w:val="0"/>
                      <w:sz w:val="22"/>
                      <w:szCs w:val="22"/>
                    </w:rPr>
                    <w:t>Santa Cruz de T.</w:t>
                  </w:r>
                </w:p>
              </w:tc>
              <w:tc>
                <w:tcPr>
                  <w:tcW w:w="1902" w:type="dxa"/>
                </w:tcPr>
                <w:p w14:paraId="4BD1672F"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0,5</w:t>
                  </w:r>
                </w:p>
              </w:tc>
            </w:tr>
            <w:tr w:rsidR="00E35F33" w14:paraId="6FD9282F"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6134B8F8" w14:textId="77777777" w:rsidR="00E35F33" w:rsidRDefault="00000000">
                  <w:pPr>
                    <w:rPr>
                      <w:sz w:val="22"/>
                      <w:szCs w:val="22"/>
                    </w:rPr>
                  </w:pPr>
                  <w:r>
                    <w:rPr>
                      <w:b w:val="0"/>
                      <w:sz w:val="22"/>
                      <w:szCs w:val="22"/>
                    </w:rPr>
                    <w:t>Jaén</w:t>
                  </w:r>
                </w:p>
              </w:tc>
              <w:tc>
                <w:tcPr>
                  <w:tcW w:w="1902" w:type="dxa"/>
                </w:tcPr>
                <w:p w14:paraId="3EA8E154"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w:t>
                  </w:r>
                </w:p>
              </w:tc>
            </w:tr>
            <w:tr w:rsidR="00E35F33" w14:paraId="734C7854"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78E776A7" w14:textId="77777777" w:rsidR="00E35F33" w:rsidRDefault="00000000">
                  <w:pPr>
                    <w:rPr>
                      <w:sz w:val="22"/>
                      <w:szCs w:val="22"/>
                    </w:rPr>
                  </w:pPr>
                  <w:r>
                    <w:rPr>
                      <w:b w:val="0"/>
                      <w:sz w:val="22"/>
                      <w:szCs w:val="22"/>
                    </w:rPr>
                    <w:t>Santander</w:t>
                  </w:r>
                </w:p>
              </w:tc>
              <w:tc>
                <w:tcPr>
                  <w:tcW w:w="1902" w:type="dxa"/>
                </w:tcPr>
                <w:p w14:paraId="62BFCDF1"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w:t>
                  </w:r>
                </w:p>
              </w:tc>
            </w:tr>
            <w:tr w:rsidR="00E35F33" w14:paraId="7E7EC30B"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57B1304A" w14:textId="77777777" w:rsidR="00E35F33" w:rsidRDefault="00000000">
                  <w:pPr>
                    <w:rPr>
                      <w:sz w:val="22"/>
                      <w:szCs w:val="22"/>
                    </w:rPr>
                  </w:pPr>
                  <w:r>
                    <w:rPr>
                      <w:b w:val="0"/>
                      <w:sz w:val="22"/>
                      <w:szCs w:val="22"/>
                    </w:rPr>
                    <w:t>Cáceres</w:t>
                  </w:r>
                </w:p>
              </w:tc>
              <w:tc>
                <w:tcPr>
                  <w:tcW w:w="1902" w:type="dxa"/>
                </w:tcPr>
                <w:p w14:paraId="439677CD"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0,3</w:t>
                  </w:r>
                </w:p>
              </w:tc>
            </w:tr>
            <w:tr w:rsidR="00E35F33" w14:paraId="1429B242"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600D7973" w14:textId="77777777" w:rsidR="00E35F33" w:rsidRDefault="00000000">
                  <w:pPr>
                    <w:rPr>
                      <w:sz w:val="22"/>
                      <w:szCs w:val="22"/>
                    </w:rPr>
                  </w:pPr>
                  <w:r>
                    <w:rPr>
                      <w:b w:val="0"/>
                      <w:sz w:val="22"/>
                      <w:szCs w:val="22"/>
                    </w:rPr>
                    <w:t>Cádiz</w:t>
                  </w:r>
                </w:p>
              </w:tc>
              <w:tc>
                <w:tcPr>
                  <w:tcW w:w="1902" w:type="dxa"/>
                </w:tcPr>
                <w:p w14:paraId="7FF925BD"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w:t>
                  </w:r>
                </w:p>
              </w:tc>
            </w:tr>
            <w:tr w:rsidR="00E35F33" w14:paraId="201C1745"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1EA8455A" w14:textId="77777777" w:rsidR="00E35F33" w:rsidRDefault="00000000">
                  <w:pPr>
                    <w:rPr>
                      <w:sz w:val="22"/>
                      <w:szCs w:val="22"/>
                    </w:rPr>
                  </w:pPr>
                  <w:r>
                    <w:rPr>
                      <w:b w:val="0"/>
                      <w:sz w:val="22"/>
                      <w:szCs w:val="22"/>
                    </w:rPr>
                    <w:t>Sevilla</w:t>
                  </w:r>
                </w:p>
              </w:tc>
              <w:tc>
                <w:tcPr>
                  <w:tcW w:w="1902" w:type="dxa"/>
                </w:tcPr>
                <w:p w14:paraId="38794A17"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0,3</w:t>
                  </w:r>
                </w:p>
              </w:tc>
            </w:tr>
            <w:tr w:rsidR="00E35F33" w14:paraId="74CF549A"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70B56D68" w14:textId="77777777" w:rsidR="00E35F33" w:rsidRDefault="00000000">
                  <w:pPr>
                    <w:rPr>
                      <w:sz w:val="22"/>
                      <w:szCs w:val="22"/>
                    </w:rPr>
                  </w:pPr>
                  <w:r>
                    <w:rPr>
                      <w:b w:val="0"/>
                      <w:sz w:val="22"/>
                      <w:szCs w:val="22"/>
                    </w:rPr>
                    <w:t>Vigo</w:t>
                  </w:r>
                </w:p>
              </w:tc>
              <w:tc>
                <w:tcPr>
                  <w:tcW w:w="1902" w:type="dxa"/>
                </w:tcPr>
                <w:p w14:paraId="7B332996"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w:t>
                  </w:r>
                </w:p>
              </w:tc>
            </w:tr>
            <w:tr w:rsidR="00E35F33" w14:paraId="5EDE15D4"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50ED948D" w14:textId="77777777" w:rsidR="00E35F33" w:rsidRDefault="00000000">
                  <w:pPr>
                    <w:rPr>
                      <w:sz w:val="22"/>
                      <w:szCs w:val="22"/>
                    </w:rPr>
                  </w:pPr>
                  <w:r>
                    <w:rPr>
                      <w:b w:val="0"/>
                      <w:sz w:val="22"/>
                      <w:szCs w:val="22"/>
                    </w:rPr>
                    <w:t>Tarragona</w:t>
                  </w:r>
                </w:p>
              </w:tc>
              <w:tc>
                <w:tcPr>
                  <w:tcW w:w="1902" w:type="dxa"/>
                </w:tcPr>
                <w:p w14:paraId="4568C1C2"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w:t>
                  </w:r>
                </w:p>
              </w:tc>
            </w:tr>
            <w:tr w:rsidR="00E35F33" w14:paraId="4856040B"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08F84481" w14:textId="77777777" w:rsidR="00E35F33" w:rsidRDefault="00000000">
                  <w:pPr>
                    <w:rPr>
                      <w:sz w:val="22"/>
                      <w:szCs w:val="22"/>
                    </w:rPr>
                  </w:pPr>
                  <w:r>
                    <w:rPr>
                      <w:b w:val="0"/>
                      <w:sz w:val="22"/>
                      <w:szCs w:val="22"/>
                    </w:rPr>
                    <w:t>San Sebastián</w:t>
                  </w:r>
                </w:p>
              </w:tc>
              <w:tc>
                <w:tcPr>
                  <w:tcW w:w="1902" w:type="dxa"/>
                </w:tcPr>
                <w:p w14:paraId="3768BE37"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0,0</w:t>
                  </w:r>
                </w:p>
              </w:tc>
            </w:tr>
            <w:tr w:rsidR="00E35F33" w14:paraId="04B21AF4"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26E5FF73" w14:textId="77777777" w:rsidR="00E35F33" w:rsidRDefault="00000000">
                  <w:pPr>
                    <w:rPr>
                      <w:sz w:val="22"/>
                      <w:szCs w:val="22"/>
                    </w:rPr>
                  </w:pPr>
                  <w:r>
                    <w:rPr>
                      <w:b w:val="0"/>
                      <w:sz w:val="22"/>
                      <w:szCs w:val="22"/>
                    </w:rPr>
                    <w:t>Toledo</w:t>
                  </w:r>
                </w:p>
              </w:tc>
              <w:tc>
                <w:tcPr>
                  <w:tcW w:w="1902" w:type="dxa"/>
                </w:tcPr>
                <w:p w14:paraId="6085B65E"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w:t>
                  </w:r>
                </w:p>
              </w:tc>
            </w:tr>
            <w:tr w:rsidR="00E35F33" w14:paraId="26AE5C9F"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3FC0BE35" w14:textId="77777777" w:rsidR="00E35F33" w:rsidRDefault="00000000">
                  <w:pPr>
                    <w:rPr>
                      <w:sz w:val="22"/>
                      <w:szCs w:val="22"/>
                    </w:rPr>
                  </w:pPr>
                  <w:r>
                    <w:rPr>
                      <w:b w:val="0"/>
                      <w:sz w:val="22"/>
                      <w:szCs w:val="22"/>
                    </w:rPr>
                    <w:t>Ávila</w:t>
                  </w:r>
                </w:p>
              </w:tc>
              <w:tc>
                <w:tcPr>
                  <w:tcW w:w="1902" w:type="dxa"/>
                </w:tcPr>
                <w:p w14:paraId="604DE09A"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-0,2</w:t>
                  </w:r>
                </w:p>
              </w:tc>
            </w:tr>
            <w:tr w:rsidR="00E35F33" w14:paraId="5A0AD0AC"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0A241017" w14:textId="77777777" w:rsidR="00E35F33" w:rsidRDefault="00000000">
                  <w:pPr>
                    <w:rPr>
                      <w:sz w:val="22"/>
                      <w:szCs w:val="22"/>
                    </w:rPr>
                  </w:pPr>
                  <w:r>
                    <w:rPr>
                      <w:b w:val="0"/>
                      <w:sz w:val="22"/>
                      <w:szCs w:val="22"/>
                    </w:rPr>
                    <w:t>Málaga</w:t>
                  </w:r>
                </w:p>
              </w:tc>
              <w:tc>
                <w:tcPr>
                  <w:tcW w:w="1902" w:type="dxa"/>
                </w:tcPr>
                <w:p w14:paraId="2489EB0B"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w:t>
                  </w:r>
                </w:p>
              </w:tc>
            </w:tr>
            <w:tr w:rsidR="00E35F33" w14:paraId="59858F75"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6BF441DB" w14:textId="77777777" w:rsidR="00E35F33" w:rsidRDefault="00000000">
                  <w:pPr>
                    <w:rPr>
                      <w:sz w:val="22"/>
                      <w:szCs w:val="22"/>
                    </w:rPr>
                  </w:pPr>
                  <w:r>
                    <w:rPr>
                      <w:b w:val="0"/>
                      <w:sz w:val="22"/>
                      <w:szCs w:val="22"/>
                    </w:rPr>
                    <w:t>Las Palmas</w:t>
                  </w:r>
                </w:p>
              </w:tc>
              <w:tc>
                <w:tcPr>
                  <w:tcW w:w="1902" w:type="dxa"/>
                </w:tcPr>
                <w:p w14:paraId="148F5391"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w:t>
                  </w:r>
                </w:p>
              </w:tc>
            </w:tr>
            <w:tr w:rsidR="00E35F33" w14:paraId="3ACCCE07"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73DD54AA" w14:textId="77777777" w:rsidR="00E35F33" w:rsidRDefault="00000000">
                  <w:pPr>
                    <w:rPr>
                      <w:sz w:val="22"/>
                      <w:szCs w:val="22"/>
                    </w:rPr>
                  </w:pPr>
                  <w:r>
                    <w:rPr>
                      <w:b w:val="0"/>
                      <w:sz w:val="22"/>
                      <w:szCs w:val="22"/>
                    </w:rPr>
                    <w:t>Madrid Ciudad</w:t>
                  </w:r>
                </w:p>
              </w:tc>
              <w:tc>
                <w:tcPr>
                  <w:tcW w:w="1902" w:type="dxa"/>
                </w:tcPr>
                <w:p w14:paraId="0D0603CF"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w:t>
                  </w:r>
                </w:p>
              </w:tc>
            </w:tr>
            <w:tr w:rsidR="00E35F33" w14:paraId="7D748D84"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5E08B45D" w14:textId="77777777" w:rsidR="00E35F33" w:rsidRDefault="00000000">
                  <w:pPr>
                    <w:rPr>
                      <w:sz w:val="22"/>
                      <w:szCs w:val="22"/>
                    </w:rPr>
                  </w:pPr>
                  <w:r>
                    <w:rPr>
                      <w:b w:val="0"/>
                      <w:sz w:val="22"/>
                      <w:szCs w:val="22"/>
                    </w:rPr>
                    <w:t>Pamplona</w:t>
                  </w:r>
                </w:p>
              </w:tc>
              <w:tc>
                <w:tcPr>
                  <w:tcW w:w="1902" w:type="dxa"/>
                </w:tcPr>
                <w:p w14:paraId="0EFC3B1D"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-0,6</w:t>
                  </w:r>
                </w:p>
              </w:tc>
            </w:tr>
            <w:tr w:rsidR="00E35F33" w14:paraId="7FAB3CAF"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7B65F3D1" w14:textId="77777777" w:rsidR="00E35F33" w:rsidRDefault="00000000">
                  <w:pPr>
                    <w:rPr>
                      <w:sz w:val="22"/>
                      <w:szCs w:val="22"/>
                    </w:rPr>
                  </w:pPr>
                  <w:r>
                    <w:rPr>
                      <w:b w:val="0"/>
                      <w:sz w:val="22"/>
                      <w:szCs w:val="22"/>
                    </w:rPr>
                    <w:t>Granada</w:t>
                  </w:r>
                </w:p>
              </w:tc>
              <w:tc>
                <w:tcPr>
                  <w:tcW w:w="1902" w:type="dxa"/>
                </w:tcPr>
                <w:p w14:paraId="1147844D"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-0,9</w:t>
                  </w:r>
                </w:p>
              </w:tc>
            </w:tr>
            <w:tr w:rsidR="00E35F33" w14:paraId="27A70943"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6744070C" w14:textId="77777777" w:rsidR="00E35F33" w:rsidRDefault="00000000">
                  <w:pPr>
                    <w:rPr>
                      <w:sz w:val="22"/>
                      <w:szCs w:val="22"/>
                    </w:rPr>
                  </w:pPr>
                  <w:r>
                    <w:rPr>
                      <w:b w:val="0"/>
                      <w:sz w:val="22"/>
                      <w:szCs w:val="22"/>
                    </w:rPr>
                    <w:t>Zaragoza</w:t>
                  </w:r>
                </w:p>
              </w:tc>
              <w:tc>
                <w:tcPr>
                  <w:tcW w:w="1902" w:type="dxa"/>
                </w:tcPr>
                <w:p w14:paraId="37CF52C4"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-0,9</w:t>
                  </w:r>
                </w:p>
              </w:tc>
            </w:tr>
            <w:tr w:rsidR="00E35F33" w14:paraId="2E9FE3A5"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4E1B23EF" w14:textId="77777777" w:rsidR="00E35F33" w:rsidRDefault="00000000">
                  <w:pPr>
                    <w:rPr>
                      <w:sz w:val="22"/>
                      <w:szCs w:val="22"/>
                    </w:rPr>
                  </w:pPr>
                  <w:r>
                    <w:rPr>
                      <w:b w:val="0"/>
                      <w:sz w:val="22"/>
                      <w:szCs w:val="22"/>
                    </w:rPr>
                    <w:t>Lleida</w:t>
                  </w:r>
                </w:p>
              </w:tc>
              <w:tc>
                <w:tcPr>
                  <w:tcW w:w="1902" w:type="dxa"/>
                </w:tcPr>
                <w:p w14:paraId="023E6471"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E35F33" w14:paraId="017F0971"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46ED0B4F" w14:textId="77777777" w:rsidR="00E35F33" w:rsidRDefault="00000000">
                  <w:pPr>
                    <w:rPr>
                      <w:sz w:val="22"/>
                      <w:szCs w:val="22"/>
                    </w:rPr>
                  </w:pPr>
                  <w:r>
                    <w:rPr>
                      <w:b w:val="0"/>
                      <w:sz w:val="22"/>
                      <w:szCs w:val="22"/>
                    </w:rPr>
                    <w:t>Salamanca</w:t>
                  </w:r>
                </w:p>
              </w:tc>
              <w:tc>
                <w:tcPr>
                  <w:tcW w:w="1902" w:type="dxa"/>
                </w:tcPr>
                <w:p w14:paraId="0ED7A26E"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p>
              </w:tc>
            </w:tr>
            <w:tr w:rsidR="00E35F33" w14:paraId="2457F64A"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0199DF5D" w14:textId="77777777" w:rsidR="00E35F33" w:rsidRDefault="00000000">
                  <w:pPr>
                    <w:rPr>
                      <w:sz w:val="22"/>
                      <w:szCs w:val="22"/>
                    </w:rPr>
                  </w:pPr>
                  <w:r>
                    <w:rPr>
                      <w:b w:val="0"/>
                      <w:sz w:val="22"/>
                      <w:szCs w:val="22"/>
                    </w:rPr>
                    <w:t>Badajoz</w:t>
                  </w:r>
                </w:p>
              </w:tc>
              <w:tc>
                <w:tcPr>
                  <w:tcW w:w="1902" w:type="dxa"/>
                </w:tcPr>
                <w:p w14:paraId="071AA5D1"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r>
            <w:tr w:rsidR="00E35F33" w14:paraId="39AF8021"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5D90384A" w14:textId="77777777" w:rsidR="00E35F33" w:rsidRDefault="00000000">
                  <w:pPr>
                    <w:rPr>
                      <w:sz w:val="22"/>
                      <w:szCs w:val="22"/>
                    </w:rPr>
                  </w:pPr>
                  <w:r>
                    <w:rPr>
                      <w:b w:val="0"/>
                      <w:sz w:val="22"/>
                      <w:szCs w:val="22"/>
                    </w:rPr>
                    <w:t>Bilbao</w:t>
                  </w:r>
                </w:p>
              </w:tc>
              <w:tc>
                <w:tcPr>
                  <w:tcW w:w="1902" w:type="dxa"/>
                </w:tcPr>
                <w:p w14:paraId="00CC5397"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r>
            <w:tr w:rsidR="00E35F33" w14:paraId="06CFE574"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1CD33547" w14:textId="77777777" w:rsidR="00E35F33" w:rsidRDefault="00000000">
                  <w:pPr>
                    <w:rPr>
                      <w:sz w:val="22"/>
                      <w:szCs w:val="22"/>
                    </w:rPr>
                  </w:pPr>
                  <w:r>
                    <w:rPr>
                      <w:b w:val="0"/>
                      <w:sz w:val="22"/>
                      <w:szCs w:val="22"/>
                    </w:rPr>
                    <w:t>Palencia</w:t>
                  </w:r>
                </w:p>
              </w:tc>
              <w:tc>
                <w:tcPr>
                  <w:tcW w:w="1902" w:type="dxa"/>
                </w:tcPr>
                <w:p w14:paraId="6DAFA813"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w:t>
                  </w:r>
                </w:p>
              </w:tc>
            </w:tr>
            <w:tr w:rsidR="00E35F33" w14:paraId="5AEB4EC7"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70A2530D" w14:textId="77777777" w:rsidR="00E35F33" w:rsidRDefault="00000000">
                  <w:pPr>
                    <w:rPr>
                      <w:sz w:val="22"/>
                      <w:szCs w:val="22"/>
                    </w:rPr>
                  </w:pPr>
                  <w:r>
                    <w:rPr>
                      <w:b w:val="0"/>
                      <w:sz w:val="22"/>
                      <w:szCs w:val="22"/>
                    </w:rPr>
                    <w:t>Ciudad Real</w:t>
                  </w:r>
                </w:p>
              </w:tc>
              <w:tc>
                <w:tcPr>
                  <w:tcW w:w="1902" w:type="dxa"/>
                </w:tcPr>
                <w:p w14:paraId="1E59179B"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r>
            <w:tr w:rsidR="00E35F33" w14:paraId="5F26BFBF" w14:textId="77777777" w:rsidTr="00E35F33">
              <w:trPr>
                <w:trHeight w:val="315"/>
              </w:trPr>
              <w:tc>
                <w:tcPr>
                  <w:cnfStyle w:val="001000000000" w:firstRow="0" w:lastRow="0" w:firstColumn="1" w:lastColumn="0" w:oddVBand="0" w:evenVBand="0" w:oddHBand="0" w:evenHBand="0" w:firstRowFirstColumn="0" w:firstRowLastColumn="0" w:lastRowFirstColumn="0" w:lastRowLastColumn="0"/>
                  <w:tcW w:w="1901" w:type="dxa"/>
                </w:tcPr>
                <w:p w14:paraId="103A0E59" w14:textId="77777777" w:rsidR="00E35F33" w:rsidRDefault="00000000">
                  <w:pPr>
                    <w:rPr>
                      <w:sz w:val="22"/>
                      <w:szCs w:val="22"/>
                    </w:rPr>
                  </w:pPr>
                  <w:r>
                    <w:rPr>
                      <w:b w:val="0"/>
                      <w:sz w:val="22"/>
                      <w:szCs w:val="22"/>
                    </w:rPr>
                    <w:t>Lugo</w:t>
                  </w:r>
                </w:p>
              </w:tc>
              <w:tc>
                <w:tcPr>
                  <w:tcW w:w="1902" w:type="dxa"/>
                </w:tcPr>
                <w:p w14:paraId="1E452EF2" w14:textId="77777777" w:rsidR="00E35F33" w:rsidRDefault="00000000">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-9,1</w:t>
                  </w:r>
                </w:p>
              </w:tc>
            </w:tr>
            <w:tr w:rsidR="00E35F33" w14:paraId="2AD98062" w14:textId="77777777" w:rsidTr="00E35F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1" w:type="dxa"/>
                </w:tcPr>
                <w:p w14:paraId="6C96E750" w14:textId="77777777" w:rsidR="00E35F33" w:rsidRDefault="00000000">
                  <w:pPr>
                    <w:rPr>
                      <w:sz w:val="22"/>
                      <w:szCs w:val="22"/>
                    </w:rPr>
                  </w:pPr>
                  <w:r>
                    <w:rPr>
                      <w:b w:val="0"/>
                      <w:sz w:val="22"/>
                      <w:szCs w:val="22"/>
                    </w:rPr>
                    <w:t>Teruel</w:t>
                  </w:r>
                </w:p>
              </w:tc>
              <w:tc>
                <w:tcPr>
                  <w:tcW w:w="1902" w:type="dxa"/>
                </w:tcPr>
                <w:p w14:paraId="7434DB99" w14:textId="77777777" w:rsidR="00E35F33" w:rsidRDefault="00000000">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-9,7</w:t>
                  </w:r>
                </w:p>
              </w:tc>
            </w:tr>
          </w:tbl>
          <w:p w14:paraId="751EF68E" w14:textId="77777777" w:rsidR="00E35F33" w:rsidRDefault="00E35F33">
            <w:pPr>
              <w:spacing w:before="240" w:line="276" w:lineRule="auto"/>
              <w:ind w:right="-560"/>
              <w:jc w:val="both"/>
              <w:rPr>
                <w:rFonts w:ascii="Open Sans" w:eastAsia="Open Sans" w:hAnsi="Open Sans" w:cs="Open Sans"/>
                <w:sz w:val="22"/>
                <w:szCs w:val="22"/>
              </w:rPr>
            </w:pPr>
          </w:p>
        </w:tc>
      </w:tr>
    </w:tbl>
    <w:p w14:paraId="6BECD921" w14:textId="77777777" w:rsidR="00D314BF" w:rsidRDefault="00D314BF">
      <w:pPr>
        <w:spacing w:line="276" w:lineRule="auto"/>
        <w:ind w:right="-433"/>
        <w:jc w:val="right"/>
        <w:rPr>
          <w:rFonts w:ascii="Open Sans" w:eastAsia="Open Sans" w:hAnsi="Open Sans" w:cs="Open Sans"/>
          <w:b/>
          <w:color w:val="303AB2"/>
        </w:rPr>
      </w:pPr>
    </w:p>
    <w:p w14:paraId="18DBE98E" w14:textId="77777777" w:rsidR="00D314BF" w:rsidRDefault="00D314BF">
      <w:pPr>
        <w:spacing w:line="276" w:lineRule="auto"/>
        <w:ind w:right="-433"/>
        <w:jc w:val="right"/>
        <w:rPr>
          <w:rFonts w:ascii="Open Sans" w:eastAsia="Open Sans" w:hAnsi="Open Sans" w:cs="Open Sans"/>
          <w:b/>
          <w:color w:val="303AB2"/>
        </w:rPr>
      </w:pPr>
    </w:p>
    <w:p w14:paraId="3B383661" w14:textId="77777777" w:rsidR="00D314BF" w:rsidRDefault="00D314BF">
      <w:pPr>
        <w:spacing w:line="276" w:lineRule="auto"/>
        <w:ind w:right="-433"/>
        <w:jc w:val="right"/>
        <w:rPr>
          <w:rFonts w:ascii="Open Sans" w:eastAsia="Open Sans" w:hAnsi="Open Sans" w:cs="Open Sans"/>
          <w:b/>
          <w:color w:val="303AB2"/>
        </w:rPr>
      </w:pPr>
    </w:p>
    <w:p w14:paraId="4AC40FD2" w14:textId="77777777" w:rsidR="00D314BF" w:rsidRDefault="00D314BF">
      <w:pPr>
        <w:spacing w:line="276" w:lineRule="auto"/>
        <w:ind w:right="-433"/>
        <w:jc w:val="right"/>
        <w:rPr>
          <w:rFonts w:ascii="Open Sans" w:eastAsia="Open Sans" w:hAnsi="Open Sans" w:cs="Open Sans"/>
          <w:b/>
          <w:color w:val="303AB2"/>
        </w:rPr>
      </w:pPr>
    </w:p>
    <w:p w14:paraId="331DCBDE" w14:textId="77777777" w:rsidR="00D314BF" w:rsidRDefault="00D314BF">
      <w:pPr>
        <w:spacing w:line="276" w:lineRule="auto"/>
        <w:ind w:right="-433"/>
        <w:jc w:val="right"/>
        <w:rPr>
          <w:rFonts w:ascii="Open Sans" w:eastAsia="Open Sans" w:hAnsi="Open Sans" w:cs="Open Sans"/>
          <w:b/>
          <w:color w:val="303AB2"/>
        </w:rPr>
      </w:pPr>
    </w:p>
    <w:p w14:paraId="67C62B08" w14:textId="77777777" w:rsidR="00D314BF" w:rsidRDefault="00D314BF">
      <w:pPr>
        <w:spacing w:line="276" w:lineRule="auto"/>
        <w:ind w:right="-433"/>
        <w:jc w:val="right"/>
        <w:rPr>
          <w:rFonts w:ascii="Open Sans" w:eastAsia="Open Sans" w:hAnsi="Open Sans" w:cs="Open Sans"/>
          <w:b/>
          <w:color w:val="303AB2"/>
        </w:rPr>
      </w:pPr>
    </w:p>
    <w:p w14:paraId="682A274C" w14:textId="1922D15A" w:rsidR="00E35F33"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lastRenderedPageBreak/>
        <w:t>Sobre DataVenues</w:t>
      </w:r>
    </w:p>
    <w:p w14:paraId="34327F74" w14:textId="2C31D2B3" w:rsidR="00E35F33" w:rsidRDefault="00E35F33">
      <w:pPr>
        <w:shd w:val="clear" w:color="auto" w:fill="FFFFFF"/>
        <w:spacing w:before="280" w:after="280" w:line="276" w:lineRule="auto"/>
        <w:ind w:right="-433"/>
        <w:jc w:val="both"/>
        <w:rPr>
          <w:rFonts w:ascii="Open Sans" w:eastAsia="Open Sans" w:hAnsi="Open Sans" w:cs="Open Sans"/>
          <w:sz w:val="22"/>
          <w:szCs w:val="22"/>
        </w:rPr>
      </w:pPr>
      <w:hyperlink r:id="rId17">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18">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DataVenues incluye datos propios del portal además de datos de catastro y Google Maps y permite realizar análisis de mercado de cada zona, con datos reales y actualizados de ofertas y demanda. Es una herramienta imprescindible para captar y valorar la cartera inmobiliaria y pone el Big Data al alcance de los profesionales inmobiliarios. </w:t>
      </w:r>
    </w:p>
    <w:p w14:paraId="5AF00854" w14:textId="77777777" w:rsidR="003C6FF3" w:rsidRDefault="003C6FF3">
      <w:pPr>
        <w:shd w:val="clear" w:color="auto" w:fill="FFFFFF"/>
        <w:spacing w:before="280" w:after="280" w:line="276" w:lineRule="auto"/>
        <w:ind w:right="-433"/>
        <w:jc w:val="both"/>
        <w:rPr>
          <w:rFonts w:ascii="Open Sans" w:eastAsia="Open Sans" w:hAnsi="Open Sans" w:cs="Open Sans"/>
          <w:sz w:val="22"/>
          <w:szCs w:val="22"/>
        </w:rPr>
      </w:pPr>
    </w:p>
    <w:p w14:paraId="10504DC0" w14:textId="77777777" w:rsidR="00E35F33" w:rsidRDefault="00E35F33">
      <w:pPr>
        <w:spacing w:line="276" w:lineRule="auto"/>
        <w:jc w:val="right"/>
        <w:rPr>
          <w:rFonts w:ascii="Open Sans" w:eastAsia="Open Sans" w:hAnsi="Open Sans" w:cs="Open Sans"/>
          <w:b/>
          <w:color w:val="303AB2"/>
        </w:rPr>
      </w:pPr>
    </w:p>
    <w:p w14:paraId="73C37299" w14:textId="77777777" w:rsidR="00E35F33"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Sobre Fotocasa</w:t>
      </w:r>
    </w:p>
    <w:p w14:paraId="2C104C19" w14:textId="77777777" w:rsidR="00E35F33"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sidR="00E35F33">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20">
        <w:r w:rsidR="00E35F33">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08441FF2" w14:textId="77777777" w:rsidR="00E35F33" w:rsidRDefault="00000000">
      <w:pPr>
        <w:shd w:val="clear" w:color="auto" w:fill="FFFFFF"/>
        <w:spacing w:before="280" w:after="280" w:line="276" w:lineRule="auto"/>
        <w:ind w:right="-433"/>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fldChar w:fldCharType="end"/>
      </w:r>
      <w:r>
        <w:rPr>
          <w:rFonts w:ascii="Open Sans" w:eastAsia="Open Sans" w:hAnsi="Open Sans" w:cs="Open Sans"/>
          <w:sz w:val="22"/>
          <w:szCs w:val="22"/>
        </w:rPr>
        <w:t> pertenece a </w:t>
      </w:r>
      <w:hyperlink r:id="rId21">
        <w:r w:rsidR="00E35F33">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388A379E" w14:textId="77777777" w:rsidR="00E35F33" w:rsidRDefault="00E35F33">
      <w:pPr>
        <w:shd w:val="clear" w:color="auto" w:fill="FFFFFF"/>
        <w:spacing w:before="280" w:after="280" w:line="276" w:lineRule="auto"/>
        <w:ind w:right="-433"/>
        <w:jc w:val="both"/>
        <w:rPr>
          <w:rFonts w:ascii="Open Sans" w:eastAsia="Open Sans" w:hAnsi="Open Sans" w:cs="Open Sans"/>
          <w:sz w:val="22"/>
          <w:szCs w:val="22"/>
        </w:rPr>
      </w:pPr>
      <w:hyperlink r:id="rId22">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643BD03E" w14:textId="77777777" w:rsidR="003C6FF3" w:rsidRDefault="003C6FF3">
      <w:pPr>
        <w:spacing w:line="276" w:lineRule="auto"/>
        <w:ind w:right="-142"/>
        <w:jc w:val="right"/>
        <w:rPr>
          <w:rFonts w:ascii="Open Sans" w:eastAsia="Open Sans" w:hAnsi="Open Sans" w:cs="Open Sans"/>
          <w:b/>
          <w:color w:val="303AB2"/>
        </w:rPr>
      </w:pPr>
    </w:p>
    <w:p w14:paraId="298484C9" w14:textId="19301254" w:rsidR="00E35F33" w:rsidRDefault="00000000" w:rsidP="003C6FF3">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Sobre Adevinta</w:t>
      </w:r>
    </w:p>
    <w:p w14:paraId="5BE6EB6F" w14:textId="77777777" w:rsidR="00E35F33" w:rsidRDefault="00000000" w:rsidP="003C6FF3">
      <w:pPr>
        <w:spacing w:before="143" w:after="200"/>
        <w:ind w:right="-433"/>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23">
        <w:r w:rsidR="00E35F33">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sidR="00E35F33">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5">
        <w:r w:rsidR="00E35F33">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6">
        <w:r w:rsidR="00E35F33">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sidR="00E35F33">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8">
        <w:r w:rsidR="00E35F33">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44E2E80D" w14:textId="77777777" w:rsidR="00E35F33" w:rsidRDefault="00000000" w:rsidP="003C6FF3">
      <w:pPr>
        <w:spacing w:before="143" w:after="200"/>
        <w:ind w:right="-433"/>
        <w:jc w:val="both"/>
        <w:rPr>
          <w:rFonts w:ascii="Open Sans" w:eastAsia="Open Sans" w:hAnsi="Open Sans" w:cs="Open Sans"/>
          <w:sz w:val="22"/>
          <w:szCs w:val="22"/>
        </w:rPr>
      </w:pPr>
      <w:r>
        <w:rPr>
          <w:rFonts w:ascii="Open Sans" w:eastAsia="Open Sans" w:hAnsi="Open Sans" w:cs="Open Sans"/>
          <w:sz w:val="22"/>
          <w:szCs w:val="22"/>
        </w:rPr>
        <w:lastRenderedPageBreak/>
        <w:t>Los negocios de Adevinta han evolucionado del papel al online a lo largo de más de 40 años de trayectoria en España, convirtiéndose en referentes de Internet. Con sede en Barcelona, la compañía cuenta con una plantilla comprometida con fomentar un cambio positivo en el mundo a través de tecnología innovadora, otorgando una nueva oportunidad a quienes la están buscando y dando a las cosas una segunda vida.</w:t>
      </w:r>
    </w:p>
    <w:p w14:paraId="4FED15AF" w14:textId="77777777" w:rsidR="00E35F33" w:rsidRDefault="00000000" w:rsidP="003C6FF3">
      <w:pPr>
        <w:spacing w:before="143" w:after="200"/>
        <w:ind w:right="-433"/>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5565C80B" w14:textId="77777777" w:rsidR="00E35F33" w:rsidRDefault="00000000" w:rsidP="003C6FF3">
      <w:pPr>
        <w:spacing w:before="143" w:after="200"/>
        <w:ind w:right="-433"/>
        <w:jc w:val="both"/>
        <w:rPr>
          <w:rFonts w:ascii="Open Sans" w:eastAsia="Open Sans" w:hAnsi="Open Sans" w:cs="Open Sans"/>
        </w:rPr>
      </w:pPr>
      <w:r>
        <w:rPr>
          <w:rFonts w:ascii="Open Sans" w:eastAsia="Open Sans" w:hAnsi="Open Sans" w:cs="Open Sans"/>
          <w:sz w:val="22"/>
          <w:szCs w:val="22"/>
        </w:rPr>
        <w:t xml:space="preserve">Más información en </w:t>
      </w:r>
      <w:hyperlink r:id="rId29">
        <w:r w:rsidR="00E35F33">
          <w:rPr>
            <w:rFonts w:ascii="Open Sans" w:eastAsia="Open Sans" w:hAnsi="Open Sans" w:cs="Open Sans"/>
            <w:color w:val="1155CC"/>
            <w:sz w:val="22"/>
            <w:szCs w:val="22"/>
            <w:u w:val="single"/>
          </w:rPr>
          <w:t>adevinta.es</w:t>
        </w:r>
      </w:hyperlink>
    </w:p>
    <w:p w14:paraId="3CB8364C" w14:textId="77777777" w:rsidR="00E35F33" w:rsidRDefault="00E35F33">
      <w:pPr>
        <w:spacing w:line="276" w:lineRule="auto"/>
        <w:ind w:right="-142"/>
        <w:jc w:val="right"/>
        <w:rPr>
          <w:rFonts w:ascii="Open Sans" w:eastAsia="Open Sans" w:hAnsi="Open Sans" w:cs="Open Sans"/>
        </w:rPr>
      </w:pPr>
    </w:p>
    <w:p w14:paraId="0207D575" w14:textId="77777777" w:rsidR="00E35F33" w:rsidRDefault="00000000">
      <w:pPr>
        <w:spacing w:line="276" w:lineRule="auto"/>
        <w:ind w:right="-142"/>
        <w:rPr>
          <w:rFonts w:ascii="Open Sans" w:eastAsia="Open Sans" w:hAnsi="Open Sans" w:cs="Open Sans"/>
          <w:b/>
          <w:color w:val="303AB2"/>
          <w:sz w:val="22"/>
          <w:szCs w:val="22"/>
        </w:rPr>
      </w:pPr>
      <w:r>
        <w:rPr>
          <w:rFonts w:ascii="Open Sans" w:eastAsia="Open Sans" w:hAnsi="Open Sans" w:cs="Open Sans"/>
          <w:b/>
          <w:color w:val="303AB2"/>
          <w:sz w:val="22"/>
          <w:szCs w:val="22"/>
        </w:rPr>
        <w:t>Departamento Comunicación Fotocasa</w:t>
      </w:r>
    </w:p>
    <w:p w14:paraId="0194A6CD" w14:textId="77777777" w:rsidR="00E35F33" w:rsidRDefault="00000000">
      <w:pPr>
        <w:shd w:val="clear" w:color="auto" w:fill="FFFFFF"/>
        <w:spacing w:line="276" w:lineRule="auto"/>
        <w:ind w:right="-142"/>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ECFA9EB" w14:textId="77777777" w:rsidR="00E35F33" w:rsidRDefault="00E35F33">
      <w:pPr>
        <w:shd w:val="clear" w:color="auto" w:fill="FFFFFF"/>
        <w:spacing w:line="276" w:lineRule="auto"/>
        <w:ind w:right="-142"/>
        <w:rPr>
          <w:rFonts w:ascii="Open Sans" w:eastAsia="Open Sans" w:hAnsi="Open Sans" w:cs="Open Sans"/>
          <w:color w:val="0000FF"/>
          <w:sz w:val="22"/>
          <w:szCs w:val="22"/>
          <w:u w:val="single"/>
        </w:rPr>
      </w:pPr>
      <w:hyperlink r:id="rId30">
        <w:r>
          <w:rPr>
            <w:rFonts w:ascii="Open Sans" w:eastAsia="Open Sans" w:hAnsi="Open Sans" w:cs="Open Sans"/>
            <w:color w:val="0000FF"/>
            <w:sz w:val="22"/>
            <w:szCs w:val="22"/>
            <w:u w:val="single"/>
          </w:rPr>
          <w:t>comunicacion@fotocasa.es</w:t>
        </w:r>
      </w:hyperlink>
    </w:p>
    <w:p w14:paraId="3FB6639F" w14:textId="77777777" w:rsidR="00E35F33" w:rsidRDefault="00000000">
      <w:pPr>
        <w:shd w:val="clear" w:color="auto" w:fill="FFFFFF"/>
        <w:spacing w:line="276" w:lineRule="auto"/>
        <w:ind w:right="-142"/>
        <w:rPr>
          <w:rFonts w:ascii="Open Sans" w:eastAsia="Open Sans" w:hAnsi="Open Sans" w:cs="Open Sans"/>
          <w:sz w:val="22"/>
          <w:szCs w:val="22"/>
        </w:rPr>
      </w:pPr>
      <w:r>
        <w:rPr>
          <w:rFonts w:ascii="Open Sans" w:eastAsia="Open Sans" w:hAnsi="Open Sans" w:cs="Open Sans"/>
          <w:color w:val="000000"/>
          <w:sz w:val="22"/>
          <w:szCs w:val="22"/>
        </w:rPr>
        <w:t>620 66 29 26</w:t>
      </w:r>
    </w:p>
    <w:sectPr w:rsidR="00E35F33">
      <w:headerReference w:type="default" r:id="rId31"/>
      <w:footerReference w:type="default" r:id="rId32"/>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4F88A" w14:textId="77777777" w:rsidR="000F51A6" w:rsidRDefault="000F51A6">
      <w:r>
        <w:separator/>
      </w:r>
    </w:p>
  </w:endnote>
  <w:endnote w:type="continuationSeparator" w:id="0">
    <w:p w14:paraId="77327318" w14:textId="77777777" w:rsidR="000F51A6" w:rsidRDefault="000F5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2BBB6A2-A60E-4817-9ECB-A5B48A32A94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1D3192A-1A1E-420D-B178-648BBE7DD155}"/>
    <w:embedBold r:id="rId3" w:fontKey="{535EFFE5-205C-4A38-A83C-E0C73F0F2ABA}"/>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8E139829-6A4F-41E0-A38B-DE7FF8465E1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1B8A1C0-2F4F-43E6-84CB-98A4D6798CDB}"/>
    <w:embedItalic r:id="rId6" w:fontKey="{3C54F109-802D-4025-AE75-491D3A9E6EE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8C38427-E922-4F59-8CB7-4BF2A968D665}"/>
    <w:embedBold r:id="rId8" w:fontKey="{1D527491-2ED7-4B94-8A8B-C6CA5D48698D}"/>
    <w:embedItalic r:id="rId9" w:fontKey="{0167D510-B6B3-4844-8BE1-E0F676BFA84F}"/>
  </w:font>
  <w:font w:name="Calibri Light">
    <w:panose1 w:val="020F0302020204030204"/>
    <w:charset w:val="00"/>
    <w:family w:val="swiss"/>
    <w:pitch w:val="variable"/>
    <w:sig w:usb0="E4002EFF" w:usb1="C000247B" w:usb2="00000009" w:usb3="00000000" w:csb0="000001FF" w:csb1="00000000"/>
    <w:embedRegular r:id="rId10" w:fontKey="{69E155AE-7330-43DA-89C4-8A6DF29BC7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3DFA" w14:textId="77777777" w:rsidR="00E35F3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6A626927" wp14:editId="41EBC444">
          <wp:simplePos x="0" y="0"/>
          <wp:positionH relativeFrom="page">
            <wp:align>right</wp:align>
          </wp:positionH>
          <wp:positionV relativeFrom="paragraph">
            <wp:posOffset>294640</wp:posOffset>
          </wp:positionV>
          <wp:extent cx="7670550" cy="451315"/>
          <wp:effectExtent l="0" t="0" r="0" b="6350"/>
          <wp:wrapSquare wrapText="bothSides" distT="0" distB="0" distL="0" distR="0"/>
          <wp:docPr id="11986188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988DD" w14:textId="77777777" w:rsidR="000F51A6" w:rsidRDefault="000F51A6">
      <w:r>
        <w:separator/>
      </w:r>
    </w:p>
  </w:footnote>
  <w:footnote w:type="continuationSeparator" w:id="0">
    <w:p w14:paraId="24AE940F" w14:textId="77777777" w:rsidR="000F51A6" w:rsidRDefault="000F5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9AB4C" w14:textId="38974FF0" w:rsidR="00D314BF" w:rsidRDefault="00D314BF">
    <w:pPr>
      <w:pStyle w:val="Encabezado"/>
    </w:pPr>
    <w:r>
      <w:rPr>
        <w:noProof/>
      </w:rPr>
      <w:drawing>
        <wp:anchor distT="0" distB="0" distL="114300" distR="114300" simplePos="0" relativeHeight="251662336" behindDoc="1" locked="0" layoutInCell="1" hidden="0" allowOverlap="1" wp14:anchorId="4C0DBB20" wp14:editId="346DC5ED">
          <wp:simplePos x="0" y="0"/>
          <wp:positionH relativeFrom="column">
            <wp:posOffset>3903345</wp:posOffset>
          </wp:positionH>
          <wp:positionV relativeFrom="paragraph">
            <wp:posOffset>-33020</wp:posOffset>
          </wp:positionV>
          <wp:extent cx="2352040" cy="895350"/>
          <wp:effectExtent l="0" t="0" r="0" b="0"/>
          <wp:wrapTight wrapText="bothSides">
            <wp:wrapPolygon edited="0">
              <wp:start x="0" y="0"/>
              <wp:lineTo x="0" y="21140"/>
              <wp:lineTo x="21343" y="21140"/>
              <wp:lineTo x="21343" y="0"/>
              <wp:lineTo x="0" y="0"/>
            </wp:wrapPolygon>
          </wp:wrapTight>
          <wp:docPr id="1198618802" name="image3.pn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198618802" name="image3.png" descr="Un dibujo de una cara feliz&#10;&#10;El contenido generado por IA puede ser incorrecto."/>
                  <pic:cNvPicPr preferRelativeResize="0"/>
                </pic:nvPicPr>
                <pic:blipFill>
                  <a:blip r:embed="rId1"/>
                  <a:srcRect/>
                  <a:stretch>
                    <a:fillRect/>
                  </a:stretch>
                </pic:blipFill>
                <pic:spPr>
                  <a:xfrm>
                    <a:off x="0" y="0"/>
                    <a:ext cx="2352040" cy="895350"/>
                  </a:xfrm>
                  <a:prstGeom prst="rect">
                    <a:avLst/>
                  </a:prstGeom>
                  <a:ln/>
                </pic:spPr>
              </pic:pic>
            </a:graphicData>
          </a:graphic>
          <wp14:sizeRelV relativeFrom="margin">
            <wp14:pctHeight>0</wp14:pctHeight>
          </wp14:sizeRelV>
        </wp:anchor>
      </w:drawing>
    </w:r>
    <w:r>
      <w:rPr>
        <w:noProof/>
      </w:rPr>
      <w:drawing>
        <wp:anchor distT="0" distB="0" distL="114300" distR="114300" simplePos="0" relativeHeight="251660288" behindDoc="0" locked="0" layoutInCell="1" hidden="0" allowOverlap="1" wp14:anchorId="6A485090" wp14:editId="14AD4B28">
          <wp:simplePos x="0" y="0"/>
          <wp:positionH relativeFrom="column">
            <wp:posOffset>-1234440</wp:posOffset>
          </wp:positionH>
          <wp:positionV relativeFrom="paragraph">
            <wp:posOffset>-239395</wp:posOffset>
          </wp:positionV>
          <wp:extent cx="2939415" cy="1019175"/>
          <wp:effectExtent l="0" t="0" r="0" b="0"/>
          <wp:wrapNone/>
          <wp:docPr id="1198618801"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198618801" name="image2.png" descr="Patrón de fondo&#10;&#10;El contenido generado por IA puede ser incorrecto."/>
                  <pic:cNvPicPr preferRelativeResize="0"/>
                </pic:nvPicPr>
                <pic:blipFill>
                  <a:blip r:embed="rId2"/>
                  <a:srcRect l="-1337" r="62569"/>
                  <a:stretch>
                    <a:fillRect/>
                  </a:stretch>
                </pic:blipFill>
                <pic:spPr>
                  <a:xfrm>
                    <a:off x="0" y="0"/>
                    <a:ext cx="2939415" cy="1019175"/>
                  </a:xfrm>
                  <a:prstGeom prst="rect">
                    <a:avLst/>
                  </a:prstGeom>
                  <a:ln/>
                </pic:spPr>
              </pic:pic>
            </a:graphicData>
          </a:graphic>
        </wp:anchor>
      </w:drawing>
    </w:r>
  </w:p>
  <w:p w14:paraId="45D6F1A2" w14:textId="1BB0469C" w:rsidR="00D314BF" w:rsidRDefault="00D314BF">
    <w:pPr>
      <w:pStyle w:val="Encabezado"/>
    </w:pPr>
  </w:p>
  <w:p w14:paraId="4F872BCD" w14:textId="604D2923" w:rsidR="00D314BF" w:rsidRDefault="00D314BF">
    <w:pPr>
      <w:pStyle w:val="Encabezado"/>
    </w:pPr>
  </w:p>
  <w:p w14:paraId="40B2702B" w14:textId="7FAE1CFF" w:rsidR="00D314BF" w:rsidRDefault="00D314BF">
    <w:pPr>
      <w:pStyle w:val="Encabezado"/>
    </w:pPr>
  </w:p>
  <w:p w14:paraId="39A87565" w14:textId="77777777" w:rsidR="00D314BF" w:rsidRDefault="00D314BF">
    <w:pPr>
      <w:pStyle w:val="Encabezado"/>
    </w:pPr>
  </w:p>
  <w:p w14:paraId="05B6C1E6" w14:textId="3BAB6039" w:rsidR="00D314BF" w:rsidRDefault="00D314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95958"/>
    <w:multiLevelType w:val="multilevel"/>
    <w:tmpl w:val="7ADA5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6650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F33"/>
    <w:rsid w:val="000F51A6"/>
    <w:rsid w:val="0012566D"/>
    <w:rsid w:val="002F13FF"/>
    <w:rsid w:val="003C6FF3"/>
    <w:rsid w:val="003E52DD"/>
    <w:rsid w:val="004C29EE"/>
    <w:rsid w:val="00536730"/>
    <w:rsid w:val="00571870"/>
    <w:rsid w:val="005C1A9C"/>
    <w:rsid w:val="007946B6"/>
    <w:rsid w:val="00846DAD"/>
    <w:rsid w:val="008D4EDB"/>
    <w:rsid w:val="009D12DD"/>
    <w:rsid w:val="009F6C52"/>
    <w:rsid w:val="00A65A9C"/>
    <w:rsid w:val="00BF68C7"/>
    <w:rsid w:val="00C46119"/>
    <w:rsid w:val="00C84207"/>
    <w:rsid w:val="00D314BF"/>
    <w:rsid w:val="00E35F33"/>
    <w:rsid w:val="00F55F17"/>
    <w:rsid w:val="00FD02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4273"/>
  <w15:docId w15:val="{E5442216-DC59-4E7A-8FBF-34D8D51BC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D4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5"/>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5"/>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
    <w:name w:val="Table Grid"/>
    <w:basedOn w:val="Tablanormal"/>
    <w:uiPriority w:val="39"/>
    <w:rsid w:val="006E2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6E2E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0"/>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atavenues.com/" TargetMode="External"/><Relationship Id="rId18" Type="http://schemas.openxmlformats.org/officeDocument/2006/relationships/hyperlink" Target="https://datavenues.com/" TargetMode="External"/><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s://www.adevinta.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datavenues.com/" TargetMode="External"/><Relationship Id="rId25" Type="http://schemas.openxmlformats.org/officeDocument/2006/relationships/hyperlink" Target="https://www.infojobs.n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prensa.fotocasa.es" TargetMode="External"/><Relationship Id="rId29"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www.habitaclia.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www.fotocasa.es/es/" TargetMode="External"/><Relationship Id="rId28" Type="http://schemas.openxmlformats.org/officeDocument/2006/relationships/hyperlink" Target="https://www.milanuncios.com/" TargetMode="External"/><Relationship Id="rId10" Type="http://schemas.openxmlformats.org/officeDocument/2006/relationships/hyperlink" Target="https://www.fotocasa.es" TargetMode="External"/><Relationship Id="rId19" Type="http://schemas.openxmlformats.org/officeDocument/2006/relationships/hyperlink" Target="https://www.fotocasa.es/indic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atavenues.com/" TargetMode="External"/><Relationship Id="rId14" Type="http://schemas.openxmlformats.org/officeDocument/2006/relationships/chart" Target="charts/chart1.xml"/><Relationship Id="rId22" Type="http://schemas.openxmlformats.org/officeDocument/2006/relationships/hyperlink" Target="https://www.fotocasa.es/es/quienes-somos/" TargetMode="External"/><Relationship Id="rId27" Type="http://schemas.openxmlformats.org/officeDocument/2006/relationships/hyperlink" Target="https://motos.coches.net/" TargetMode="External"/><Relationship Id="rId30" Type="http://schemas.openxmlformats.org/officeDocument/2006/relationships/hyperlink" Target="mailto:comunicacion@fotocasa.es" TargetMode="External"/><Relationship Id="rId8" Type="http://schemas.openxmlformats.org/officeDocument/2006/relationships/hyperlink" Target="https://www.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torn\OneDrive\Documents\Projectes\2025\250407_Q2%20SmartPrice\Compra\results_city_2025_apri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torn\OneDrive\Documents\Projectes\2025\250407_Q2%20SmartPrice\Compra\results_city_2025_apri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flip="none" rotWithShape="1">
              <a:gsLst>
                <a:gs pos="0">
                  <a:srgbClr val="F7316A"/>
                </a:gs>
                <a:gs pos="51000">
                  <a:srgbClr val="F7316A"/>
                </a:gs>
                <a:gs pos="100000">
                  <a:srgbClr val="F731B5">
                    <a:tint val="23500"/>
                    <a:satMod val="160000"/>
                  </a:srgbClr>
                </a:gs>
              </a:gsLst>
              <a:lin ang="16200000" scaled="1"/>
              <a:tileRect/>
            </a:gradFill>
            <a:ln>
              <a:noFill/>
            </a:ln>
            <a:effectLst/>
          </c:spPr>
          <c:invertIfNegative val="0"/>
          <c:cat>
            <c:strRef>
              <c:f>forecast!$G$16385:$G$16475</c:f>
              <c:strCache>
                <c:ptCount val="15"/>
                <c:pt idx="0">
                  <c:v>Ávila</c:v>
                </c:pt>
                <c:pt idx="1">
                  <c:v>Málaga</c:v>
                </c:pt>
                <c:pt idx="2">
                  <c:v>Las Palmas de G. C.</c:v>
                </c:pt>
                <c:pt idx="3">
                  <c:v>Madrid Ciudad</c:v>
                </c:pt>
                <c:pt idx="4">
                  <c:v>Pamplona</c:v>
                </c:pt>
                <c:pt idx="5">
                  <c:v>Granada</c:v>
                </c:pt>
                <c:pt idx="6">
                  <c:v>Zaragoza</c:v>
                </c:pt>
                <c:pt idx="7">
                  <c:v>Lleida</c:v>
                </c:pt>
                <c:pt idx="8">
                  <c:v>Salamanca</c:v>
                </c:pt>
                <c:pt idx="9">
                  <c:v>Badajoz</c:v>
                </c:pt>
                <c:pt idx="10">
                  <c:v>Bilbao</c:v>
                </c:pt>
                <c:pt idx="11">
                  <c:v>Palencia</c:v>
                </c:pt>
                <c:pt idx="12">
                  <c:v>Ciudad Real</c:v>
                </c:pt>
                <c:pt idx="13">
                  <c:v>Lugo</c:v>
                </c:pt>
                <c:pt idx="14">
                  <c:v>Teruel</c:v>
                </c:pt>
              </c:strCache>
            </c:strRef>
          </c:cat>
          <c:val>
            <c:numRef>
              <c:f>forecast!$O$16385:$O$16475</c:f>
              <c:numCache>
                <c:formatCode>0.0</c:formatCode>
                <c:ptCount val="15"/>
                <c:pt idx="0">
                  <c:v>-0.2</c:v>
                </c:pt>
                <c:pt idx="1">
                  <c:v>-0.23</c:v>
                </c:pt>
                <c:pt idx="2">
                  <c:v>-0.25</c:v>
                </c:pt>
                <c:pt idx="3">
                  <c:v>-0.42</c:v>
                </c:pt>
                <c:pt idx="4">
                  <c:v>-0.59</c:v>
                </c:pt>
                <c:pt idx="5">
                  <c:v>-0.86</c:v>
                </c:pt>
                <c:pt idx="6">
                  <c:v>-0.91</c:v>
                </c:pt>
                <c:pt idx="7">
                  <c:v>-1.19</c:v>
                </c:pt>
                <c:pt idx="8">
                  <c:v>-1.29</c:v>
                </c:pt>
                <c:pt idx="9">
                  <c:v>-1.75</c:v>
                </c:pt>
                <c:pt idx="10">
                  <c:v>-2.4700000000000002</c:v>
                </c:pt>
                <c:pt idx="11">
                  <c:v>-3.33</c:v>
                </c:pt>
                <c:pt idx="12">
                  <c:v>-3.63</c:v>
                </c:pt>
                <c:pt idx="13">
                  <c:v>-9.06</c:v>
                </c:pt>
                <c:pt idx="14">
                  <c:v>-9.69</c:v>
                </c:pt>
              </c:numCache>
            </c:numRef>
          </c:val>
          <c:extLst>
            <c:ext xmlns:c16="http://schemas.microsoft.com/office/drawing/2014/chart" uri="{C3380CC4-5D6E-409C-BE32-E72D297353CC}">
              <c16:uniqueId val="{00000000-A4EC-4F77-95B6-406E2DDB396C}"/>
            </c:ext>
          </c:extLst>
        </c:ser>
        <c:dLbls>
          <c:showLegendKey val="0"/>
          <c:showVal val="0"/>
          <c:showCatName val="0"/>
          <c:showSerName val="0"/>
          <c:showPercent val="0"/>
          <c:showBubbleSize val="0"/>
        </c:dLbls>
        <c:gapWidth val="219"/>
        <c:overlap val="-27"/>
        <c:axId val="1671421999"/>
        <c:axId val="1671408079"/>
      </c:barChart>
      <c:catAx>
        <c:axId val="1671421999"/>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s-ES"/>
          </a:p>
        </c:txPr>
        <c:crossAx val="1671408079"/>
        <c:crosses val="autoZero"/>
        <c:auto val="1"/>
        <c:lblAlgn val="ctr"/>
        <c:lblOffset val="50"/>
        <c:tickLblSkip val="1"/>
        <c:noMultiLvlLbl val="0"/>
      </c:catAx>
      <c:valAx>
        <c:axId val="1671408079"/>
        <c:scaling>
          <c:orientation val="minMax"/>
          <c:min val="-10"/>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ES"/>
          </a:p>
        </c:txPr>
        <c:crossAx val="167142199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wordArtVertRtl" anchor="ctr" anchorCtr="1"/>
    <a:lstStyle/>
    <a:p>
      <a:pPr>
        <a:defRPr>
          <a:ln>
            <a:noFill/>
          </a:ln>
          <a:solidFill>
            <a:schemeClr val="tx1"/>
          </a:solidFill>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209190435353999E-2"/>
          <c:y val="3.232322820988108E-2"/>
          <c:w val="0.929817683680629"/>
          <c:h val="0.6581541196972408"/>
        </c:manualLayout>
      </c:layout>
      <c:barChart>
        <c:barDir val="col"/>
        <c:grouping val="clustered"/>
        <c:varyColors val="0"/>
        <c:ser>
          <c:idx val="0"/>
          <c:order val="0"/>
          <c:spPr>
            <a:gradFill flip="none" rotWithShape="1">
              <a:gsLst>
                <a:gs pos="0">
                  <a:srgbClr val="002060"/>
                </a:gs>
                <a:gs pos="88000">
                  <a:schemeClr val="accent1">
                    <a:tint val="44500"/>
                    <a:satMod val="160000"/>
                  </a:schemeClr>
                </a:gs>
                <a:gs pos="100000">
                  <a:schemeClr val="accent1">
                    <a:tint val="23500"/>
                    <a:satMod val="160000"/>
                  </a:schemeClr>
                </a:gs>
              </a:gsLst>
              <a:lin ang="5400000" scaled="1"/>
              <a:tileRect/>
            </a:gradFill>
            <a:ln>
              <a:noFill/>
            </a:ln>
            <a:effectLst/>
          </c:spPr>
          <c:invertIfNegative val="0"/>
          <c:cat>
            <c:strRef>
              <c:f>forecast!$G$16151:$G$16378</c:f>
              <c:strCache>
                <c:ptCount val="33"/>
                <c:pt idx="0">
                  <c:v>Valladolid</c:v>
                </c:pt>
                <c:pt idx="1">
                  <c:v>Soria</c:v>
                </c:pt>
                <c:pt idx="2">
                  <c:v>Burgos</c:v>
                </c:pt>
                <c:pt idx="3">
                  <c:v>Oviedo</c:v>
                </c:pt>
                <c:pt idx="4">
                  <c:v>Almería</c:v>
                </c:pt>
                <c:pt idx="5">
                  <c:v>Guadalajara</c:v>
                </c:pt>
                <c:pt idx="6">
                  <c:v>Valencia</c:v>
                </c:pt>
                <c:pt idx="7">
                  <c:v>Albacete</c:v>
                </c:pt>
                <c:pt idx="8">
                  <c:v>Girona</c:v>
                </c:pt>
                <c:pt idx="9">
                  <c:v>La Coruña</c:v>
                </c:pt>
                <c:pt idx="10">
                  <c:v>Huelva</c:v>
                </c:pt>
                <c:pt idx="11">
                  <c:v>Pontevedra</c:v>
                </c:pt>
                <c:pt idx="12">
                  <c:v>Castellón</c:v>
                </c:pt>
                <c:pt idx="13">
                  <c:v>Murcia</c:v>
                </c:pt>
                <c:pt idx="14">
                  <c:v>Orense</c:v>
                </c:pt>
                <c:pt idx="15">
                  <c:v>Palma</c:v>
                </c:pt>
                <c:pt idx="16">
                  <c:v>Barcelona</c:v>
                </c:pt>
                <c:pt idx="17">
                  <c:v>León</c:v>
                </c:pt>
                <c:pt idx="18">
                  <c:v>Segovia</c:v>
                </c:pt>
                <c:pt idx="19">
                  <c:v>Vitoria</c:v>
                </c:pt>
                <c:pt idx="20">
                  <c:v>Zamora</c:v>
                </c:pt>
                <c:pt idx="21">
                  <c:v>Cuenca</c:v>
                </c:pt>
                <c:pt idx="22">
                  <c:v>Córdoba</c:v>
                </c:pt>
                <c:pt idx="23">
                  <c:v>Huesca</c:v>
                </c:pt>
                <c:pt idx="24">
                  <c:v>Alicante</c:v>
                </c:pt>
                <c:pt idx="25">
                  <c:v>Logroño</c:v>
                </c:pt>
                <c:pt idx="26">
                  <c:v>Santa Cruz de T.</c:v>
                </c:pt>
                <c:pt idx="27">
                  <c:v>Jaén</c:v>
                </c:pt>
                <c:pt idx="28">
                  <c:v>Santander</c:v>
                </c:pt>
                <c:pt idx="29">
                  <c:v>Cáceres</c:v>
                </c:pt>
                <c:pt idx="30">
                  <c:v>Cádiz</c:v>
                </c:pt>
                <c:pt idx="31">
                  <c:v>Sevilla</c:v>
                </c:pt>
                <c:pt idx="32">
                  <c:v>Vigo</c:v>
                </c:pt>
              </c:strCache>
            </c:strRef>
          </c:cat>
          <c:val>
            <c:numRef>
              <c:f>forecast!$O$16151:$O$16378</c:f>
              <c:numCache>
                <c:formatCode>0.0</c:formatCode>
                <c:ptCount val="33"/>
                <c:pt idx="0">
                  <c:v>5.65</c:v>
                </c:pt>
                <c:pt idx="1">
                  <c:v>4.46</c:v>
                </c:pt>
                <c:pt idx="2">
                  <c:v>4.28</c:v>
                </c:pt>
                <c:pt idx="3">
                  <c:v>4.25</c:v>
                </c:pt>
                <c:pt idx="4">
                  <c:v>3.76</c:v>
                </c:pt>
                <c:pt idx="5">
                  <c:v>3.32</c:v>
                </c:pt>
                <c:pt idx="6">
                  <c:v>2.73</c:v>
                </c:pt>
                <c:pt idx="7">
                  <c:v>2.69</c:v>
                </c:pt>
                <c:pt idx="8">
                  <c:v>2.62</c:v>
                </c:pt>
                <c:pt idx="9">
                  <c:v>2.57</c:v>
                </c:pt>
                <c:pt idx="10">
                  <c:v>2.5299999999999998</c:v>
                </c:pt>
                <c:pt idx="11">
                  <c:v>2.44</c:v>
                </c:pt>
                <c:pt idx="12">
                  <c:v>2.23</c:v>
                </c:pt>
                <c:pt idx="13">
                  <c:v>2.15</c:v>
                </c:pt>
                <c:pt idx="14">
                  <c:v>2.09</c:v>
                </c:pt>
                <c:pt idx="15">
                  <c:v>1.79</c:v>
                </c:pt>
                <c:pt idx="16">
                  <c:v>1.67</c:v>
                </c:pt>
                <c:pt idx="17">
                  <c:v>1.39</c:v>
                </c:pt>
                <c:pt idx="18">
                  <c:v>1.1299999999999999</c:v>
                </c:pt>
                <c:pt idx="19">
                  <c:v>0.95</c:v>
                </c:pt>
                <c:pt idx="20">
                  <c:v>0.88</c:v>
                </c:pt>
                <c:pt idx="21">
                  <c:v>0.88</c:v>
                </c:pt>
                <c:pt idx="22">
                  <c:v>0.81</c:v>
                </c:pt>
                <c:pt idx="23">
                  <c:v>0.73</c:v>
                </c:pt>
                <c:pt idx="24">
                  <c:v>0.68</c:v>
                </c:pt>
                <c:pt idx="25">
                  <c:v>0.46</c:v>
                </c:pt>
                <c:pt idx="26">
                  <c:v>0.45</c:v>
                </c:pt>
                <c:pt idx="27">
                  <c:v>0.37</c:v>
                </c:pt>
                <c:pt idx="28">
                  <c:v>0.3</c:v>
                </c:pt>
                <c:pt idx="29">
                  <c:v>0.27</c:v>
                </c:pt>
                <c:pt idx="30">
                  <c:v>0.26</c:v>
                </c:pt>
                <c:pt idx="31">
                  <c:v>0.25</c:v>
                </c:pt>
                <c:pt idx="32">
                  <c:v>0.08</c:v>
                </c:pt>
              </c:numCache>
            </c:numRef>
          </c:val>
          <c:extLst>
            <c:ext xmlns:c16="http://schemas.microsoft.com/office/drawing/2014/chart" uri="{C3380CC4-5D6E-409C-BE32-E72D297353CC}">
              <c16:uniqueId val="{00000000-FE0F-4B83-8E6F-7A732632A058}"/>
            </c:ext>
          </c:extLst>
        </c:ser>
        <c:dLbls>
          <c:showLegendKey val="0"/>
          <c:showVal val="0"/>
          <c:showCatName val="0"/>
          <c:showSerName val="0"/>
          <c:showPercent val="0"/>
          <c:showBubbleSize val="0"/>
        </c:dLbls>
        <c:gapWidth val="219"/>
        <c:overlap val="-27"/>
        <c:axId val="1671436399"/>
        <c:axId val="1671433999"/>
      </c:barChart>
      <c:catAx>
        <c:axId val="167143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9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1671433999"/>
        <c:crosses val="autoZero"/>
        <c:auto val="1"/>
        <c:lblAlgn val="ctr"/>
        <c:lblOffset val="100"/>
        <c:noMultiLvlLbl val="0"/>
      </c:catAx>
      <c:valAx>
        <c:axId val="1671433999"/>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71436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UxUeVxU0m4YCVjQ6d7U/rjOHVQ==">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1519</Words>
  <Characters>8357</Characters>
  <Application>Microsoft Office Word</Application>
  <DocSecurity>0</DocSecurity>
  <Lines>69</Lines>
  <Paragraphs>19</Paragraphs>
  <ScaleCrop>false</ScaleCrop>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8</cp:revision>
  <cp:lastPrinted>2025-04-09T09:25:00Z</cp:lastPrinted>
  <dcterms:created xsi:type="dcterms:W3CDTF">2021-03-17T10:21:00Z</dcterms:created>
  <dcterms:modified xsi:type="dcterms:W3CDTF">2025-04-09T09:31:00Z</dcterms:modified>
</cp:coreProperties>
</file>