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Override ContentType="application/vnd.openxmlformats-officedocument.wordprocessingml.settings+xml" PartName="/word/settings.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-1080116</wp:posOffset>
            </wp:positionH>
            <wp:positionV relativeFrom="paragraph">
              <wp:posOffset>-654665</wp:posOffset>
            </wp:positionV>
            <wp:extent cx="7581265" cy="1019175"/>
            <wp:effectExtent b="0" l="0" r="0" t="0"/>
            <wp:wrapNone/>
            <wp:docPr id="206681662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81265" cy="1019175"/>
                    </a:xfrm>
                    <a:prstGeom prst="rect"/>
                    <a:ln/>
                  </pic:spPr>
                </pic:pic>
              </a:graphicData>
            </a:graphic>
          </wp:anchor>
        </w:drawing>
      </w:r>
    </w:p>
    <w:p w:rsidR="00000000" w:rsidDel="00000000" w:rsidP="00000000" w:rsidRDefault="00000000" w:rsidRPr="00000000" w14:paraId="00000002">
      <w:pPr>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jc w:val="center"/>
        <w:rPr>
          <w:rFonts w:ascii="National" w:cs="National" w:eastAsia="National" w:hAnsi="National"/>
          <w:b w:val="1"/>
          <w:color w:val="1dbdc5"/>
          <w:sz w:val="34"/>
          <w:szCs w:val="34"/>
        </w:rPr>
      </w:pPr>
      <w:r w:rsidDel="00000000" w:rsidR="00000000" w:rsidRPr="00000000">
        <w:rPr>
          <w:rtl w:val="0"/>
        </w:rPr>
      </w:r>
    </w:p>
    <w:p w:rsidR="00000000" w:rsidDel="00000000" w:rsidP="00000000" w:rsidRDefault="00000000" w:rsidRPr="00000000" w14:paraId="00000004">
      <w:pPr>
        <w:ind w:right="-142"/>
        <w:jc w:val="center"/>
        <w:rPr>
          <w:rFonts w:ascii="National" w:cs="National" w:eastAsia="National" w:hAnsi="National"/>
          <w:b w:val="1"/>
          <w:color w:val="1dbdc5"/>
          <w:sz w:val="34"/>
          <w:szCs w:val="34"/>
        </w:rPr>
      </w:pPr>
      <w:r w:rsidDel="00000000" w:rsidR="00000000" w:rsidRPr="00000000">
        <w:rPr>
          <w:rFonts w:ascii="National" w:cs="National" w:eastAsia="National" w:hAnsi="National"/>
          <w:b w:val="1"/>
          <w:color w:val="1dbdc5"/>
          <w:sz w:val="34"/>
          <w:szCs w:val="34"/>
          <w:rtl w:val="0"/>
        </w:rPr>
        <w:t xml:space="preserve">ANÁLISIS ACUMULATIVO PRECIO DE LA VIVIENDA DE COMPRA </w:t>
      </w:r>
    </w:p>
    <w:p w:rsidR="00000000" w:rsidDel="00000000" w:rsidP="00000000" w:rsidRDefault="00000000" w:rsidRPr="00000000" w14:paraId="00000005">
      <w:pPr>
        <w:jc w:val="center"/>
        <w:rPr>
          <w:rFonts w:ascii="National" w:cs="National" w:eastAsia="National" w:hAnsi="National"/>
          <w:b w:val="1"/>
          <w:color w:val="303ab2"/>
          <w:sz w:val="46"/>
          <w:szCs w:val="46"/>
        </w:rPr>
      </w:pPr>
      <w:r w:rsidDel="00000000" w:rsidR="00000000" w:rsidRPr="00000000">
        <w:rPr>
          <w:rFonts w:ascii="National" w:cs="National" w:eastAsia="National" w:hAnsi="National"/>
          <w:b w:val="1"/>
          <w:color w:val="303ab2"/>
          <w:sz w:val="46"/>
          <w:szCs w:val="46"/>
          <w:rtl w:val="0"/>
        </w:rPr>
        <w:t xml:space="preserve">El precio medio de un piso de 80m2 en España ha subido de 130.000€ a 200.000€ en diez años</w:t>
      </w:r>
    </w:p>
    <w:p w:rsidR="00000000" w:rsidDel="00000000" w:rsidP="00000000" w:rsidRDefault="00000000" w:rsidRPr="00000000" w14:paraId="00000006">
      <w:pPr>
        <w:jc w:val="center"/>
        <w:rPr>
          <w:rFonts w:ascii="Open Sans" w:cs="Open Sans" w:eastAsia="Open Sans" w:hAnsi="Open Sans"/>
          <w:color w:val="303ab2"/>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Esta evolución equivale a un crecimiento del 54% en las valoraciones del mercado inmobiliario nacional en una década</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Actualmente los precios son un 35% más caros en comparación con 2020 y un 10% en relación con 2024</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Baleares (176%), Canarias (121%) y la Comunidad de Madrid (106%) han registrado los mayores incrementos en los últimos diez años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line="276" w:lineRule="auto"/>
        <w:ind w:left="720" w:hanging="360"/>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Por capitales, Palma de Mallorca (173%), Málaga (153%), Madrid (119%), y Valencia (103%) han más que duplicado sus precios desde 2015</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jc w:val="both"/>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Madrid, 16 de abril de 2025</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El precio medio de una vivienda de 80 metros cuadrados ha subido de 129.420 euros en 2015 a 199.114 euros en 2025. Esto representa un incremento del 54% en el valor de un piso promedio en el mercado inmobiliario español entre 2015 y 2025. Por otro lado, </w:t>
      </w:r>
      <w:r w:rsidDel="00000000" w:rsidR="00000000" w:rsidRPr="00000000">
        <w:rPr>
          <w:rFonts w:ascii="Open Sans" w:cs="Open Sans" w:eastAsia="Open Sans" w:hAnsi="Open Sans"/>
          <w:b w:val="1"/>
          <w:rtl w:val="0"/>
        </w:rPr>
        <w:t xml:space="preserve">el actual auge de los precios de la vivienda ha provocado que el valor del metro cuadrado de un inmueble de compra se sitúe en febrero de este año en 2.489 euros, un 1% por encima del que se registró hace justo 20 años</w:t>
      </w:r>
      <w:r w:rsidDel="00000000" w:rsidR="00000000" w:rsidRPr="00000000">
        <w:rPr>
          <w:rFonts w:ascii="Open Sans" w:cs="Open Sans" w:eastAsia="Open Sans" w:hAnsi="Open Sans"/>
          <w:rtl w:val="0"/>
        </w:rPr>
        <w:t xml:space="preserve">, a principios de 2005, en pleno boom inmobiliario en España.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Asimismo, los precios actuales se encuentran un 6% más altos que hace 15 años, cuando se había iniciado ya el declive por la crisis del ladrillo. En un plazo más reciente, las valoraciones actuales del mercado inmobiliario son un 35% más elevadas que en 2020, hace cinco años, y están un 10% más caras que hace solo un año, </w:t>
      </w:r>
      <w:r w:rsidDel="00000000" w:rsidR="00000000" w:rsidRPr="00000000">
        <w:rPr>
          <w:rFonts w:ascii="Open Sans" w:cs="Open Sans" w:eastAsia="Open Sans" w:hAnsi="Open Sans"/>
          <w:color w:val="000000"/>
          <w:rtl w:val="0"/>
        </w:rPr>
        <w:t xml:space="preserve">según el análisis </w:t>
      </w:r>
      <w:r w:rsidDel="00000000" w:rsidR="00000000" w:rsidRPr="00000000">
        <w:rPr>
          <w:rFonts w:ascii="Open Sans" w:cs="Open Sans" w:eastAsia="Open Sans" w:hAnsi="Open Sans"/>
          <w:b w:val="1"/>
          <w:color w:val="000000"/>
          <w:rtl w:val="0"/>
        </w:rPr>
        <w:t xml:space="preserve">“</w:t>
      </w:r>
      <w:r w:rsidDel="00000000" w:rsidR="00000000" w:rsidRPr="00000000">
        <w:rPr>
          <w:rFonts w:ascii="Open Sans" w:cs="Open Sans" w:eastAsia="Open Sans" w:hAnsi="Open Sans"/>
          <w:b w:val="1"/>
          <w:i w:val="1"/>
          <w:color w:val="000000"/>
          <w:rtl w:val="0"/>
        </w:rPr>
        <w:t xml:space="preserve">Variación acumulativa de la vivienda en España en </w:t>
      </w:r>
      <w:r w:rsidDel="00000000" w:rsidR="00000000" w:rsidRPr="00000000">
        <w:rPr>
          <w:rFonts w:ascii="Open Sans" w:cs="Open Sans" w:eastAsia="Open Sans" w:hAnsi="Open Sans"/>
          <w:b w:val="1"/>
          <w:i w:val="1"/>
          <w:rtl w:val="0"/>
        </w:rPr>
        <w:t xml:space="preserve">2025</w:t>
      </w:r>
      <w:r w:rsidDel="00000000" w:rsidR="00000000" w:rsidRPr="00000000">
        <w:rPr>
          <w:rFonts w:ascii="Open Sans" w:cs="Open Sans" w:eastAsia="Open Sans" w:hAnsi="Open Sans"/>
          <w:rtl w:val="0"/>
        </w:rPr>
        <w:t xml:space="preserve">”, basado en los precios de la vivienda en venta del mes de febrero de los últimos 20 años del Índice Inmobiliario </w:t>
      </w:r>
      <w:hyperlink r:id="rId8">
        <w:r w:rsidDel="00000000" w:rsidR="00000000" w:rsidRPr="00000000">
          <w:rPr>
            <w:rFonts w:ascii="Open Sans" w:cs="Open Sans" w:eastAsia="Open Sans" w:hAnsi="Open Sans"/>
            <w:color w:val="0000ff"/>
            <w:u w:val="single"/>
            <w:rtl w:val="0"/>
          </w:rPr>
          <w:t xml:space="preserve">Fotocasa</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after="280" w:before="280"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after="280" w:before="280" w:line="276" w:lineRule="auto"/>
        <w:jc w:val="center"/>
        <w:rPr>
          <w:rFonts w:ascii="Times New Roman" w:cs="Times New Roman" w:eastAsia="Times New Roman" w:hAnsi="Times New Roman"/>
          <w:color w:val="000000"/>
        </w:rPr>
      </w:pPr>
      <w:r w:rsidDel="00000000" w:rsidR="00000000" w:rsidRPr="00000000">
        <w:rPr>
          <w:rFonts w:ascii="National" w:cs="National" w:eastAsia="National" w:hAnsi="National"/>
          <w:b w:val="1"/>
          <w:color w:val="303ab2"/>
          <w:sz w:val="28"/>
          <w:szCs w:val="28"/>
          <w:rtl w:val="0"/>
        </w:rPr>
        <w:t xml:space="preserve">Variación acumulativa (%) por años en España</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drawing>
          <wp:inline distB="0" distT="0" distL="0" distR="0">
            <wp:extent cx="5646420" cy="2331720"/>
            <wp:docPr id="2066816622"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“El encarecimiento tan significativo de la vivienda en los últimos años se puede atribuir, en gran medida, a la reducción de la construcción de vivienda social por parte de la administración pública desde 2013, lo que ha limitado la oferta en un contexto de recuperación económica y aumento de la demanda desde 2014. A partir de 2020 el desajuste entre oferta y demanda ha acelerado incrementos significativos en los precios. Sin embargo, lo que resulta preocupante es el ritmo anual de aumento (10,2%) que, de mantenerse en los próximos cinco años, podría duplicar el crecimiento registrado en la última década. Además, el hecho de que los precios actuales se sitúen al mismo nivel que hace 20 años indica que nos encontramos en un escenario de precios similares a la burbuja de 2007”, explica </w:t>
      </w:r>
      <w:r w:rsidDel="00000000" w:rsidR="00000000" w:rsidRPr="00000000">
        <w:rPr>
          <w:rFonts w:ascii="Open Sans" w:cs="Open Sans" w:eastAsia="Open Sans" w:hAnsi="Open Sans"/>
          <w:b w:val="1"/>
          <w:rtl w:val="0"/>
        </w:rPr>
        <w:t xml:space="preserve">María Matos, directora de Estudios y portavoz de </w:t>
      </w:r>
      <w:hyperlink r:id="rId10">
        <w:r w:rsidDel="00000000" w:rsidR="00000000" w:rsidRPr="00000000">
          <w:rPr>
            <w:rFonts w:ascii="Open Sans" w:cs="Open Sans" w:eastAsia="Open Sans" w:hAnsi="Open Sans"/>
            <w:b w:val="1"/>
            <w:color w:val="0000ff"/>
            <w:u w:val="single"/>
            <w:rtl w:val="0"/>
          </w:rPr>
          <w:t xml:space="preserve">Fotocasa</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spacing w:after="280" w:before="280" w:line="276" w:lineRule="auto"/>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Evolución del precio medio en España para un piso de 80m2</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drawing>
          <wp:inline distB="0" distT="0" distL="0" distR="0">
            <wp:extent cx="5753100" cy="2247900"/>
            <wp:docPr id="2066816621"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spacing w:line="276" w:lineRule="auto"/>
        <w:jc w:val="both"/>
        <w:rPr>
          <w:rFonts w:ascii="National" w:cs="National" w:eastAsia="National" w:hAnsi="National"/>
          <w:b w:val="1"/>
          <w:color w:val="303ab2"/>
          <w:sz w:val="32"/>
          <w:szCs w:val="32"/>
        </w:rPr>
      </w:pPr>
      <w:r w:rsidDel="00000000" w:rsidR="00000000" w:rsidRPr="00000000">
        <w:rPr>
          <w:rtl w:val="0"/>
        </w:rPr>
      </w:r>
    </w:p>
    <w:p w:rsidR="00000000" w:rsidDel="00000000" w:rsidP="00000000" w:rsidRDefault="00000000" w:rsidRPr="00000000" w14:paraId="00000018">
      <w:pPr>
        <w:spacing w:line="276" w:lineRule="auto"/>
        <w:jc w:val="both"/>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Baleares, Canarias y Madrid se consolidan como las zonas más afectadas por las alzas de precios</w:t>
      </w:r>
    </w:p>
    <w:p w:rsidR="00000000" w:rsidDel="00000000" w:rsidP="00000000" w:rsidRDefault="00000000" w:rsidRPr="00000000" w14:paraId="00000019">
      <w:pPr>
        <w:spacing w:line="276" w:lineRule="auto"/>
        <w:jc w:val="both"/>
        <w:rPr>
          <w:rFonts w:ascii="National" w:cs="National" w:eastAsia="National" w:hAnsi="National"/>
          <w:b w:val="1"/>
          <w:color w:val="303ab2"/>
          <w:sz w:val="32"/>
          <w:szCs w:val="3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Analizando la distinta evolución de las comunidades autónomas, se pueden observar diferencias muy significativas entre ellas. </w:t>
      </w:r>
      <w:r w:rsidDel="00000000" w:rsidR="00000000" w:rsidRPr="00000000">
        <w:rPr>
          <w:rFonts w:ascii="Open Sans" w:cs="Open Sans" w:eastAsia="Open Sans" w:hAnsi="Open Sans"/>
          <w:b w:val="1"/>
          <w:rtl w:val="0"/>
        </w:rPr>
        <w:t xml:space="preserve">Si se mantiene la comparación con el periodo comprendido entre 2015 y 2025, todas las regiones han registrado crecimientos de precios</w:t>
      </w:r>
      <w:r w:rsidDel="00000000" w:rsidR="00000000" w:rsidRPr="00000000">
        <w:rPr>
          <w:rFonts w:ascii="Open Sans" w:cs="Open Sans" w:eastAsia="Open Sans" w:hAnsi="Open Sans"/>
          <w:rtl w:val="0"/>
        </w:rPr>
        <w:t xml:space="preserve">, pero con notables divergencias. Baleares (+176%), Canarias (+121%) y la Comunidad de Madrid (+106%) han registrado incrementos de precios por encima del 100% en los últimos diez años, mientras que otras autonomías han experimentado alzas mucho más moderadas, como es el caso de Castilla-La Mancha (+8,5%), Castilla y León (+8,8%) o Extremadura (+9,0%).</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CCAA con porcentajes (%) acumulativos por años con relación a 2025</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tbl>
      <w:tblPr>
        <w:tblStyle w:val="Table1"/>
        <w:tblW w:w="942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0"/>
        <w:gridCol w:w="1420"/>
        <w:gridCol w:w="1420"/>
        <w:gridCol w:w="1420"/>
        <w:gridCol w:w="1420"/>
        <w:gridCol w:w="1420"/>
        <w:tblGridChange w:id="0">
          <w:tblGrid>
            <w:gridCol w:w="2320"/>
            <w:gridCol w:w="1420"/>
            <w:gridCol w:w="1420"/>
            <w:gridCol w:w="1420"/>
            <w:gridCol w:w="1420"/>
            <w:gridCol w:w="1420"/>
          </w:tblGrid>
        </w:tblGridChange>
      </w:tblGrid>
      <w:tr>
        <w:trPr>
          <w:cantSplit w:val="0"/>
          <w:trHeight w:val="887" w:hRule="atLeast"/>
          <w:tblHeader w:val="0"/>
        </w:trPr>
        <w:tc>
          <w:tcPr>
            <w:shd w:fill="d9e1f2" w:val="clear"/>
            <w:vAlign w:val="center"/>
          </w:tcPr>
          <w:p w:rsidR="00000000" w:rsidDel="00000000" w:rsidP="00000000" w:rsidRDefault="00000000" w:rsidRPr="00000000" w14:paraId="0000001E">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CCAA</w:t>
            </w:r>
          </w:p>
        </w:tc>
        <w:tc>
          <w:tcPr>
            <w:shd w:fill="d9e1f2" w:val="clear"/>
            <w:vAlign w:val="center"/>
          </w:tcPr>
          <w:p w:rsidR="00000000" w:rsidDel="00000000" w:rsidP="00000000" w:rsidRDefault="00000000" w:rsidRPr="00000000" w14:paraId="0000001F">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 AÑOS (2005)</w:t>
            </w:r>
          </w:p>
        </w:tc>
        <w:tc>
          <w:tcPr>
            <w:shd w:fill="d9e1f2" w:val="clear"/>
            <w:vAlign w:val="center"/>
          </w:tcPr>
          <w:p w:rsidR="00000000" w:rsidDel="00000000" w:rsidP="00000000" w:rsidRDefault="00000000" w:rsidRPr="00000000" w14:paraId="0000002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15 AÑOS (2010)</w:t>
            </w:r>
          </w:p>
        </w:tc>
        <w:tc>
          <w:tcPr>
            <w:shd w:fill="d9e1f2" w:val="clear"/>
            <w:vAlign w:val="center"/>
          </w:tcPr>
          <w:p w:rsidR="00000000" w:rsidDel="00000000" w:rsidP="00000000" w:rsidRDefault="00000000" w:rsidRPr="00000000" w14:paraId="0000002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 AÑOS (2015)</w:t>
            </w:r>
          </w:p>
        </w:tc>
        <w:tc>
          <w:tcPr>
            <w:shd w:fill="d9e1f2" w:val="clear"/>
            <w:vAlign w:val="center"/>
          </w:tcPr>
          <w:p w:rsidR="00000000" w:rsidDel="00000000" w:rsidP="00000000" w:rsidRDefault="00000000" w:rsidRPr="00000000" w14:paraId="0000002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 AÑOS </w:t>
              <w:br w:type="textWrapping"/>
              <w:t xml:space="preserve">(2020)</w:t>
            </w:r>
          </w:p>
        </w:tc>
        <w:tc>
          <w:tcPr>
            <w:shd w:fill="d9e1f2" w:val="clear"/>
            <w:vAlign w:val="center"/>
          </w:tcPr>
          <w:p w:rsidR="00000000" w:rsidDel="00000000" w:rsidP="00000000" w:rsidRDefault="00000000" w:rsidRPr="00000000" w14:paraId="0000002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 AÑO </w:t>
              <w:br w:type="textWrapping"/>
              <w:t xml:space="preserve">(2024)</w:t>
            </w:r>
          </w:p>
        </w:tc>
      </w:tr>
      <w:tr>
        <w:trPr>
          <w:cantSplit w:val="0"/>
          <w:trHeight w:val="330" w:hRule="atLeast"/>
          <w:tblHeader w:val="0"/>
        </w:trPr>
        <w:tc>
          <w:tcPr>
            <w:shd w:fill="auto" w:val="clear"/>
            <w:vAlign w:val="bottom"/>
          </w:tcPr>
          <w:p w:rsidR="00000000" w:rsidDel="00000000" w:rsidP="00000000" w:rsidRDefault="00000000" w:rsidRPr="00000000" w14:paraId="0000002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Andalucía</w:t>
            </w:r>
          </w:p>
        </w:tc>
        <w:tc>
          <w:tcPr>
            <w:shd w:fill="ffffff" w:val="clear"/>
            <w:vAlign w:val="bottom"/>
          </w:tcPr>
          <w:p w:rsidR="00000000" w:rsidDel="00000000" w:rsidP="00000000" w:rsidRDefault="00000000" w:rsidRPr="00000000" w14:paraId="0000002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8,1%</w:t>
            </w:r>
          </w:p>
        </w:tc>
        <w:tc>
          <w:tcPr>
            <w:shd w:fill="ffffff" w:val="clear"/>
            <w:vAlign w:val="bottom"/>
          </w:tcPr>
          <w:p w:rsidR="00000000" w:rsidDel="00000000" w:rsidP="00000000" w:rsidRDefault="00000000" w:rsidRPr="00000000" w14:paraId="0000002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18,1%</w:t>
            </w:r>
          </w:p>
        </w:tc>
        <w:tc>
          <w:tcPr>
            <w:shd w:fill="ffffff" w:val="clear"/>
            <w:vAlign w:val="bottom"/>
          </w:tcPr>
          <w:p w:rsidR="00000000" w:rsidDel="00000000" w:rsidP="00000000" w:rsidRDefault="00000000" w:rsidRPr="00000000" w14:paraId="0000002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67,2%</w:t>
            </w:r>
          </w:p>
        </w:tc>
        <w:tc>
          <w:tcPr>
            <w:shd w:fill="ffffff" w:val="clear"/>
            <w:vAlign w:val="bottom"/>
          </w:tcPr>
          <w:p w:rsidR="00000000" w:rsidDel="00000000" w:rsidP="00000000" w:rsidRDefault="00000000" w:rsidRPr="00000000" w14:paraId="0000002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43,9%</w:t>
            </w:r>
          </w:p>
        </w:tc>
        <w:tc>
          <w:tcPr>
            <w:shd w:fill="ffffff" w:val="clear"/>
            <w:vAlign w:val="bottom"/>
          </w:tcPr>
          <w:p w:rsidR="00000000" w:rsidDel="00000000" w:rsidP="00000000" w:rsidRDefault="00000000" w:rsidRPr="00000000" w14:paraId="0000002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13,9%</w:t>
            </w:r>
          </w:p>
        </w:tc>
      </w:tr>
      <w:tr>
        <w:trPr>
          <w:cantSplit w:val="0"/>
          <w:trHeight w:val="330" w:hRule="atLeast"/>
          <w:tblHeader w:val="0"/>
        </w:trPr>
        <w:tc>
          <w:tcPr>
            <w:shd w:fill="auto" w:val="clear"/>
            <w:vAlign w:val="bottom"/>
          </w:tcPr>
          <w:p w:rsidR="00000000" w:rsidDel="00000000" w:rsidP="00000000" w:rsidRDefault="00000000" w:rsidRPr="00000000" w14:paraId="0000002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Aragón</w:t>
            </w:r>
          </w:p>
        </w:tc>
        <w:tc>
          <w:tcPr>
            <w:shd w:fill="ffffff" w:val="clear"/>
            <w:vAlign w:val="bottom"/>
          </w:tcPr>
          <w:p w:rsidR="00000000" w:rsidDel="00000000" w:rsidP="00000000" w:rsidRDefault="00000000" w:rsidRPr="00000000" w14:paraId="0000002B">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-33,4%</w:t>
            </w:r>
          </w:p>
        </w:tc>
        <w:tc>
          <w:tcPr>
            <w:shd w:fill="ffffff" w:val="clear"/>
            <w:vAlign w:val="bottom"/>
          </w:tcPr>
          <w:p w:rsidR="00000000" w:rsidDel="00000000" w:rsidP="00000000" w:rsidRDefault="00000000" w:rsidRPr="00000000" w14:paraId="0000002C">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-28,2%</w:t>
            </w:r>
          </w:p>
        </w:tc>
        <w:tc>
          <w:tcPr>
            <w:shd w:fill="ffffff" w:val="clear"/>
            <w:vAlign w:val="bottom"/>
          </w:tcPr>
          <w:p w:rsidR="00000000" w:rsidDel="00000000" w:rsidP="00000000" w:rsidRDefault="00000000" w:rsidRPr="00000000" w14:paraId="0000002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14,1%</w:t>
            </w:r>
          </w:p>
        </w:tc>
        <w:tc>
          <w:tcPr>
            <w:shd w:fill="ffffff" w:val="clear"/>
            <w:vAlign w:val="bottom"/>
          </w:tcPr>
          <w:p w:rsidR="00000000" w:rsidDel="00000000" w:rsidP="00000000" w:rsidRDefault="00000000" w:rsidRPr="00000000" w14:paraId="0000002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12,1%</w:t>
            </w:r>
          </w:p>
        </w:tc>
        <w:tc>
          <w:tcPr>
            <w:shd w:fill="ffffff" w:val="clear"/>
            <w:vAlign w:val="bottom"/>
          </w:tcPr>
          <w:p w:rsidR="00000000" w:rsidDel="00000000" w:rsidP="00000000" w:rsidRDefault="00000000" w:rsidRPr="00000000" w14:paraId="0000002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w:t>
            </w:r>
          </w:p>
        </w:tc>
      </w:tr>
      <w:tr>
        <w:trPr>
          <w:cantSplit w:val="0"/>
          <w:trHeight w:val="330" w:hRule="atLeast"/>
          <w:tblHeader w:val="0"/>
        </w:trPr>
        <w:tc>
          <w:tcPr>
            <w:shd w:fill="auto" w:val="clear"/>
            <w:vAlign w:val="bottom"/>
          </w:tcPr>
          <w:p w:rsidR="00000000" w:rsidDel="00000000" w:rsidP="00000000" w:rsidRDefault="00000000" w:rsidRPr="00000000" w14:paraId="0000003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Asturias</w:t>
            </w:r>
          </w:p>
        </w:tc>
        <w:tc>
          <w:tcPr>
            <w:shd w:fill="ffffff" w:val="clear"/>
            <w:vAlign w:val="bottom"/>
          </w:tcPr>
          <w:p w:rsidR="00000000" w:rsidDel="00000000" w:rsidP="00000000" w:rsidRDefault="00000000" w:rsidRPr="00000000" w14:paraId="00000031">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-9,9%</w:t>
            </w:r>
          </w:p>
        </w:tc>
        <w:tc>
          <w:tcPr>
            <w:shd w:fill="ffffff" w:val="clear"/>
            <w:vAlign w:val="bottom"/>
          </w:tcPr>
          <w:p w:rsidR="00000000" w:rsidDel="00000000" w:rsidP="00000000" w:rsidRDefault="00000000" w:rsidRPr="00000000" w14:paraId="00000032">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-19,0%</w:t>
            </w:r>
          </w:p>
        </w:tc>
        <w:tc>
          <w:tcPr>
            <w:shd w:fill="ffffff" w:val="clear"/>
            <w:vAlign w:val="bottom"/>
          </w:tcPr>
          <w:p w:rsidR="00000000" w:rsidDel="00000000" w:rsidP="00000000" w:rsidRDefault="00000000" w:rsidRPr="00000000" w14:paraId="0000003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16,2%</w:t>
            </w:r>
          </w:p>
        </w:tc>
        <w:tc>
          <w:tcPr>
            <w:shd w:fill="ffffff" w:val="clear"/>
            <w:vAlign w:val="bottom"/>
          </w:tcPr>
          <w:p w:rsidR="00000000" w:rsidDel="00000000" w:rsidP="00000000" w:rsidRDefault="00000000" w:rsidRPr="00000000" w14:paraId="0000003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20,9%</w:t>
            </w:r>
          </w:p>
        </w:tc>
        <w:tc>
          <w:tcPr>
            <w:shd w:fill="ffffff" w:val="clear"/>
            <w:vAlign w:val="bottom"/>
          </w:tcPr>
          <w:p w:rsidR="00000000" w:rsidDel="00000000" w:rsidP="00000000" w:rsidRDefault="00000000" w:rsidRPr="00000000" w14:paraId="0000003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12,8%</w:t>
            </w:r>
          </w:p>
        </w:tc>
      </w:tr>
      <w:tr>
        <w:trPr>
          <w:cantSplit w:val="0"/>
          <w:trHeight w:val="330" w:hRule="atLeast"/>
          <w:tblHeader w:val="0"/>
        </w:trPr>
        <w:tc>
          <w:tcPr>
            <w:shd w:fill="auto" w:val="clear"/>
            <w:vAlign w:val="bottom"/>
          </w:tcPr>
          <w:p w:rsidR="00000000" w:rsidDel="00000000" w:rsidP="00000000" w:rsidRDefault="00000000" w:rsidRPr="00000000" w14:paraId="0000003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Baleares</w:t>
            </w:r>
          </w:p>
        </w:tc>
        <w:tc>
          <w:tcPr>
            <w:shd w:fill="ffffff" w:val="clear"/>
            <w:vAlign w:val="bottom"/>
          </w:tcPr>
          <w:p w:rsidR="00000000" w:rsidDel="00000000" w:rsidP="00000000" w:rsidRDefault="00000000" w:rsidRPr="00000000" w14:paraId="0000003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138,8%</w:t>
            </w:r>
          </w:p>
        </w:tc>
        <w:tc>
          <w:tcPr>
            <w:shd w:fill="ffffff" w:val="clear"/>
            <w:vAlign w:val="bottom"/>
          </w:tcPr>
          <w:p w:rsidR="00000000" w:rsidDel="00000000" w:rsidP="00000000" w:rsidRDefault="00000000" w:rsidRPr="00000000" w14:paraId="0000003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112,2%</w:t>
            </w:r>
          </w:p>
        </w:tc>
        <w:tc>
          <w:tcPr>
            <w:shd w:fill="ffffff" w:val="clear"/>
            <w:vAlign w:val="bottom"/>
          </w:tcPr>
          <w:p w:rsidR="00000000" w:rsidDel="00000000" w:rsidP="00000000" w:rsidRDefault="00000000" w:rsidRPr="00000000" w14:paraId="0000003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175,8%</w:t>
            </w:r>
          </w:p>
        </w:tc>
        <w:tc>
          <w:tcPr>
            <w:shd w:fill="ffffff" w:val="clear"/>
            <w:vAlign w:val="bottom"/>
          </w:tcPr>
          <w:p w:rsidR="00000000" w:rsidDel="00000000" w:rsidP="00000000" w:rsidRDefault="00000000" w:rsidRPr="00000000" w14:paraId="0000003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80,2%</w:t>
            </w:r>
          </w:p>
        </w:tc>
        <w:tc>
          <w:tcPr>
            <w:shd w:fill="ffffff" w:val="clear"/>
            <w:vAlign w:val="bottom"/>
          </w:tcPr>
          <w:p w:rsidR="00000000" w:rsidDel="00000000" w:rsidP="00000000" w:rsidRDefault="00000000" w:rsidRPr="00000000" w14:paraId="0000003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25,3%</w:t>
            </w:r>
          </w:p>
        </w:tc>
      </w:tr>
      <w:tr>
        <w:trPr>
          <w:cantSplit w:val="0"/>
          <w:trHeight w:val="330" w:hRule="atLeast"/>
          <w:tblHeader w:val="0"/>
        </w:trPr>
        <w:tc>
          <w:tcPr>
            <w:shd w:fill="auto" w:val="clear"/>
            <w:vAlign w:val="bottom"/>
          </w:tcPr>
          <w:p w:rsidR="00000000" w:rsidDel="00000000" w:rsidP="00000000" w:rsidRDefault="00000000" w:rsidRPr="00000000" w14:paraId="0000003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Canarias</w:t>
            </w:r>
          </w:p>
        </w:tc>
        <w:tc>
          <w:tcPr>
            <w:shd w:fill="ffffff" w:val="clear"/>
            <w:vAlign w:val="bottom"/>
          </w:tcPr>
          <w:p w:rsidR="00000000" w:rsidDel="00000000" w:rsidP="00000000" w:rsidRDefault="00000000" w:rsidRPr="00000000" w14:paraId="0000003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59,6%</w:t>
            </w:r>
          </w:p>
        </w:tc>
        <w:tc>
          <w:tcPr>
            <w:shd w:fill="ffffff" w:val="clear"/>
            <w:vAlign w:val="bottom"/>
          </w:tcPr>
          <w:p w:rsidR="00000000" w:rsidDel="00000000" w:rsidP="00000000" w:rsidRDefault="00000000" w:rsidRPr="00000000" w14:paraId="0000003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58,3%</w:t>
            </w:r>
          </w:p>
        </w:tc>
        <w:tc>
          <w:tcPr>
            <w:shd w:fill="ffffff" w:val="clear"/>
            <w:vAlign w:val="bottom"/>
          </w:tcPr>
          <w:p w:rsidR="00000000" w:rsidDel="00000000" w:rsidP="00000000" w:rsidRDefault="00000000" w:rsidRPr="00000000" w14:paraId="0000003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120,6%</w:t>
            </w:r>
          </w:p>
        </w:tc>
        <w:tc>
          <w:tcPr>
            <w:shd w:fill="ffffff" w:val="clear"/>
            <w:vAlign w:val="bottom"/>
          </w:tcPr>
          <w:p w:rsidR="00000000" w:rsidDel="00000000" w:rsidP="00000000" w:rsidRDefault="00000000" w:rsidRPr="00000000" w14:paraId="0000004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61,0%</w:t>
            </w:r>
          </w:p>
        </w:tc>
        <w:tc>
          <w:tcPr>
            <w:shd w:fill="ffffff" w:val="clear"/>
            <w:vAlign w:val="bottom"/>
          </w:tcPr>
          <w:p w:rsidR="00000000" w:rsidDel="00000000" w:rsidP="00000000" w:rsidRDefault="00000000" w:rsidRPr="00000000" w14:paraId="0000004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11,9%</w:t>
            </w:r>
          </w:p>
        </w:tc>
      </w:tr>
      <w:tr>
        <w:trPr>
          <w:cantSplit w:val="0"/>
          <w:trHeight w:val="330" w:hRule="atLeast"/>
          <w:tblHeader w:val="0"/>
        </w:trPr>
        <w:tc>
          <w:tcPr>
            <w:shd w:fill="auto" w:val="clear"/>
            <w:vAlign w:val="bottom"/>
          </w:tcPr>
          <w:p w:rsidR="00000000" w:rsidDel="00000000" w:rsidP="00000000" w:rsidRDefault="00000000" w:rsidRPr="00000000" w14:paraId="0000004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Cantabria</w:t>
            </w:r>
          </w:p>
        </w:tc>
        <w:tc>
          <w:tcPr>
            <w:shd w:fill="ffffff" w:val="clear"/>
            <w:vAlign w:val="bottom"/>
          </w:tcPr>
          <w:p w:rsidR="00000000" w:rsidDel="00000000" w:rsidP="00000000" w:rsidRDefault="00000000" w:rsidRPr="00000000" w14:paraId="00000043">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-6,8%</w:t>
            </w:r>
          </w:p>
        </w:tc>
        <w:tc>
          <w:tcPr>
            <w:shd w:fill="ffffff" w:val="clear"/>
            <w:vAlign w:val="bottom"/>
          </w:tcPr>
          <w:p w:rsidR="00000000" w:rsidDel="00000000" w:rsidP="00000000" w:rsidRDefault="00000000" w:rsidRPr="00000000" w14:paraId="00000044">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-19,0%</w:t>
            </w:r>
          </w:p>
        </w:tc>
        <w:tc>
          <w:tcPr>
            <w:shd w:fill="ffffff" w:val="clear"/>
            <w:vAlign w:val="bottom"/>
          </w:tcPr>
          <w:p w:rsidR="00000000" w:rsidDel="00000000" w:rsidP="00000000" w:rsidRDefault="00000000" w:rsidRPr="00000000" w14:paraId="0000004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22,6%</w:t>
            </w:r>
          </w:p>
        </w:tc>
        <w:tc>
          <w:tcPr>
            <w:shd w:fill="ffffff" w:val="clear"/>
            <w:vAlign w:val="bottom"/>
          </w:tcPr>
          <w:p w:rsidR="00000000" w:rsidDel="00000000" w:rsidP="00000000" w:rsidRDefault="00000000" w:rsidRPr="00000000" w14:paraId="0000004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23,7%</w:t>
            </w:r>
          </w:p>
        </w:tc>
        <w:tc>
          <w:tcPr>
            <w:shd w:fill="ffffff" w:val="clear"/>
            <w:vAlign w:val="bottom"/>
          </w:tcPr>
          <w:p w:rsidR="00000000" w:rsidDel="00000000" w:rsidP="00000000" w:rsidRDefault="00000000" w:rsidRPr="00000000" w14:paraId="0000004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8,9%</w:t>
            </w:r>
          </w:p>
        </w:tc>
      </w:tr>
      <w:tr>
        <w:trPr>
          <w:cantSplit w:val="0"/>
          <w:trHeight w:val="330" w:hRule="atLeast"/>
          <w:tblHeader w:val="0"/>
        </w:trPr>
        <w:tc>
          <w:tcPr>
            <w:shd w:fill="auto" w:val="clear"/>
            <w:vAlign w:val="bottom"/>
          </w:tcPr>
          <w:p w:rsidR="00000000" w:rsidDel="00000000" w:rsidP="00000000" w:rsidRDefault="00000000" w:rsidRPr="00000000" w14:paraId="0000004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Castilla y León</w:t>
            </w:r>
          </w:p>
        </w:tc>
        <w:tc>
          <w:tcPr>
            <w:shd w:fill="ffffff" w:val="clear"/>
            <w:vAlign w:val="bottom"/>
          </w:tcPr>
          <w:p w:rsidR="00000000" w:rsidDel="00000000" w:rsidP="00000000" w:rsidRDefault="00000000" w:rsidRPr="00000000" w14:paraId="00000049">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-17,8%</w:t>
            </w:r>
          </w:p>
        </w:tc>
        <w:tc>
          <w:tcPr>
            <w:shd w:fill="ffffff" w:val="clear"/>
            <w:vAlign w:val="bottom"/>
          </w:tcPr>
          <w:p w:rsidR="00000000" w:rsidDel="00000000" w:rsidP="00000000" w:rsidRDefault="00000000" w:rsidRPr="00000000" w14:paraId="0000004A">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-21,4%</w:t>
            </w:r>
          </w:p>
        </w:tc>
        <w:tc>
          <w:tcPr>
            <w:shd w:fill="ffffff" w:val="clear"/>
            <w:vAlign w:val="bottom"/>
          </w:tcPr>
          <w:p w:rsidR="00000000" w:rsidDel="00000000" w:rsidP="00000000" w:rsidRDefault="00000000" w:rsidRPr="00000000" w14:paraId="0000004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8,8%</w:t>
            </w:r>
          </w:p>
        </w:tc>
        <w:tc>
          <w:tcPr>
            <w:shd w:fill="ffffff" w:val="clear"/>
            <w:vAlign w:val="bottom"/>
          </w:tcPr>
          <w:p w:rsidR="00000000" w:rsidDel="00000000" w:rsidP="00000000" w:rsidRDefault="00000000" w:rsidRPr="00000000" w14:paraId="0000004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10,5%</w:t>
            </w:r>
          </w:p>
        </w:tc>
        <w:tc>
          <w:tcPr>
            <w:shd w:fill="ffffff" w:val="clear"/>
            <w:vAlign w:val="bottom"/>
          </w:tcPr>
          <w:p w:rsidR="00000000" w:rsidDel="00000000" w:rsidP="00000000" w:rsidRDefault="00000000" w:rsidRPr="00000000" w14:paraId="0000004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6,1%</w:t>
            </w:r>
          </w:p>
        </w:tc>
      </w:tr>
      <w:tr>
        <w:trPr>
          <w:cantSplit w:val="0"/>
          <w:trHeight w:val="330" w:hRule="atLeast"/>
          <w:tblHeader w:val="0"/>
        </w:trPr>
        <w:tc>
          <w:tcPr>
            <w:shd w:fill="auto" w:val="clear"/>
            <w:vAlign w:val="bottom"/>
          </w:tcPr>
          <w:p w:rsidR="00000000" w:rsidDel="00000000" w:rsidP="00000000" w:rsidRDefault="00000000" w:rsidRPr="00000000" w14:paraId="0000004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Castilla-La Mancha</w:t>
            </w:r>
          </w:p>
        </w:tc>
        <w:tc>
          <w:tcPr>
            <w:shd w:fill="ffffff" w:val="clear"/>
            <w:vAlign w:val="bottom"/>
          </w:tcPr>
          <w:p w:rsidR="00000000" w:rsidDel="00000000" w:rsidP="00000000" w:rsidRDefault="00000000" w:rsidRPr="00000000" w14:paraId="0000004F">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-31,1%</w:t>
            </w:r>
          </w:p>
        </w:tc>
        <w:tc>
          <w:tcPr>
            <w:shd w:fill="ffffff" w:val="clear"/>
            <w:vAlign w:val="bottom"/>
          </w:tcPr>
          <w:p w:rsidR="00000000" w:rsidDel="00000000" w:rsidP="00000000" w:rsidRDefault="00000000" w:rsidRPr="00000000" w14:paraId="00000050">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-30,7%</w:t>
            </w:r>
          </w:p>
        </w:tc>
        <w:tc>
          <w:tcPr>
            <w:shd w:fill="ffffff" w:val="clear"/>
            <w:vAlign w:val="bottom"/>
          </w:tcPr>
          <w:p w:rsidR="00000000" w:rsidDel="00000000" w:rsidP="00000000" w:rsidRDefault="00000000" w:rsidRPr="00000000" w14:paraId="0000005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8,5%</w:t>
            </w:r>
          </w:p>
        </w:tc>
        <w:tc>
          <w:tcPr>
            <w:shd w:fill="ffffff" w:val="clear"/>
            <w:vAlign w:val="bottom"/>
          </w:tcPr>
          <w:p w:rsidR="00000000" w:rsidDel="00000000" w:rsidP="00000000" w:rsidRDefault="00000000" w:rsidRPr="00000000" w14:paraId="0000005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7,8%</w:t>
            </w:r>
          </w:p>
        </w:tc>
        <w:tc>
          <w:tcPr>
            <w:shd w:fill="ffffff" w:val="clear"/>
            <w:vAlign w:val="bottom"/>
          </w:tcPr>
          <w:p w:rsidR="00000000" w:rsidDel="00000000" w:rsidP="00000000" w:rsidRDefault="00000000" w:rsidRPr="00000000" w14:paraId="00000053">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-0,04%</w:t>
            </w:r>
          </w:p>
        </w:tc>
      </w:tr>
      <w:tr>
        <w:trPr>
          <w:cantSplit w:val="0"/>
          <w:trHeight w:val="330" w:hRule="atLeast"/>
          <w:tblHeader w:val="0"/>
        </w:trPr>
        <w:tc>
          <w:tcPr>
            <w:shd w:fill="auto" w:val="clear"/>
            <w:vAlign w:val="bottom"/>
          </w:tcPr>
          <w:p w:rsidR="00000000" w:rsidDel="00000000" w:rsidP="00000000" w:rsidRDefault="00000000" w:rsidRPr="00000000" w14:paraId="0000005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Cataluña</w:t>
            </w:r>
          </w:p>
        </w:tc>
        <w:tc>
          <w:tcPr>
            <w:shd w:fill="ffffff" w:val="clear"/>
            <w:vAlign w:val="bottom"/>
          </w:tcPr>
          <w:p w:rsidR="00000000" w:rsidDel="00000000" w:rsidP="00000000" w:rsidRDefault="00000000" w:rsidRPr="00000000" w14:paraId="00000055">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-3,6%</w:t>
            </w:r>
          </w:p>
        </w:tc>
        <w:tc>
          <w:tcPr>
            <w:shd w:fill="ffffff" w:val="clear"/>
            <w:vAlign w:val="bottom"/>
          </w:tcPr>
          <w:p w:rsidR="00000000" w:rsidDel="00000000" w:rsidP="00000000" w:rsidRDefault="00000000" w:rsidRPr="00000000" w14:paraId="00000056">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-6,5%</w:t>
            </w:r>
          </w:p>
        </w:tc>
        <w:tc>
          <w:tcPr>
            <w:shd w:fill="ffffff" w:val="clear"/>
            <w:vAlign w:val="bottom"/>
          </w:tcPr>
          <w:p w:rsidR="00000000" w:rsidDel="00000000" w:rsidP="00000000" w:rsidRDefault="00000000" w:rsidRPr="00000000" w14:paraId="0000005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43,7%</w:t>
            </w:r>
          </w:p>
        </w:tc>
        <w:tc>
          <w:tcPr>
            <w:shd w:fill="ffffff" w:val="clear"/>
            <w:vAlign w:val="bottom"/>
          </w:tcPr>
          <w:p w:rsidR="00000000" w:rsidDel="00000000" w:rsidP="00000000" w:rsidRDefault="00000000" w:rsidRPr="00000000" w14:paraId="0000005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20,4%</w:t>
            </w:r>
          </w:p>
        </w:tc>
        <w:tc>
          <w:tcPr>
            <w:shd w:fill="ffffff" w:val="clear"/>
            <w:vAlign w:val="bottom"/>
          </w:tcPr>
          <w:p w:rsidR="00000000" w:rsidDel="00000000" w:rsidP="00000000" w:rsidRDefault="00000000" w:rsidRPr="00000000" w14:paraId="0000005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3,2%</w:t>
            </w:r>
          </w:p>
        </w:tc>
      </w:tr>
      <w:tr>
        <w:trPr>
          <w:cantSplit w:val="0"/>
          <w:trHeight w:val="330" w:hRule="atLeast"/>
          <w:tblHeader w:val="0"/>
        </w:trPr>
        <w:tc>
          <w:tcPr>
            <w:shd w:fill="auto" w:val="clear"/>
            <w:vAlign w:val="bottom"/>
          </w:tcPr>
          <w:p w:rsidR="00000000" w:rsidDel="00000000" w:rsidP="00000000" w:rsidRDefault="00000000" w:rsidRPr="00000000" w14:paraId="0000005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 Valenciana</w:t>
            </w:r>
          </w:p>
        </w:tc>
        <w:tc>
          <w:tcPr>
            <w:shd w:fill="ffffff" w:val="clear"/>
            <w:vAlign w:val="bottom"/>
          </w:tcPr>
          <w:p w:rsidR="00000000" w:rsidDel="00000000" w:rsidP="00000000" w:rsidRDefault="00000000" w:rsidRPr="00000000" w14:paraId="0000005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9,5%</w:t>
            </w:r>
          </w:p>
        </w:tc>
        <w:tc>
          <w:tcPr>
            <w:shd w:fill="ffffff" w:val="clear"/>
            <w:vAlign w:val="bottom"/>
          </w:tcPr>
          <w:p w:rsidR="00000000" w:rsidDel="00000000" w:rsidP="00000000" w:rsidRDefault="00000000" w:rsidRPr="00000000" w14:paraId="0000005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19,8%</w:t>
            </w:r>
          </w:p>
        </w:tc>
        <w:tc>
          <w:tcPr>
            <w:shd w:fill="ffffff" w:val="clear"/>
            <w:vAlign w:val="bottom"/>
          </w:tcPr>
          <w:p w:rsidR="00000000" w:rsidDel="00000000" w:rsidP="00000000" w:rsidRDefault="00000000" w:rsidRPr="00000000" w14:paraId="0000005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74,1%</w:t>
            </w:r>
          </w:p>
        </w:tc>
        <w:tc>
          <w:tcPr>
            <w:shd w:fill="ffffff" w:val="clear"/>
            <w:vAlign w:val="bottom"/>
          </w:tcPr>
          <w:p w:rsidR="00000000" w:rsidDel="00000000" w:rsidP="00000000" w:rsidRDefault="00000000" w:rsidRPr="00000000" w14:paraId="0000005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56,8%</w:t>
            </w:r>
          </w:p>
        </w:tc>
        <w:tc>
          <w:tcPr>
            <w:shd w:fill="ffffff" w:val="clear"/>
            <w:vAlign w:val="bottom"/>
          </w:tcPr>
          <w:p w:rsidR="00000000" w:rsidDel="00000000" w:rsidP="00000000" w:rsidRDefault="00000000" w:rsidRPr="00000000" w14:paraId="0000005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22,2%</w:t>
            </w:r>
          </w:p>
        </w:tc>
      </w:tr>
      <w:tr>
        <w:trPr>
          <w:cantSplit w:val="0"/>
          <w:trHeight w:val="330" w:hRule="atLeast"/>
          <w:tblHeader w:val="0"/>
        </w:trPr>
        <w:tc>
          <w:tcPr>
            <w:shd w:fill="auto" w:val="clear"/>
            <w:vAlign w:val="bottom"/>
          </w:tcPr>
          <w:p w:rsidR="00000000" w:rsidDel="00000000" w:rsidP="00000000" w:rsidRDefault="00000000" w:rsidRPr="00000000" w14:paraId="0000006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Extremadura</w:t>
            </w:r>
          </w:p>
        </w:tc>
        <w:tc>
          <w:tcPr>
            <w:shd w:fill="ffffff" w:val="clear"/>
            <w:vAlign w:val="bottom"/>
          </w:tcPr>
          <w:p w:rsidR="00000000" w:rsidDel="00000000" w:rsidP="00000000" w:rsidRDefault="00000000" w:rsidRPr="00000000" w14:paraId="00000061">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-13,1%</w:t>
            </w:r>
          </w:p>
        </w:tc>
        <w:tc>
          <w:tcPr>
            <w:shd w:fill="ffffff" w:val="clear"/>
            <w:vAlign w:val="bottom"/>
          </w:tcPr>
          <w:p w:rsidR="00000000" w:rsidDel="00000000" w:rsidP="00000000" w:rsidRDefault="00000000" w:rsidRPr="00000000" w14:paraId="00000062">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-28,2%</w:t>
            </w:r>
          </w:p>
        </w:tc>
        <w:tc>
          <w:tcPr>
            <w:shd w:fill="ffffff" w:val="clear"/>
            <w:vAlign w:val="bottom"/>
          </w:tcPr>
          <w:p w:rsidR="00000000" w:rsidDel="00000000" w:rsidP="00000000" w:rsidRDefault="00000000" w:rsidRPr="00000000" w14:paraId="0000006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9,0%</w:t>
            </w:r>
          </w:p>
        </w:tc>
        <w:tc>
          <w:tcPr>
            <w:shd w:fill="ffffff" w:val="clear"/>
            <w:vAlign w:val="bottom"/>
          </w:tcPr>
          <w:p w:rsidR="00000000" w:rsidDel="00000000" w:rsidP="00000000" w:rsidRDefault="00000000" w:rsidRPr="00000000" w14:paraId="0000006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10,4%</w:t>
            </w:r>
          </w:p>
        </w:tc>
        <w:tc>
          <w:tcPr>
            <w:shd w:fill="ffffff" w:val="clear"/>
            <w:vAlign w:val="bottom"/>
          </w:tcPr>
          <w:p w:rsidR="00000000" w:rsidDel="00000000" w:rsidP="00000000" w:rsidRDefault="00000000" w:rsidRPr="00000000" w14:paraId="0000006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w:t>
            </w:r>
          </w:p>
        </w:tc>
      </w:tr>
      <w:tr>
        <w:trPr>
          <w:cantSplit w:val="0"/>
          <w:trHeight w:val="330" w:hRule="atLeast"/>
          <w:tblHeader w:val="0"/>
        </w:trPr>
        <w:tc>
          <w:tcPr>
            <w:shd w:fill="auto" w:val="clear"/>
            <w:vAlign w:val="bottom"/>
          </w:tcPr>
          <w:p w:rsidR="00000000" w:rsidDel="00000000" w:rsidP="00000000" w:rsidRDefault="00000000" w:rsidRPr="00000000" w14:paraId="0000006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Galicia</w:t>
            </w:r>
          </w:p>
        </w:tc>
        <w:tc>
          <w:tcPr>
            <w:shd w:fill="ffffff" w:val="clear"/>
            <w:vAlign w:val="bottom"/>
          </w:tcPr>
          <w:p w:rsidR="00000000" w:rsidDel="00000000" w:rsidP="00000000" w:rsidRDefault="00000000" w:rsidRPr="00000000" w14:paraId="0000006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14,6%</w:t>
            </w:r>
          </w:p>
        </w:tc>
        <w:tc>
          <w:tcPr>
            <w:shd w:fill="ffffff" w:val="clear"/>
            <w:vAlign w:val="bottom"/>
          </w:tcPr>
          <w:p w:rsidR="00000000" w:rsidDel="00000000" w:rsidP="00000000" w:rsidRDefault="00000000" w:rsidRPr="00000000" w14:paraId="00000068">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-9,7%</w:t>
            </w:r>
          </w:p>
        </w:tc>
        <w:tc>
          <w:tcPr>
            <w:shd w:fill="ffffff" w:val="clear"/>
            <w:vAlign w:val="bottom"/>
          </w:tcPr>
          <w:p w:rsidR="00000000" w:rsidDel="00000000" w:rsidP="00000000" w:rsidRDefault="00000000" w:rsidRPr="00000000" w14:paraId="0000006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w:t>
            </w:r>
          </w:p>
        </w:tc>
        <w:tc>
          <w:tcPr>
            <w:shd w:fill="ffffff" w:val="clear"/>
            <w:vAlign w:val="bottom"/>
          </w:tcPr>
          <w:p w:rsidR="00000000" w:rsidDel="00000000" w:rsidP="00000000" w:rsidRDefault="00000000" w:rsidRPr="00000000" w14:paraId="0000006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23,6%</w:t>
            </w:r>
          </w:p>
        </w:tc>
        <w:tc>
          <w:tcPr>
            <w:shd w:fill="ffffff" w:val="clear"/>
            <w:vAlign w:val="bottom"/>
          </w:tcPr>
          <w:p w:rsidR="00000000" w:rsidDel="00000000" w:rsidP="00000000" w:rsidRDefault="00000000" w:rsidRPr="00000000" w14:paraId="0000006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10,1%</w:t>
            </w:r>
          </w:p>
        </w:tc>
      </w:tr>
      <w:tr>
        <w:trPr>
          <w:cantSplit w:val="0"/>
          <w:trHeight w:val="330" w:hRule="atLeast"/>
          <w:tblHeader w:val="0"/>
        </w:trPr>
        <w:tc>
          <w:tcPr>
            <w:shd w:fill="auto" w:val="clear"/>
            <w:vAlign w:val="bottom"/>
          </w:tcPr>
          <w:p w:rsidR="00000000" w:rsidDel="00000000" w:rsidP="00000000" w:rsidRDefault="00000000" w:rsidRPr="00000000" w14:paraId="0000006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La Rioja</w:t>
            </w:r>
          </w:p>
        </w:tc>
        <w:tc>
          <w:tcPr>
            <w:shd w:fill="ffffff" w:val="clear"/>
            <w:vAlign w:val="bottom"/>
          </w:tcPr>
          <w:p w:rsidR="00000000" w:rsidDel="00000000" w:rsidP="00000000" w:rsidRDefault="00000000" w:rsidRPr="00000000" w14:paraId="0000006D">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-30,7%</w:t>
            </w:r>
          </w:p>
        </w:tc>
        <w:tc>
          <w:tcPr>
            <w:shd w:fill="ffffff" w:val="clear"/>
            <w:vAlign w:val="bottom"/>
          </w:tcPr>
          <w:p w:rsidR="00000000" w:rsidDel="00000000" w:rsidP="00000000" w:rsidRDefault="00000000" w:rsidRPr="00000000" w14:paraId="0000006E">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-23,6%</w:t>
            </w:r>
          </w:p>
        </w:tc>
        <w:tc>
          <w:tcPr>
            <w:shd w:fill="ffffff" w:val="clear"/>
            <w:vAlign w:val="bottom"/>
          </w:tcPr>
          <w:p w:rsidR="00000000" w:rsidDel="00000000" w:rsidP="00000000" w:rsidRDefault="00000000" w:rsidRPr="00000000" w14:paraId="0000006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28,2%</w:t>
            </w:r>
          </w:p>
        </w:tc>
        <w:tc>
          <w:tcPr>
            <w:shd w:fill="ffffff" w:val="clear"/>
            <w:vAlign w:val="bottom"/>
          </w:tcPr>
          <w:p w:rsidR="00000000" w:rsidDel="00000000" w:rsidP="00000000" w:rsidRDefault="00000000" w:rsidRPr="00000000" w14:paraId="0000007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18,5%</w:t>
            </w:r>
          </w:p>
        </w:tc>
        <w:tc>
          <w:tcPr>
            <w:shd w:fill="ffffff" w:val="clear"/>
            <w:vAlign w:val="bottom"/>
          </w:tcPr>
          <w:p w:rsidR="00000000" w:rsidDel="00000000" w:rsidP="00000000" w:rsidRDefault="00000000" w:rsidRPr="00000000" w14:paraId="0000007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w:t>
            </w:r>
          </w:p>
        </w:tc>
      </w:tr>
      <w:tr>
        <w:trPr>
          <w:cantSplit w:val="0"/>
          <w:trHeight w:val="330" w:hRule="atLeast"/>
          <w:tblHeader w:val="0"/>
        </w:trPr>
        <w:tc>
          <w:tcPr>
            <w:shd w:fill="auto" w:val="clear"/>
            <w:vAlign w:val="bottom"/>
          </w:tcPr>
          <w:p w:rsidR="00000000" w:rsidDel="00000000" w:rsidP="00000000" w:rsidRDefault="00000000" w:rsidRPr="00000000" w14:paraId="0000007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Madrid</w:t>
            </w:r>
          </w:p>
        </w:tc>
        <w:tc>
          <w:tcPr>
            <w:shd w:fill="ffffff" w:val="clear"/>
            <w:vAlign w:val="bottom"/>
          </w:tcPr>
          <w:p w:rsidR="00000000" w:rsidDel="00000000" w:rsidP="00000000" w:rsidRDefault="00000000" w:rsidRPr="00000000" w14:paraId="0000007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33,5%</w:t>
            </w:r>
          </w:p>
        </w:tc>
        <w:tc>
          <w:tcPr>
            <w:shd w:fill="ffffff" w:val="clear"/>
            <w:vAlign w:val="bottom"/>
          </w:tcPr>
          <w:p w:rsidR="00000000" w:rsidDel="00000000" w:rsidP="00000000" w:rsidRDefault="00000000" w:rsidRPr="00000000" w14:paraId="0000007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46,5%</w:t>
            </w:r>
          </w:p>
        </w:tc>
        <w:tc>
          <w:tcPr>
            <w:shd w:fill="ffffff" w:val="clear"/>
            <w:vAlign w:val="bottom"/>
          </w:tcPr>
          <w:p w:rsidR="00000000" w:rsidDel="00000000" w:rsidP="00000000" w:rsidRDefault="00000000" w:rsidRPr="00000000" w14:paraId="0000007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105,8%</w:t>
            </w:r>
          </w:p>
        </w:tc>
        <w:tc>
          <w:tcPr>
            <w:shd w:fill="ffffff" w:val="clear"/>
            <w:vAlign w:val="bottom"/>
          </w:tcPr>
          <w:p w:rsidR="00000000" w:rsidDel="00000000" w:rsidP="00000000" w:rsidRDefault="00000000" w:rsidRPr="00000000" w14:paraId="0000007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46,7%</w:t>
            </w:r>
          </w:p>
        </w:tc>
        <w:tc>
          <w:tcPr>
            <w:shd w:fill="ffffff" w:val="clear"/>
            <w:vAlign w:val="bottom"/>
          </w:tcPr>
          <w:p w:rsidR="00000000" w:rsidDel="00000000" w:rsidP="00000000" w:rsidRDefault="00000000" w:rsidRPr="00000000" w14:paraId="0000007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13,5%</w:t>
            </w:r>
          </w:p>
        </w:tc>
      </w:tr>
      <w:tr>
        <w:trPr>
          <w:cantSplit w:val="0"/>
          <w:trHeight w:val="330" w:hRule="atLeast"/>
          <w:tblHeader w:val="0"/>
        </w:trPr>
        <w:tc>
          <w:tcPr>
            <w:shd w:fill="auto" w:val="clear"/>
            <w:vAlign w:val="bottom"/>
          </w:tcPr>
          <w:p w:rsidR="00000000" w:rsidDel="00000000" w:rsidP="00000000" w:rsidRDefault="00000000" w:rsidRPr="00000000" w14:paraId="0000007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Navarra</w:t>
            </w:r>
          </w:p>
        </w:tc>
        <w:tc>
          <w:tcPr>
            <w:shd w:fill="ffffff" w:val="clear"/>
            <w:vAlign w:val="bottom"/>
          </w:tcPr>
          <w:p w:rsidR="00000000" w:rsidDel="00000000" w:rsidP="00000000" w:rsidRDefault="00000000" w:rsidRPr="00000000" w14:paraId="0000007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5,9%</w:t>
            </w:r>
          </w:p>
        </w:tc>
        <w:tc>
          <w:tcPr>
            <w:shd w:fill="ffffff" w:val="clear"/>
            <w:vAlign w:val="bottom"/>
          </w:tcPr>
          <w:p w:rsidR="00000000" w:rsidDel="00000000" w:rsidP="00000000" w:rsidRDefault="00000000" w:rsidRPr="00000000" w14:paraId="0000007A">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-22,0%</w:t>
            </w:r>
          </w:p>
        </w:tc>
        <w:tc>
          <w:tcPr>
            <w:shd w:fill="ffffff" w:val="clear"/>
            <w:vAlign w:val="bottom"/>
          </w:tcPr>
          <w:p w:rsidR="00000000" w:rsidDel="00000000" w:rsidP="00000000" w:rsidRDefault="00000000" w:rsidRPr="00000000" w14:paraId="0000007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23,7%</w:t>
            </w:r>
          </w:p>
        </w:tc>
        <w:tc>
          <w:tcPr>
            <w:shd w:fill="ffffff" w:val="clear"/>
            <w:vAlign w:val="bottom"/>
          </w:tcPr>
          <w:p w:rsidR="00000000" w:rsidDel="00000000" w:rsidP="00000000" w:rsidRDefault="00000000" w:rsidRPr="00000000" w14:paraId="0000007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23,1%</w:t>
            </w:r>
          </w:p>
        </w:tc>
        <w:tc>
          <w:tcPr>
            <w:shd w:fill="ffffff" w:val="clear"/>
            <w:vAlign w:val="bottom"/>
          </w:tcPr>
          <w:p w:rsidR="00000000" w:rsidDel="00000000" w:rsidP="00000000" w:rsidRDefault="00000000" w:rsidRPr="00000000" w14:paraId="0000007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w:t>
            </w:r>
          </w:p>
        </w:tc>
      </w:tr>
      <w:tr>
        <w:trPr>
          <w:cantSplit w:val="0"/>
          <w:trHeight w:val="330" w:hRule="atLeast"/>
          <w:tblHeader w:val="0"/>
        </w:trPr>
        <w:tc>
          <w:tcPr>
            <w:shd w:fill="auto" w:val="clear"/>
            <w:vAlign w:val="bottom"/>
          </w:tcPr>
          <w:p w:rsidR="00000000" w:rsidDel="00000000" w:rsidP="00000000" w:rsidRDefault="00000000" w:rsidRPr="00000000" w14:paraId="0000007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País Vasco</w:t>
            </w:r>
          </w:p>
        </w:tc>
        <w:tc>
          <w:tcPr>
            <w:shd w:fill="ffffff" w:val="clear"/>
            <w:vAlign w:val="bottom"/>
          </w:tcPr>
          <w:p w:rsidR="00000000" w:rsidDel="00000000" w:rsidP="00000000" w:rsidRDefault="00000000" w:rsidRPr="00000000" w14:paraId="0000007F">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-15,2%</w:t>
            </w:r>
          </w:p>
        </w:tc>
        <w:tc>
          <w:tcPr>
            <w:shd w:fill="ffffff" w:val="clear"/>
            <w:vAlign w:val="bottom"/>
          </w:tcPr>
          <w:p w:rsidR="00000000" w:rsidDel="00000000" w:rsidP="00000000" w:rsidRDefault="00000000" w:rsidRPr="00000000" w14:paraId="00000080">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-10,2%</w:t>
            </w:r>
          </w:p>
        </w:tc>
        <w:tc>
          <w:tcPr>
            <w:shd w:fill="ffffff" w:val="clear"/>
            <w:vAlign w:val="bottom"/>
          </w:tcPr>
          <w:p w:rsidR="00000000" w:rsidDel="00000000" w:rsidP="00000000" w:rsidRDefault="00000000" w:rsidRPr="00000000" w14:paraId="0000008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19,7%</w:t>
            </w:r>
          </w:p>
        </w:tc>
        <w:tc>
          <w:tcPr>
            <w:shd w:fill="ffffff" w:val="clear"/>
            <w:vAlign w:val="bottom"/>
          </w:tcPr>
          <w:p w:rsidR="00000000" w:rsidDel="00000000" w:rsidP="00000000" w:rsidRDefault="00000000" w:rsidRPr="00000000" w14:paraId="0000008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21,5%</w:t>
            </w:r>
          </w:p>
        </w:tc>
        <w:tc>
          <w:tcPr>
            <w:shd w:fill="ffffff" w:val="clear"/>
            <w:vAlign w:val="bottom"/>
          </w:tcPr>
          <w:p w:rsidR="00000000" w:rsidDel="00000000" w:rsidP="00000000" w:rsidRDefault="00000000" w:rsidRPr="00000000" w14:paraId="0000008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8,5%</w:t>
            </w:r>
          </w:p>
        </w:tc>
      </w:tr>
      <w:tr>
        <w:trPr>
          <w:cantSplit w:val="0"/>
          <w:trHeight w:val="330" w:hRule="atLeast"/>
          <w:tblHeader w:val="0"/>
        </w:trPr>
        <w:tc>
          <w:tcPr>
            <w:shd w:fill="auto" w:val="clear"/>
            <w:vAlign w:val="bottom"/>
          </w:tcPr>
          <w:p w:rsidR="00000000" w:rsidDel="00000000" w:rsidP="00000000" w:rsidRDefault="00000000" w:rsidRPr="00000000" w14:paraId="0000008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Región de Murcia</w:t>
            </w:r>
          </w:p>
        </w:tc>
        <w:tc>
          <w:tcPr>
            <w:shd w:fill="ffffff" w:val="clear"/>
            <w:vAlign w:val="bottom"/>
          </w:tcPr>
          <w:p w:rsidR="00000000" w:rsidDel="00000000" w:rsidP="00000000" w:rsidRDefault="00000000" w:rsidRPr="00000000" w14:paraId="00000085">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-22,6%</w:t>
            </w:r>
          </w:p>
        </w:tc>
        <w:tc>
          <w:tcPr>
            <w:shd w:fill="ffffff" w:val="clear"/>
            <w:vAlign w:val="bottom"/>
          </w:tcPr>
          <w:p w:rsidR="00000000" w:rsidDel="00000000" w:rsidP="00000000" w:rsidRDefault="00000000" w:rsidRPr="00000000" w14:paraId="00000086">
            <w:pPr>
              <w:jc w:val="right"/>
              <w:rPr>
                <w:rFonts w:ascii="Open Sans" w:cs="Open Sans" w:eastAsia="Open Sans" w:hAnsi="Open Sans"/>
                <w:color w:val="9c0006"/>
                <w:sz w:val="22"/>
                <w:szCs w:val="22"/>
              </w:rPr>
            </w:pPr>
            <w:r w:rsidDel="00000000" w:rsidR="00000000" w:rsidRPr="00000000">
              <w:rPr>
                <w:rFonts w:ascii="Open Sans" w:cs="Open Sans" w:eastAsia="Open Sans" w:hAnsi="Open Sans"/>
                <w:color w:val="9c0006"/>
                <w:sz w:val="22"/>
                <w:szCs w:val="22"/>
                <w:rtl w:val="0"/>
              </w:rPr>
              <w:t xml:space="preserve">-8,1%</w:t>
            </w:r>
          </w:p>
        </w:tc>
        <w:tc>
          <w:tcPr>
            <w:shd w:fill="ffffff" w:val="clear"/>
            <w:vAlign w:val="bottom"/>
          </w:tcPr>
          <w:p w:rsidR="00000000" w:rsidDel="00000000" w:rsidP="00000000" w:rsidRDefault="00000000" w:rsidRPr="00000000" w14:paraId="0000008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37,4%</w:t>
            </w:r>
          </w:p>
        </w:tc>
        <w:tc>
          <w:tcPr>
            <w:shd w:fill="ffffff" w:val="clear"/>
            <w:vAlign w:val="bottom"/>
          </w:tcPr>
          <w:p w:rsidR="00000000" w:rsidDel="00000000" w:rsidP="00000000" w:rsidRDefault="00000000" w:rsidRPr="00000000" w14:paraId="0000008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37,4%</w:t>
            </w:r>
          </w:p>
        </w:tc>
        <w:tc>
          <w:tcPr>
            <w:shd w:fill="ffffff" w:val="clear"/>
            <w:vAlign w:val="bottom"/>
          </w:tcPr>
          <w:p w:rsidR="00000000" w:rsidDel="00000000" w:rsidP="00000000" w:rsidRDefault="00000000" w:rsidRPr="00000000" w14:paraId="0000008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17,5%</w:t>
            </w:r>
          </w:p>
        </w:tc>
      </w:tr>
      <w:tr>
        <w:trPr>
          <w:cantSplit w:val="0"/>
          <w:trHeight w:val="330" w:hRule="atLeast"/>
          <w:tblHeader w:val="0"/>
        </w:trPr>
        <w:tc>
          <w:tcPr>
            <w:shd w:fill="auto" w:val="clear"/>
            <w:vAlign w:val="bottom"/>
          </w:tcPr>
          <w:p w:rsidR="00000000" w:rsidDel="00000000" w:rsidP="00000000" w:rsidRDefault="00000000" w:rsidRPr="00000000" w14:paraId="0000008A">
            <w:pP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España</w:t>
            </w:r>
          </w:p>
        </w:tc>
        <w:tc>
          <w:tcPr>
            <w:shd w:fill="auto" w:val="clear"/>
            <w:vAlign w:val="bottom"/>
          </w:tcPr>
          <w:p w:rsidR="00000000" w:rsidDel="00000000" w:rsidP="00000000" w:rsidRDefault="00000000" w:rsidRPr="00000000" w14:paraId="0000008B">
            <w:pPr>
              <w:jc w:val="right"/>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w:t>
            </w:r>
          </w:p>
        </w:tc>
        <w:tc>
          <w:tcPr>
            <w:shd w:fill="auto" w:val="clear"/>
            <w:vAlign w:val="bottom"/>
          </w:tcPr>
          <w:p w:rsidR="00000000" w:rsidDel="00000000" w:rsidP="00000000" w:rsidRDefault="00000000" w:rsidRPr="00000000" w14:paraId="0000008C">
            <w:pPr>
              <w:jc w:val="right"/>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6,0%</w:t>
            </w:r>
          </w:p>
        </w:tc>
        <w:tc>
          <w:tcPr>
            <w:shd w:fill="auto" w:val="clear"/>
            <w:vAlign w:val="bottom"/>
          </w:tcPr>
          <w:p w:rsidR="00000000" w:rsidDel="00000000" w:rsidP="00000000" w:rsidRDefault="00000000" w:rsidRPr="00000000" w14:paraId="0000008D">
            <w:pPr>
              <w:jc w:val="right"/>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53,9%</w:t>
            </w:r>
          </w:p>
        </w:tc>
        <w:tc>
          <w:tcPr>
            <w:shd w:fill="auto" w:val="clear"/>
            <w:vAlign w:val="bottom"/>
          </w:tcPr>
          <w:p w:rsidR="00000000" w:rsidDel="00000000" w:rsidP="00000000" w:rsidRDefault="00000000" w:rsidRPr="00000000" w14:paraId="0000008E">
            <w:pPr>
              <w:jc w:val="right"/>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35,0%</w:t>
            </w:r>
          </w:p>
        </w:tc>
        <w:tc>
          <w:tcPr>
            <w:shd w:fill="auto" w:val="clear"/>
            <w:vAlign w:val="bottom"/>
          </w:tcPr>
          <w:p w:rsidR="00000000" w:rsidDel="00000000" w:rsidP="00000000" w:rsidRDefault="00000000" w:rsidRPr="00000000" w14:paraId="0000008F">
            <w:pPr>
              <w:jc w:val="right"/>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10,2%</w:t>
            </w:r>
          </w:p>
        </w:tc>
      </w:tr>
    </w:tbl>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Por otro lado, si la comparación se realiza con las valoraciones del mercado inmobiliario de hace veinte años, en 2005 el mercado se encontraba más caro en la mayoría de las comunidades autónomas que en la actualidad. </w:t>
      </w:r>
      <w:r w:rsidDel="00000000" w:rsidR="00000000" w:rsidRPr="00000000">
        <w:rPr>
          <w:rFonts w:ascii="Open Sans" w:cs="Open Sans" w:eastAsia="Open Sans" w:hAnsi="Open Sans"/>
          <w:b w:val="1"/>
          <w:rtl w:val="0"/>
        </w:rPr>
        <w:t xml:space="preserve">Destacan casos como el de Aragón (donde en 2025 los precios son un 33% más bajos), Castilla-La Mancha (-31%), o La Rioja (-31%)</w:t>
      </w:r>
      <w:r w:rsidDel="00000000" w:rsidR="00000000" w:rsidRPr="00000000">
        <w:rPr>
          <w:rFonts w:ascii="Open Sans" w:cs="Open Sans" w:eastAsia="Open Sans" w:hAnsi="Open Sans"/>
          <w:rtl w:val="0"/>
        </w:rPr>
        <w:t xml:space="preserve">. En cambio, ya se encuentran con crecimientos positivos en la actualidad en relación con 2005 otras siete comunidades, sobresaliendo de nuevo los incrementos de Baleares (139%), Canarias (60%) y Madrid (34%).</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76" w:lineRule="auto"/>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Evolución del precio medio de una vivienda de 80m2 por CCAA</w:t>
      </w:r>
    </w:p>
    <w:p w:rsidR="00000000" w:rsidDel="00000000" w:rsidP="00000000" w:rsidRDefault="00000000" w:rsidRPr="00000000" w14:paraId="00000095">
      <w:pPr>
        <w:spacing w:line="276" w:lineRule="auto"/>
        <w:jc w:val="both"/>
        <w:rPr>
          <w:rFonts w:ascii="National" w:cs="National" w:eastAsia="National" w:hAnsi="National"/>
          <w:b w:val="1"/>
          <w:color w:val="303ab2"/>
          <w:sz w:val="32"/>
          <w:szCs w:val="32"/>
        </w:rPr>
      </w:pPr>
      <w:r w:rsidDel="00000000" w:rsidR="00000000" w:rsidRPr="00000000">
        <w:rPr>
          <w:rtl w:val="0"/>
        </w:rPr>
      </w:r>
    </w:p>
    <w:tbl>
      <w:tblPr>
        <w:tblStyle w:val="Table2"/>
        <w:tblW w:w="106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420"/>
        <w:gridCol w:w="1420"/>
        <w:gridCol w:w="1420"/>
        <w:gridCol w:w="1420"/>
        <w:gridCol w:w="1420"/>
        <w:gridCol w:w="1420"/>
        <w:tblGridChange w:id="0">
          <w:tblGrid>
            <w:gridCol w:w="2122"/>
            <w:gridCol w:w="1420"/>
            <w:gridCol w:w="1420"/>
            <w:gridCol w:w="1420"/>
            <w:gridCol w:w="1420"/>
            <w:gridCol w:w="1420"/>
            <w:gridCol w:w="1420"/>
          </w:tblGrid>
        </w:tblGridChange>
      </w:tblGrid>
      <w:tr>
        <w:trPr>
          <w:cantSplit w:val="0"/>
          <w:trHeight w:val="545" w:hRule="atLeast"/>
          <w:tblHeader w:val="0"/>
        </w:trPr>
        <w:tc>
          <w:tcPr>
            <w:shd w:fill="d9e1f2" w:val="clear"/>
            <w:vAlign w:val="center"/>
          </w:tcPr>
          <w:p w:rsidR="00000000" w:rsidDel="00000000" w:rsidP="00000000" w:rsidRDefault="00000000" w:rsidRPr="00000000" w14:paraId="00000096">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CCAA</w:t>
            </w:r>
          </w:p>
        </w:tc>
        <w:tc>
          <w:tcPr>
            <w:shd w:fill="d9e1f2" w:val="clear"/>
            <w:vAlign w:val="center"/>
          </w:tcPr>
          <w:p w:rsidR="00000000" w:rsidDel="00000000" w:rsidP="00000000" w:rsidRDefault="00000000" w:rsidRPr="00000000" w14:paraId="0000009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2005</w:t>
            </w:r>
          </w:p>
        </w:tc>
        <w:tc>
          <w:tcPr>
            <w:shd w:fill="d9e1f2" w:val="clear"/>
            <w:vAlign w:val="center"/>
          </w:tcPr>
          <w:p w:rsidR="00000000" w:rsidDel="00000000" w:rsidP="00000000" w:rsidRDefault="00000000" w:rsidRPr="00000000" w14:paraId="0000009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2010</w:t>
            </w:r>
          </w:p>
        </w:tc>
        <w:tc>
          <w:tcPr>
            <w:shd w:fill="d9e1f2" w:val="clear"/>
            <w:vAlign w:val="center"/>
          </w:tcPr>
          <w:p w:rsidR="00000000" w:rsidDel="00000000" w:rsidP="00000000" w:rsidRDefault="00000000" w:rsidRPr="00000000" w14:paraId="0000009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2015</w:t>
            </w:r>
          </w:p>
        </w:tc>
        <w:tc>
          <w:tcPr>
            <w:shd w:fill="d9e1f2" w:val="clear"/>
            <w:vAlign w:val="center"/>
          </w:tcPr>
          <w:p w:rsidR="00000000" w:rsidDel="00000000" w:rsidP="00000000" w:rsidRDefault="00000000" w:rsidRPr="00000000" w14:paraId="0000009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2020</w:t>
            </w:r>
          </w:p>
        </w:tc>
        <w:tc>
          <w:tcPr>
            <w:shd w:fill="d9e1f2" w:val="clear"/>
            <w:vAlign w:val="center"/>
          </w:tcPr>
          <w:p w:rsidR="00000000" w:rsidDel="00000000" w:rsidP="00000000" w:rsidRDefault="00000000" w:rsidRPr="00000000" w14:paraId="0000009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2024</w:t>
            </w:r>
          </w:p>
        </w:tc>
        <w:tc>
          <w:tcPr>
            <w:shd w:fill="d9e1f2" w:val="clear"/>
            <w:vAlign w:val="center"/>
          </w:tcPr>
          <w:p w:rsidR="00000000" w:rsidDel="00000000" w:rsidP="00000000" w:rsidRDefault="00000000" w:rsidRPr="00000000" w14:paraId="0000009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2025</w:t>
            </w:r>
          </w:p>
        </w:tc>
      </w:tr>
      <w:tr>
        <w:trPr>
          <w:cantSplit w:val="0"/>
          <w:trHeight w:val="330" w:hRule="atLeast"/>
          <w:tblHeader w:val="0"/>
        </w:trPr>
        <w:tc>
          <w:tcPr>
            <w:shd w:fill="auto" w:val="clear"/>
            <w:vAlign w:val="bottom"/>
          </w:tcPr>
          <w:p w:rsidR="00000000" w:rsidDel="00000000" w:rsidP="00000000" w:rsidRDefault="00000000" w:rsidRPr="00000000" w14:paraId="0000009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Andalucía</w:t>
            </w:r>
          </w:p>
        </w:tc>
        <w:tc>
          <w:tcPr>
            <w:shd w:fill="auto" w:val="clear"/>
            <w:vAlign w:val="bottom"/>
          </w:tcPr>
          <w:p w:rsidR="00000000" w:rsidDel="00000000" w:rsidP="00000000" w:rsidRDefault="00000000" w:rsidRPr="00000000" w14:paraId="0000009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174.560 € </w:t>
            </w:r>
          </w:p>
        </w:tc>
        <w:tc>
          <w:tcPr>
            <w:shd w:fill="auto" w:val="clear"/>
            <w:vAlign w:val="bottom"/>
          </w:tcPr>
          <w:p w:rsidR="00000000" w:rsidDel="00000000" w:rsidP="00000000" w:rsidRDefault="00000000" w:rsidRPr="00000000" w14:paraId="0000009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159.771 € </w:t>
            </w:r>
          </w:p>
        </w:tc>
        <w:tc>
          <w:tcPr>
            <w:shd w:fill="auto" w:val="clear"/>
            <w:vAlign w:val="bottom"/>
          </w:tcPr>
          <w:p w:rsidR="00000000" w:rsidDel="00000000" w:rsidP="00000000" w:rsidRDefault="00000000" w:rsidRPr="00000000" w14:paraId="000000A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112.847 € </w:t>
            </w:r>
          </w:p>
        </w:tc>
        <w:tc>
          <w:tcPr>
            <w:shd w:fill="auto" w:val="clear"/>
            <w:vAlign w:val="bottom"/>
          </w:tcPr>
          <w:p w:rsidR="00000000" w:rsidDel="00000000" w:rsidP="00000000" w:rsidRDefault="00000000" w:rsidRPr="00000000" w14:paraId="000000A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131.086 € </w:t>
            </w:r>
          </w:p>
        </w:tc>
        <w:tc>
          <w:tcPr>
            <w:shd w:fill="auto" w:val="clear"/>
            <w:vAlign w:val="bottom"/>
          </w:tcPr>
          <w:p w:rsidR="00000000" w:rsidDel="00000000" w:rsidP="00000000" w:rsidRDefault="00000000" w:rsidRPr="00000000" w14:paraId="000000A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165.595 € </w:t>
            </w:r>
          </w:p>
        </w:tc>
        <w:tc>
          <w:tcPr>
            <w:shd w:fill="auto" w:val="clear"/>
            <w:vAlign w:val="bottom"/>
          </w:tcPr>
          <w:p w:rsidR="00000000" w:rsidDel="00000000" w:rsidP="00000000" w:rsidRDefault="00000000" w:rsidRPr="00000000" w14:paraId="000000A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188.655 € </w:t>
            </w:r>
          </w:p>
        </w:tc>
      </w:tr>
      <w:tr>
        <w:trPr>
          <w:cantSplit w:val="0"/>
          <w:trHeight w:val="330" w:hRule="atLeast"/>
          <w:tblHeader w:val="0"/>
        </w:trPr>
        <w:tc>
          <w:tcPr>
            <w:shd w:fill="auto" w:val="clear"/>
            <w:vAlign w:val="bottom"/>
          </w:tcPr>
          <w:p w:rsidR="00000000" w:rsidDel="00000000" w:rsidP="00000000" w:rsidRDefault="00000000" w:rsidRPr="00000000" w14:paraId="000000A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Aragón</w:t>
            </w:r>
          </w:p>
        </w:tc>
        <w:tc>
          <w:tcPr>
            <w:shd w:fill="auto" w:val="clear"/>
            <w:vAlign w:val="bottom"/>
          </w:tcPr>
          <w:p w:rsidR="00000000" w:rsidDel="00000000" w:rsidP="00000000" w:rsidRDefault="00000000" w:rsidRPr="00000000" w14:paraId="000000A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210.400 € </w:t>
            </w:r>
          </w:p>
        </w:tc>
        <w:tc>
          <w:tcPr>
            <w:shd w:fill="auto" w:val="clear"/>
            <w:vAlign w:val="bottom"/>
          </w:tcPr>
          <w:p w:rsidR="00000000" w:rsidDel="00000000" w:rsidP="00000000" w:rsidRDefault="00000000" w:rsidRPr="00000000" w14:paraId="000000A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195.054 € </w:t>
            </w:r>
          </w:p>
        </w:tc>
        <w:tc>
          <w:tcPr>
            <w:shd w:fill="auto" w:val="clear"/>
            <w:vAlign w:val="bottom"/>
          </w:tcPr>
          <w:p w:rsidR="00000000" w:rsidDel="00000000" w:rsidP="00000000" w:rsidRDefault="00000000" w:rsidRPr="00000000" w14:paraId="000000A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122.688 € </w:t>
            </w:r>
          </w:p>
        </w:tc>
        <w:tc>
          <w:tcPr>
            <w:shd w:fill="auto" w:val="clear"/>
            <w:vAlign w:val="bottom"/>
          </w:tcPr>
          <w:p w:rsidR="00000000" w:rsidDel="00000000" w:rsidP="00000000" w:rsidRDefault="00000000" w:rsidRPr="00000000" w14:paraId="000000A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124.917 € </w:t>
            </w:r>
          </w:p>
        </w:tc>
        <w:tc>
          <w:tcPr>
            <w:shd w:fill="auto" w:val="clear"/>
            <w:vAlign w:val="bottom"/>
          </w:tcPr>
          <w:p w:rsidR="00000000" w:rsidDel="00000000" w:rsidP="00000000" w:rsidRDefault="00000000" w:rsidRPr="00000000" w14:paraId="000000A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138.038 € </w:t>
            </w:r>
          </w:p>
        </w:tc>
        <w:tc>
          <w:tcPr>
            <w:shd w:fill="auto" w:val="clear"/>
            <w:vAlign w:val="bottom"/>
          </w:tcPr>
          <w:p w:rsidR="00000000" w:rsidDel="00000000" w:rsidP="00000000" w:rsidRDefault="00000000" w:rsidRPr="00000000" w14:paraId="000000A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140.023 € </w:t>
            </w:r>
          </w:p>
        </w:tc>
      </w:tr>
      <w:tr>
        <w:trPr>
          <w:cantSplit w:val="0"/>
          <w:trHeight w:val="330" w:hRule="atLeast"/>
          <w:tblHeader w:val="0"/>
        </w:trPr>
        <w:tc>
          <w:tcPr>
            <w:shd w:fill="auto" w:val="clear"/>
            <w:vAlign w:val="bottom"/>
          </w:tcPr>
          <w:p w:rsidR="00000000" w:rsidDel="00000000" w:rsidP="00000000" w:rsidRDefault="00000000" w:rsidRPr="00000000" w14:paraId="000000A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Asturias</w:t>
            </w:r>
          </w:p>
        </w:tc>
        <w:tc>
          <w:tcPr>
            <w:shd w:fill="auto" w:val="clear"/>
            <w:vAlign w:val="bottom"/>
          </w:tcPr>
          <w:p w:rsidR="00000000" w:rsidDel="00000000" w:rsidP="00000000" w:rsidRDefault="00000000" w:rsidRPr="00000000" w14:paraId="000000A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166.880 € </w:t>
            </w:r>
          </w:p>
        </w:tc>
        <w:tc>
          <w:tcPr>
            <w:shd w:fill="auto" w:val="clear"/>
            <w:vAlign w:val="bottom"/>
          </w:tcPr>
          <w:p w:rsidR="00000000" w:rsidDel="00000000" w:rsidP="00000000" w:rsidRDefault="00000000" w:rsidRPr="00000000" w14:paraId="000000A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185.749 € </w:t>
            </w:r>
          </w:p>
        </w:tc>
        <w:tc>
          <w:tcPr>
            <w:shd w:fill="auto" w:val="clear"/>
            <w:vAlign w:val="bottom"/>
          </w:tcPr>
          <w:p w:rsidR="00000000" w:rsidDel="00000000" w:rsidP="00000000" w:rsidRDefault="00000000" w:rsidRPr="00000000" w14:paraId="000000A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129.447 € </w:t>
            </w:r>
          </w:p>
        </w:tc>
        <w:tc>
          <w:tcPr>
            <w:shd w:fill="auto" w:val="clear"/>
            <w:vAlign w:val="bottom"/>
          </w:tcPr>
          <w:p w:rsidR="00000000" w:rsidDel="00000000" w:rsidP="00000000" w:rsidRDefault="00000000" w:rsidRPr="00000000" w14:paraId="000000A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124.410 € </w:t>
            </w:r>
          </w:p>
        </w:tc>
        <w:tc>
          <w:tcPr>
            <w:shd w:fill="auto" w:val="clear"/>
            <w:vAlign w:val="bottom"/>
          </w:tcPr>
          <w:p w:rsidR="00000000" w:rsidDel="00000000" w:rsidP="00000000" w:rsidRDefault="00000000" w:rsidRPr="00000000" w14:paraId="000000B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133.292 € </w:t>
            </w:r>
          </w:p>
        </w:tc>
        <w:tc>
          <w:tcPr>
            <w:shd w:fill="auto" w:val="clear"/>
            <w:vAlign w:val="bottom"/>
          </w:tcPr>
          <w:p w:rsidR="00000000" w:rsidDel="00000000" w:rsidP="00000000" w:rsidRDefault="00000000" w:rsidRPr="00000000" w14:paraId="000000B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150.382 € </w:t>
            </w:r>
          </w:p>
        </w:tc>
      </w:tr>
      <w:tr>
        <w:trPr>
          <w:cantSplit w:val="0"/>
          <w:trHeight w:val="330" w:hRule="atLeast"/>
          <w:tblHeader w:val="0"/>
        </w:trPr>
        <w:tc>
          <w:tcPr>
            <w:shd w:fill="auto" w:val="clear"/>
            <w:vAlign w:val="bottom"/>
          </w:tcPr>
          <w:p w:rsidR="00000000" w:rsidDel="00000000" w:rsidP="00000000" w:rsidRDefault="00000000" w:rsidRPr="00000000" w14:paraId="000000B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Baleares</w:t>
            </w:r>
          </w:p>
        </w:tc>
        <w:tc>
          <w:tcPr>
            <w:shd w:fill="auto" w:val="clear"/>
            <w:vAlign w:val="bottom"/>
          </w:tcPr>
          <w:p w:rsidR="00000000" w:rsidDel="00000000" w:rsidP="00000000" w:rsidRDefault="00000000" w:rsidRPr="00000000" w14:paraId="000000B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166.480 € </w:t>
            </w:r>
          </w:p>
        </w:tc>
        <w:tc>
          <w:tcPr>
            <w:shd w:fill="auto" w:val="clear"/>
            <w:vAlign w:val="bottom"/>
          </w:tcPr>
          <w:p w:rsidR="00000000" w:rsidDel="00000000" w:rsidP="00000000" w:rsidRDefault="00000000" w:rsidRPr="00000000" w14:paraId="000000B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187.341 € </w:t>
            </w:r>
          </w:p>
        </w:tc>
        <w:tc>
          <w:tcPr>
            <w:shd w:fill="auto" w:val="clear"/>
            <w:vAlign w:val="bottom"/>
          </w:tcPr>
          <w:p w:rsidR="00000000" w:rsidDel="00000000" w:rsidP="00000000" w:rsidRDefault="00000000" w:rsidRPr="00000000" w14:paraId="000000B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144.134 € </w:t>
            </w:r>
          </w:p>
        </w:tc>
        <w:tc>
          <w:tcPr>
            <w:shd w:fill="auto" w:val="clear"/>
            <w:vAlign w:val="bottom"/>
          </w:tcPr>
          <w:p w:rsidR="00000000" w:rsidDel="00000000" w:rsidP="00000000" w:rsidRDefault="00000000" w:rsidRPr="00000000" w14:paraId="000000B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220.698 € </w:t>
            </w:r>
          </w:p>
        </w:tc>
        <w:tc>
          <w:tcPr>
            <w:shd w:fill="auto" w:val="clear"/>
            <w:vAlign w:val="bottom"/>
          </w:tcPr>
          <w:p w:rsidR="00000000" w:rsidDel="00000000" w:rsidP="00000000" w:rsidRDefault="00000000" w:rsidRPr="00000000" w14:paraId="000000B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317.418 € </w:t>
            </w:r>
          </w:p>
        </w:tc>
        <w:tc>
          <w:tcPr>
            <w:shd w:fill="auto" w:val="clear"/>
            <w:vAlign w:val="bottom"/>
          </w:tcPr>
          <w:p w:rsidR="00000000" w:rsidDel="00000000" w:rsidP="00000000" w:rsidRDefault="00000000" w:rsidRPr="00000000" w14:paraId="000000B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397.593 € </w:t>
            </w:r>
          </w:p>
        </w:tc>
      </w:tr>
      <w:tr>
        <w:trPr>
          <w:cantSplit w:val="0"/>
          <w:trHeight w:val="330" w:hRule="atLeast"/>
          <w:tblHeader w:val="0"/>
        </w:trPr>
        <w:tc>
          <w:tcPr>
            <w:shd w:fill="auto" w:val="clear"/>
            <w:vAlign w:val="bottom"/>
          </w:tcPr>
          <w:p w:rsidR="00000000" w:rsidDel="00000000" w:rsidP="00000000" w:rsidRDefault="00000000" w:rsidRPr="00000000" w14:paraId="000000B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Canarias</w:t>
            </w:r>
          </w:p>
        </w:tc>
        <w:tc>
          <w:tcPr>
            <w:shd w:fill="auto" w:val="clear"/>
            <w:vAlign w:val="bottom"/>
          </w:tcPr>
          <w:p w:rsidR="00000000" w:rsidDel="00000000" w:rsidP="00000000" w:rsidRDefault="00000000" w:rsidRPr="00000000" w14:paraId="000000B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143.760 € </w:t>
            </w:r>
          </w:p>
        </w:tc>
        <w:tc>
          <w:tcPr>
            <w:shd w:fill="auto" w:val="clear"/>
            <w:vAlign w:val="bottom"/>
          </w:tcPr>
          <w:p w:rsidR="00000000" w:rsidDel="00000000" w:rsidP="00000000" w:rsidRDefault="00000000" w:rsidRPr="00000000" w14:paraId="000000B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144.940 € </w:t>
            </w:r>
          </w:p>
        </w:tc>
        <w:tc>
          <w:tcPr>
            <w:shd w:fill="auto" w:val="clear"/>
            <w:vAlign w:val="bottom"/>
          </w:tcPr>
          <w:p w:rsidR="00000000" w:rsidDel="00000000" w:rsidP="00000000" w:rsidRDefault="00000000" w:rsidRPr="00000000" w14:paraId="000000B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104.021 € </w:t>
            </w:r>
          </w:p>
        </w:tc>
        <w:tc>
          <w:tcPr>
            <w:shd w:fill="auto" w:val="clear"/>
            <w:vAlign w:val="bottom"/>
          </w:tcPr>
          <w:p w:rsidR="00000000" w:rsidDel="00000000" w:rsidP="00000000" w:rsidRDefault="00000000" w:rsidRPr="00000000" w14:paraId="000000B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142.549 € </w:t>
            </w:r>
          </w:p>
        </w:tc>
        <w:tc>
          <w:tcPr>
            <w:shd w:fill="auto" w:val="clear"/>
            <w:vAlign w:val="bottom"/>
          </w:tcPr>
          <w:p w:rsidR="00000000" w:rsidDel="00000000" w:rsidP="00000000" w:rsidRDefault="00000000" w:rsidRPr="00000000" w14:paraId="000000B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205.058 € </w:t>
            </w:r>
          </w:p>
        </w:tc>
        <w:tc>
          <w:tcPr>
            <w:shd w:fill="auto" w:val="clear"/>
            <w:vAlign w:val="bottom"/>
          </w:tcPr>
          <w:p w:rsidR="00000000" w:rsidDel="00000000" w:rsidP="00000000" w:rsidRDefault="00000000" w:rsidRPr="00000000" w14:paraId="000000B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229.493 € </w:t>
            </w:r>
          </w:p>
        </w:tc>
      </w:tr>
      <w:tr>
        <w:trPr>
          <w:cantSplit w:val="0"/>
          <w:trHeight w:val="330" w:hRule="atLeast"/>
          <w:tblHeader w:val="0"/>
        </w:trPr>
        <w:tc>
          <w:tcPr>
            <w:shd w:fill="auto" w:val="clear"/>
            <w:vAlign w:val="bottom"/>
          </w:tcPr>
          <w:p w:rsidR="00000000" w:rsidDel="00000000" w:rsidP="00000000" w:rsidRDefault="00000000" w:rsidRPr="00000000" w14:paraId="000000C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Cantabria</w:t>
            </w:r>
          </w:p>
        </w:tc>
        <w:tc>
          <w:tcPr>
            <w:shd w:fill="auto" w:val="clear"/>
            <w:vAlign w:val="bottom"/>
          </w:tcPr>
          <w:p w:rsidR="00000000" w:rsidDel="00000000" w:rsidP="00000000" w:rsidRDefault="00000000" w:rsidRPr="00000000" w14:paraId="000000C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182.800 € </w:t>
            </w:r>
          </w:p>
        </w:tc>
        <w:tc>
          <w:tcPr>
            <w:shd w:fill="auto" w:val="clear"/>
            <w:vAlign w:val="bottom"/>
          </w:tcPr>
          <w:p w:rsidR="00000000" w:rsidDel="00000000" w:rsidP="00000000" w:rsidRDefault="00000000" w:rsidRPr="00000000" w14:paraId="000000C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210.152 € </w:t>
            </w:r>
          </w:p>
        </w:tc>
        <w:tc>
          <w:tcPr>
            <w:shd w:fill="auto" w:val="clear"/>
            <w:vAlign w:val="bottom"/>
          </w:tcPr>
          <w:p w:rsidR="00000000" w:rsidDel="00000000" w:rsidP="00000000" w:rsidRDefault="00000000" w:rsidRPr="00000000" w14:paraId="000000C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138.957 € </w:t>
            </w:r>
          </w:p>
        </w:tc>
        <w:tc>
          <w:tcPr>
            <w:shd w:fill="auto" w:val="clear"/>
            <w:vAlign w:val="bottom"/>
          </w:tcPr>
          <w:p w:rsidR="00000000" w:rsidDel="00000000" w:rsidP="00000000" w:rsidRDefault="00000000" w:rsidRPr="00000000" w14:paraId="000000C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137.674 € </w:t>
            </w:r>
          </w:p>
        </w:tc>
        <w:tc>
          <w:tcPr>
            <w:shd w:fill="auto" w:val="clear"/>
            <w:vAlign w:val="bottom"/>
          </w:tcPr>
          <w:p w:rsidR="00000000" w:rsidDel="00000000" w:rsidP="00000000" w:rsidRDefault="00000000" w:rsidRPr="00000000" w14:paraId="000000C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156.340 € </w:t>
            </w:r>
          </w:p>
        </w:tc>
        <w:tc>
          <w:tcPr>
            <w:shd w:fill="auto" w:val="clear"/>
            <w:vAlign w:val="bottom"/>
          </w:tcPr>
          <w:p w:rsidR="00000000" w:rsidDel="00000000" w:rsidP="00000000" w:rsidRDefault="00000000" w:rsidRPr="00000000" w14:paraId="000000C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170.297 € </w:t>
            </w:r>
          </w:p>
        </w:tc>
      </w:tr>
      <w:tr>
        <w:trPr>
          <w:cantSplit w:val="0"/>
          <w:trHeight w:val="330" w:hRule="atLeast"/>
          <w:tblHeader w:val="0"/>
        </w:trPr>
        <w:tc>
          <w:tcPr>
            <w:shd w:fill="auto" w:val="clear"/>
            <w:vAlign w:val="bottom"/>
          </w:tcPr>
          <w:p w:rsidR="00000000" w:rsidDel="00000000" w:rsidP="00000000" w:rsidRDefault="00000000" w:rsidRPr="00000000" w14:paraId="000000C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Castilla y León</w:t>
            </w:r>
          </w:p>
        </w:tc>
        <w:tc>
          <w:tcPr>
            <w:shd w:fill="auto" w:val="clear"/>
            <w:vAlign w:val="bottom"/>
          </w:tcPr>
          <w:p w:rsidR="00000000" w:rsidDel="00000000" w:rsidP="00000000" w:rsidRDefault="00000000" w:rsidRPr="00000000" w14:paraId="000000C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154.640 € </w:t>
            </w:r>
          </w:p>
        </w:tc>
        <w:tc>
          <w:tcPr>
            <w:shd w:fill="auto" w:val="clear"/>
            <w:vAlign w:val="bottom"/>
          </w:tcPr>
          <w:p w:rsidR="00000000" w:rsidDel="00000000" w:rsidP="00000000" w:rsidRDefault="00000000" w:rsidRPr="00000000" w14:paraId="000000C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161.718 € </w:t>
            </w:r>
          </w:p>
        </w:tc>
        <w:tc>
          <w:tcPr>
            <w:shd w:fill="auto" w:val="clear"/>
            <w:vAlign w:val="bottom"/>
          </w:tcPr>
          <w:p w:rsidR="00000000" w:rsidDel="00000000" w:rsidP="00000000" w:rsidRDefault="00000000" w:rsidRPr="00000000" w14:paraId="000000C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116.844 € </w:t>
            </w:r>
          </w:p>
        </w:tc>
        <w:tc>
          <w:tcPr>
            <w:shd w:fill="auto" w:val="clear"/>
            <w:vAlign w:val="bottom"/>
          </w:tcPr>
          <w:p w:rsidR="00000000" w:rsidDel="00000000" w:rsidP="00000000" w:rsidRDefault="00000000" w:rsidRPr="00000000" w14:paraId="000000C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115.051 € </w:t>
            </w:r>
          </w:p>
        </w:tc>
        <w:tc>
          <w:tcPr>
            <w:shd w:fill="auto" w:val="clear"/>
            <w:vAlign w:val="bottom"/>
          </w:tcPr>
          <w:p w:rsidR="00000000" w:rsidDel="00000000" w:rsidP="00000000" w:rsidRDefault="00000000" w:rsidRPr="00000000" w14:paraId="000000C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119.837 € </w:t>
            </w:r>
          </w:p>
        </w:tc>
        <w:tc>
          <w:tcPr>
            <w:shd w:fill="auto" w:val="clear"/>
            <w:vAlign w:val="bottom"/>
          </w:tcPr>
          <w:p w:rsidR="00000000" w:rsidDel="00000000" w:rsidP="00000000" w:rsidRDefault="00000000" w:rsidRPr="00000000" w14:paraId="000000C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127.164 € </w:t>
            </w:r>
          </w:p>
        </w:tc>
      </w:tr>
      <w:tr>
        <w:trPr>
          <w:cantSplit w:val="0"/>
          <w:trHeight w:val="330" w:hRule="atLeast"/>
          <w:tblHeader w:val="0"/>
        </w:trPr>
        <w:tc>
          <w:tcPr>
            <w:shd w:fill="auto" w:val="clear"/>
            <w:vAlign w:val="bottom"/>
          </w:tcPr>
          <w:p w:rsidR="00000000" w:rsidDel="00000000" w:rsidP="00000000" w:rsidRDefault="00000000" w:rsidRPr="00000000" w14:paraId="000000C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Castilla-La Mancha</w:t>
            </w:r>
          </w:p>
        </w:tc>
        <w:tc>
          <w:tcPr>
            <w:shd w:fill="auto" w:val="clear"/>
            <w:vAlign w:val="bottom"/>
          </w:tcPr>
          <w:p w:rsidR="00000000" w:rsidDel="00000000" w:rsidP="00000000" w:rsidRDefault="00000000" w:rsidRPr="00000000" w14:paraId="000000C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139.680 € </w:t>
            </w:r>
          </w:p>
        </w:tc>
        <w:tc>
          <w:tcPr>
            <w:shd w:fill="auto" w:val="clear"/>
            <w:vAlign w:val="bottom"/>
          </w:tcPr>
          <w:p w:rsidR="00000000" w:rsidDel="00000000" w:rsidP="00000000" w:rsidRDefault="00000000" w:rsidRPr="00000000" w14:paraId="000000D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138.892 € </w:t>
            </w:r>
          </w:p>
        </w:tc>
        <w:tc>
          <w:tcPr>
            <w:shd w:fill="auto" w:val="clear"/>
            <w:vAlign w:val="bottom"/>
          </w:tcPr>
          <w:p w:rsidR="00000000" w:rsidDel="00000000" w:rsidP="00000000" w:rsidRDefault="00000000" w:rsidRPr="00000000" w14:paraId="000000D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88.686 € </w:t>
            </w:r>
          </w:p>
        </w:tc>
        <w:tc>
          <w:tcPr>
            <w:shd w:fill="auto" w:val="clear"/>
            <w:vAlign w:val="bottom"/>
          </w:tcPr>
          <w:p w:rsidR="00000000" w:rsidDel="00000000" w:rsidP="00000000" w:rsidRDefault="00000000" w:rsidRPr="00000000" w14:paraId="000000D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89.248 € </w:t>
            </w:r>
          </w:p>
        </w:tc>
        <w:tc>
          <w:tcPr>
            <w:shd w:fill="auto" w:val="clear"/>
            <w:vAlign w:val="bottom"/>
          </w:tcPr>
          <w:p w:rsidR="00000000" w:rsidDel="00000000" w:rsidP="00000000" w:rsidRDefault="00000000" w:rsidRPr="00000000" w14:paraId="000000D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96.281 € </w:t>
            </w:r>
          </w:p>
        </w:tc>
        <w:tc>
          <w:tcPr>
            <w:shd w:fill="auto" w:val="clear"/>
            <w:vAlign w:val="bottom"/>
          </w:tcPr>
          <w:p w:rsidR="00000000" w:rsidDel="00000000" w:rsidP="00000000" w:rsidRDefault="00000000" w:rsidRPr="00000000" w14:paraId="000000D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96.238 € </w:t>
            </w:r>
          </w:p>
        </w:tc>
      </w:tr>
      <w:tr>
        <w:trPr>
          <w:cantSplit w:val="0"/>
          <w:trHeight w:val="330" w:hRule="atLeast"/>
          <w:tblHeader w:val="0"/>
        </w:trPr>
        <w:tc>
          <w:tcPr>
            <w:shd w:fill="auto" w:val="clear"/>
            <w:vAlign w:val="bottom"/>
          </w:tcPr>
          <w:p w:rsidR="00000000" w:rsidDel="00000000" w:rsidP="00000000" w:rsidRDefault="00000000" w:rsidRPr="00000000" w14:paraId="000000D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Cataluña</w:t>
            </w:r>
          </w:p>
        </w:tc>
        <w:tc>
          <w:tcPr>
            <w:shd w:fill="auto" w:val="clear"/>
            <w:vAlign w:val="bottom"/>
          </w:tcPr>
          <w:p w:rsidR="00000000" w:rsidDel="00000000" w:rsidP="00000000" w:rsidRDefault="00000000" w:rsidRPr="00000000" w14:paraId="000000D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242.080 € </w:t>
            </w:r>
          </w:p>
        </w:tc>
        <w:tc>
          <w:tcPr>
            <w:shd w:fill="auto" w:val="clear"/>
            <w:vAlign w:val="bottom"/>
          </w:tcPr>
          <w:p w:rsidR="00000000" w:rsidDel="00000000" w:rsidP="00000000" w:rsidRDefault="00000000" w:rsidRPr="00000000" w14:paraId="000000D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249.689 € </w:t>
            </w:r>
          </w:p>
        </w:tc>
        <w:tc>
          <w:tcPr>
            <w:shd w:fill="auto" w:val="clear"/>
            <w:vAlign w:val="bottom"/>
          </w:tcPr>
          <w:p w:rsidR="00000000" w:rsidDel="00000000" w:rsidP="00000000" w:rsidRDefault="00000000" w:rsidRPr="00000000" w14:paraId="000000D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162.519 € </w:t>
            </w:r>
          </w:p>
        </w:tc>
        <w:tc>
          <w:tcPr>
            <w:shd w:fill="auto" w:val="clear"/>
            <w:vAlign w:val="bottom"/>
          </w:tcPr>
          <w:p w:rsidR="00000000" w:rsidDel="00000000" w:rsidP="00000000" w:rsidRDefault="00000000" w:rsidRPr="00000000" w14:paraId="000000D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193.991 € </w:t>
            </w:r>
          </w:p>
        </w:tc>
        <w:tc>
          <w:tcPr>
            <w:shd w:fill="auto" w:val="clear"/>
            <w:vAlign w:val="bottom"/>
          </w:tcPr>
          <w:p w:rsidR="00000000" w:rsidDel="00000000" w:rsidP="00000000" w:rsidRDefault="00000000" w:rsidRPr="00000000" w14:paraId="000000D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226.142 € </w:t>
            </w:r>
          </w:p>
        </w:tc>
        <w:tc>
          <w:tcPr>
            <w:shd w:fill="auto" w:val="clear"/>
            <w:vAlign w:val="bottom"/>
          </w:tcPr>
          <w:p w:rsidR="00000000" w:rsidDel="00000000" w:rsidP="00000000" w:rsidRDefault="00000000" w:rsidRPr="00000000" w14:paraId="000000D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233.478 € </w:t>
            </w:r>
          </w:p>
        </w:tc>
      </w:tr>
      <w:tr>
        <w:trPr>
          <w:cantSplit w:val="0"/>
          <w:trHeight w:val="330" w:hRule="atLeast"/>
          <w:tblHeader w:val="0"/>
        </w:trPr>
        <w:tc>
          <w:tcPr>
            <w:shd w:fill="auto" w:val="clear"/>
            <w:vAlign w:val="bottom"/>
          </w:tcPr>
          <w:p w:rsidR="00000000" w:rsidDel="00000000" w:rsidP="00000000" w:rsidRDefault="00000000" w:rsidRPr="00000000" w14:paraId="000000D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 Valenciana</w:t>
            </w:r>
          </w:p>
        </w:tc>
        <w:tc>
          <w:tcPr>
            <w:shd w:fill="auto" w:val="clear"/>
            <w:vAlign w:val="bottom"/>
          </w:tcPr>
          <w:p w:rsidR="00000000" w:rsidDel="00000000" w:rsidP="00000000" w:rsidRDefault="00000000" w:rsidRPr="00000000" w14:paraId="000000D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161.600 € </w:t>
            </w:r>
          </w:p>
        </w:tc>
        <w:tc>
          <w:tcPr>
            <w:shd w:fill="auto" w:val="clear"/>
            <w:vAlign w:val="bottom"/>
          </w:tcPr>
          <w:p w:rsidR="00000000" w:rsidDel="00000000" w:rsidP="00000000" w:rsidRDefault="00000000" w:rsidRPr="00000000" w14:paraId="000000D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147.756 € </w:t>
            </w:r>
          </w:p>
        </w:tc>
        <w:tc>
          <w:tcPr>
            <w:shd w:fill="auto" w:val="clear"/>
            <w:vAlign w:val="bottom"/>
          </w:tcPr>
          <w:p w:rsidR="00000000" w:rsidDel="00000000" w:rsidP="00000000" w:rsidRDefault="00000000" w:rsidRPr="00000000" w14:paraId="000000D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101.625 € </w:t>
            </w:r>
          </w:p>
        </w:tc>
        <w:tc>
          <w:tcPr>
            <w:shd w:fill="auto" w:val="clear"/>
            <w:vAlign w:val="bottom"/>
          </w:tcPr>
          <w:p w:rsidR="00000000" w:rsidDel="00000000" w:rsidP="00000000" w:rsidRDefault="00000000" w:rsidRPr="00000000" w14:paraId="000000E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112.848 € </w:t>
            </w:r>
          </w:p>
        </w:tc>
        <w:tc>
          <w:tcPr>
            <w:shd w:fill="auto" w:val="clear"/>
            <w:vAlign w:val="bottom"/>
          </w:tcPr>
          <w:p w:rsidR="00000000" w:rsidDel="00000000" w:rsidP="00000000" w:rsidRDefault="00000000" w:rsidRPr="00000000" w14:paraId="000000E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144.827 € </w:t>
            </w:r>
          </w:p>
        </w:tc>
        <w:tc>
          <w:tcPr>
            <w:shd w:fill="auto" w:val="clear"/>
            <w:vAlign w:val="bottom"/>
          </w:tcPr>
          <w:p w:rsidR="00000000" w:rsidDel="00000000" w:rsidP="00000000" w:rsidRDefault="00000000" w:rsidRPr="00000000" w14:paraId="000000E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176.979 € </w:t>
            </w:r>
          </w:p>
        </w:tc>
      </w:tr>
      <w:tr>
        <w:trPr>
          <w:cantSplit w:val="0"/>
          <w:trHeight w:val="330" w:hRule="atLeast"/>
          <w:tblHeader w:val="0"/>
        </w:trPr>
        <w:tc>
          <w:tcPr>
            <w:shd w:fill="auto" w:val="clear"/>
            <w:vAlign w:val="bottom"/>
          </w:tcPr>
          <w:p w:rsidR="00000000" w:rsidDel="00000000" w:rsidP="00000000" w:rsidRDefault="00000000" w:rsidRPr="00000000" w14:paraId="000000E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Extremadura</w:t>
            </w:r>
          </w:p>
        </w:tc>
        <w:tc>
          <w:tcPr>
            <w:shd w:fill="auto" w:val="clear"/>
            <w:vAlign w:val="bottom"/>
          </w:tcPr>
          <w:p w:rsidR="00000000" w:rsidDel="00000000" w:rsidP="00000000" w:rsidRDefault="00000000" w:rsidRPr="00000000" w14:paraId="000000E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113.040 € </w:t>
            </w:r>
          </w:p>
        </w:tc>
        <w:tc>
          <w:tcPr>
            <w:shd w:fill="auto" w:val="clear"/>
            <w:vAlign w:val="bottom"/>
          </w:tcPr>
          <w:p w:rsidR="00000000" w:rsidDel="00000000" w:rsidP="00000000" w:rsidRDefault="00000000" w:rsidRPr="00000000" w14:paraId="000000E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136.708 € </w:t>
            </w:r>
          </w:p>
        </w:tc>
        <w:tc>
          <w:tcPr>
            <w:shd w:fill="auto" w:val="clear"/>
            <w:vAlign w:val="bottom"/>
          </w:tcPr>
          <w:p w:rsidR="00000000" w:rsidDel="00000000" w:rsidP="00000000" w:rsidRDefault="00000000" w:rsidRPr="00000000" w14:paraId="000000E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90.042 € </w:t>
            </w:r>
          </w:p>
        </w:tc>
        <w:tc>
          <w:tcPr>
            <w:shd w:fill="auto" w:val="clear"/>
            <w:vAlign w:val="bottom"/>
          </w:tcPr>
          <w:p w:rsidR="00000000" w:rsidDel="00000000" w:rsidP="00000000" w:rsidRDefault="00000000" w:rsidRPr="00000000" w14:paraId="000000E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88.910 € </w:t>
            </w:r>
          </w:p>
        </w:tc>
        <w:tc>
          <w:tcPr>
            <w:shd w:fill="auto" w:val="clear"/>
            <w:vAlign w:val="bottom"/>
          </w:tcPr>
          <w:p w:rsidR="00000000" w:rsidDel="00000000" w:rsidP="00000000" w:rsidRDefault="00000000" w:rsidRPr="00000000" w14:paraId="000000E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96.502 € </w:t>
            </w:r>
          </w:p>
        </w:tc>
        <w:tc>
          <w:tcPr>
            <w:shd w:fill="auto" w:val="clear"/>
            <w:vAlign w:val="bottom"/>
          </w:tcPr>
          <w:p w:rsidR="00000000" w:rsidDel="00000000" w:rsidP="00000000" w:rsidRDefault="00000000" w:rsidRPr="00000000" w14:paraId="000000E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98.177 € </w:t>
            </w:r>
          </w:p>
        </w:tc>
      </w:tr>
      <w:tr>
        <w:trPr>
          <w:cantSplit w:val="0"/>
          <w:trHeight w:val="330" w:hRule="atLeast"/>
          <w:tblHeader w:val="0"/>
        </w:trPr>
        <w:tc>
          <w:tcPr>
            <w:shd w:fill="auto" w:val="clear"/>
            <w:vAlign w:val="bottom"/>
          </w:tcPr>
          <w:p w:rsidR="00000000" w:rsidDel="00000000" w:rsidP="00000000" w:rsidRDefault="00000000" w:rsidRPr="00000000" w14:paraId="000000E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Galicia</w:t>
            </w:r>
          </w:p>
        </w:tc>
        <w:tc>
          <w:tcPr>
            <w:shd w:fill="auto" w:val="clear"/>
            <w:vAlign w:val="bottom"/>
          </w:tcPr>
          <w:p w:rsidR="00000000" w:rsidDel="00000000" w:rsidP="00000000" w:rsidRDefault="00000000" w:rsidRPr="00000000" w14:paraId="000000E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133.680 € </w:t>
            </w:r>
          </w:p>
        </w:tc>
        <w:tc>
          <w:tcPr>
            <w:shd w:fill="auto" w:val="clear"/>
            <w:vAlign w:val="bottom"/>
          </w:tcPr>
          <w:p w:rsidR="00000000" w:rsidDel="00000000" w:rsidP="00000000" w:rsidRDefault="00000000" w:rsidRPr="00000000" w14:paraId="000000E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169.655 € </w:t>
            </w:r>
          </w:p>
        </w:tc>
        <w:tc>
          <w:tcPr>
            <w:shd w:fill="auto" w:val="clear"/>
            <w:vAlign w:val="bottom"/>
          </w:tcPr>
          <w:p w:rsidR="00000000" w:rsidDel="00000000" w:rsidP="00000000" w:rsidRDefault="00000000" w:rsidRPr="00000000" w14:paraId="000000E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127.438 € </w:t>
            </w:r>
          </w:p>
        </w:tc>
        <w:tc>
          <w:tcPr>
            <w:shd w:fill="auto" w:val="clear"/>
            <w:vAlign w:val="bottom"/>
          </w:tcPr>
          <w:p w:rsidR="00000000" w:rsidDel="00000000" w:rsidP="00000000" w:rsidRDefault="00000000" w:rsidRPr="00000000" w14:paraId="000000E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123.933 € </w:t>
            </w:r>
          </w:p>
        </w:tc>
        <w:tc>
          <w:tcPr>
            <w:shd w:fill="auto" w:val="clear"/>
            <w:vAlign w:val="bottom"/>
          </w:tcPr>
          <w:p w:rsidR="00000000" w:rsidDel="00000000" w:rsidP="00000000" w:rsidRDefault="00000000" w:rsidRPr="00000000" w14:paraId="000000E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139.098 € </w:t>
            </w:r>
          </w:p>
        </w:tc>
        <w:tc>
          <w:tcPr>
            <w:shd w:fill="auto" w:val="clear"/>
            <w:vAlign w:val="bottom"/>
          </w:tcPr>
          <w:p w:rsidR="00000000" w:rsidDel="00000000" w:rsidP="00000000" w:rsidRDefault="00000000" w:rsidRPr="00000000" w14:paraId="000000F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153.191 € </w:t>
            </w:r>
          </w:p>
        </w:tc>
      </w:tr>
      <w:tr>
        <w:trPr>
          <w:cantSplit w:val="0"/>
          <w:trHeight w:val="330" w:hRule="atLeast"/>
          <w:tblHeader w:val="0"/>
        </w:trPr>
        <w:tc>
          <w:tcPr>
            <w:shd w:fill="auto" w:val="clear"/>
            <w:vAlign w:val="bottom"/>
          </w:tcPr>
          <w:p w:rsidR="00000000" w:rsidDel="00000000" w:rsidP="00000000" w:rsidRDefault="00000000" w:rsidRPr="00000000" w14:paraId="000000F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La Rioja</w:t>
            </w:r>
          </w:p>
        </w:tc>
        <w:tc>
          <w:tcPr>
            <w:shd w:fill="auto" w:val="clear"/>
            <w:vAlign w:val="bottom"/>
          </w:tcPr>
          <w:p w:rsidR="00000000" w:rsidDel="00000000" w:rsidP="00000000" w:rsidRDefault="00000000" w:rsidRPr="00000000" w14:paraId="000000F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193.200 € </w:t>
            </w:r>
          </w:p>
        </w:tc>
        <w:tc>
          <w:tcPr>
            <w:shd w:fill="auto" w:val="clear"/>
            <w:vAlign w:val="bottom"/>
          </w:tcPr>
          <w:p w:rsidR="00000000" w:rsidDel="00000000" w:rsidP="00000000" w:rsidRDefault="00000000" w:rsidRPr="00000000" w14:paraId="000000F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175.169 € </w:t>
            </w:r>
          </w:p>
        </w:tc>
        <w:tc>
          <w:tcPr>
            <w:shd w:fill="auto" w:val="clear"/>
            <w:vAlign w:val="bottom"/>
          </w:tcPr>
          <w:p w:rsidR="00000000" w:rsidDel="00000000" w:rsidP="00000000" w:rsidRDefault="00000000" w:rsidRPr="00000000" w14:paraId="000000F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104.446 € </w:t>
            </w:r>
          </w:p>
        </w:tc>
        <w:tc>
          <w:tcPr>
            <w:shd w:fill="auto" w:val="clear"/>
            <w:vAlign w:val="bottom"/>
          </w:tcPr>
          <w:p w:rsidR="00000000" w:rsidDel="00000000" w:rsidP="00000000" w:rsidRDefault="00000000" w:rsidRPr="00000000" w14:paraId="000000F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112.946 € </w:t>
            </w:r>
          </w:p>
        </w:tc>
        <w:tc>
          <w:tcPr>
            <w:shd w:fill="auto" w:val="clear"/>
            <w:vAlign w:val="bottom"/>
          </w:tcPr>
          <w:p w:rsidR="00000000" w:rsidDel="00000000" w:rsidP="00000000" w:rsidRDefault="00000000" w:rsidRPr="00000000" w14:paraId="000000F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132.468 € </w:t>
            </w:r>
          </w:p>
        </w:tc>
        <w:tc>
          <w:tcPr>
            <w:shd w:fill="auto" w:val="clear"/>
            <w:vAlign w:val="bottom"/>
          </w:tcPr>
          <w:p w:rsidR="00000000" w:rsidDel="00000000" w:rsidP="00000000" w:rsidRDefault="00000000" w:rsidRPr="00000000" w14:paraId="000000F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133.855 € </w:t>
            </w:r>
          </w:p>
        </w:tc>
      </w:tr>
      <w:tr>
        <w:trPr>
          <w:cantSplit w:val="0"/>
          <w:trHeight w:val="330" w:hRule="atLeast"/>
          <w:tblHeader w:val="0"/>
        </w:trPr>
        <w:tc>
          <w:tcPr>
            <w:shd w:fill="auto" w:val="clear"/>
            <w:vAlign w:val="bottom"/>
          </w:tcPr>
          <w:p w:rsidR="00000000" w:rsidDel="00000000" w:rsidP="00000000" w:rsidRDefault="00000000" w:rsidRPr="00000000" w14:paraId="000000F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Madrid</w:t>
            </w:r>
          </w:p>
        </w:tc>
        <w:tc>
          <w:tcPr>
            <w:shd w:fill="auto" w:val="clear"/>
            <w:vAlign w:val="bottom"/>
          </w:tcPr>
          <w:p w:rsidR="00000000" w:rsidDel="00000000" w:rsidP="00000000" w:rsidRDefault="00000000" w:rsidRPr="00000000" w14:paraId="000000F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272.560 € </w:t>
            </w:r>
          </w:p>
        </w:tc>
        <w:tc>
          <w:tcPr>
            <w:shd w:fill="auto" w:val="clear"/>
            <w:vAlign w:val="bottom"/>
          </w:tcPr>
          <w:p w:rsidR="00000000" w:rsidDel="00000000" w:rsidP="00000000" w:rsidRDefault="00000000" w:rsidRPr="00000000" w14:paraId="000000F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248.517 € </w:t>
            </w:r>
          </w:p>
        </w:tc>
        <w:tc>
          <w:tcPr>
            <w:shd w:fill="auto" w:val="clear"/>
            <w:vAlign w:val="bottom"/>
          </w:tcPr>
          <w:p w:rsidR="00000000" w:rsidDel="00000000" w:rsidP="00000000" w:rsidRDefault="00000000" w:rsidRPr="00000000" w14:paraId="000000F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176.868 € </w:t>
            </w:r>
          </w:p>
        </w:tc>
        <w:tc>
          <w:tcPr>
            <w:shd w:fill="auto" w:val="clear"/>
            <w:vAlign w:val="bottom"/>
          </w:tcPr>
          <w:p w:rsidR="00000000" w:rsidDel="00000000" w:rsidP="00000000" w:rsidRDefault="00000000" w:rsidRPr="00000000" w14:paraId="000000F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248.089 € </w:t>
            </w:r>
          </w:p>
        </w:tc>
        <w:tc>
          <w:tcPr>
            <w:shd w:fill="auto" w:val="clear"/>
            <w:vAlign w:val="bottom"/>
          </w:tcPr>
          <w:p w:rsidR="00000000" w:rsidDel="00000000" w:rsidP="00000000" w:rsidRDefault="00000000" w:rsidRPr="00000000" w14:paraId="000000F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320.636 € </w:t>
            </w:r>
          </w:p>
        </w:tc>
        <w:tc>
          <w:tcPr>
            <w:shd w:fill="auto" w:val="clear"/>
            <w:vAlign w:val="bottom"/>
          </w:tcPr>
          <w:p w:rsidR="00000000" w:rsidDel="00000000" w:rsidP="00000000" w:rsidRDefault="00000000" w:rsidRPr="00000000" w14:paraId="000000F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363.999 € </w:t>
            </w:r>
          </w:p>
        </w:tc>
      </w:tr>
      <w:tr>
        <w:trPr>
          <w:cantSplit w:val="0"/>
          <w:trHeight w:val="330" w:hRule="atLeast"/>
          <w:tblHeader w:val="0"/>
        </w:trPr>
        <w:tc>
          <w:tcPr>
            <w:shd w:fill="auto" w:val="clear"/>
            <w:vAlign w:val="bottom"/>
          </w:tcPr>
          <w:p w:rsidR="00000000" w:rsidDel="00000000" w:rsidP="00000000" w:rsidRDefault="00000000" w:rsidRPr="00000000" w14:paraId="000000F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Navarra</w:t>
            </w:r>
          </w:p>
        </w:tc>
        <w:tc>
          <w:tcPr>
            <w:shd w:fill="auto" w:val="clear"/>
            <w:vAlign w:val="bottom"/>
          </w:tcPr>
          <w:p w:rsidR="00000000" w:rsidDel="00000000" w:rsidP="00000000" w:rsidRDefault="00000000" w:rsidRPr="00000000" w14:paraId="0000010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155.440 € </w:t>
            </w:r>
          </w:p>
        </w:tc>
        <w:tc>
          <w:tcPr>
            <w:shd w:fill="auto" w:val="clear"/>
            <w:vAlign w:val="bottom"/>
          </w:tcPr>
          <w:p w:rsidR="00000000" w:rsidDel="00000000" w:rsidP="00000000" w:rsidRDefault="00000000" w:rsidRPr="00000000" w14:paraId="0000010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210.999 € </w:t>
            </w:r>
          </w:p>
        </w:tc>
        <w:tc>
          <w:tcPr>
            <w:shd w:fill="auto" w:val="clear"/>
            <w:vAlign w:val="bottom"/>
          </w:tcPr>
          <w:p w:rsidR="00000000" w:rsidDel="00000000" w:rsidP="00000000" w:rsidRDefault="00000000" w:rsidRPr="00000000" w14:paraId="0000010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133.061 € </w:t>
            </w:r>
          </w:p>
        </w:tc>
        <w:tc>
          <w:tcPr>
            <w:shd w:fill="auto" w:val="clear"/>
            <w:vAlign w:val="bottom"/>
          </w:tcPr>
          <w:p w:rsidR="00000000" w:rsidDel="00000000" w:rsidP="00000000" w:rsidRDefault="00000000" w:rsidRPr="00000000" w14:paraId="0000010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133.634 € </w:t>
            </w:r>
          </w:p>
        </w:tc>
        <w:tc>
          <w:tcPr>
            <w:shd w:fill="auto" w:val="clear"/>
            <w:vAlign w:val="bottom"/>
          </w:tcPr>
          <w:p w:rsidR="00000000" w:rsidDel="00000000" w:rsidP="00000000" w:rsidRDefault="00000000" w:rsidRPr="00000000" w14:paraId="0000010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160.951 € </w:t>
            </w:r>
          </w:p>
        </w:tc>
        <w:tc>
          <w:tcPr>
            <w:shd w:fill="auto" w:val="clear"/>
            <w:vAlign w:val="bottom"/>
          </w:tcPr>
          <w:p w:rsidR="00000000" w:rsidDel="00000000" w:rsidP="00000000" w:rsidRDefault="00000000" w:rsidRPr="00000000" w14:paraId="0000010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164.566 € </w:t>
            </w:r>
          </w:p>
        </w:tc>
      </w:tr>
      <w:tr>
        <w:trPr>
          <w:cantSplit w:val="0"/>
          <w:trHeight w:val="330" w:hRule="atLeast"/>
          <w:tblHeader w:val="0"/>
        </w:trPr>
        <w:tc>
          <w:tcPr>
            <w:shd w:fill="auto" w:val="clear"/>
            <w:vAlign w:val="bottom"/>
          </w:tcPr>
          <w:p w:rsidR="00000000" w:rsidDel="00000000" w:rsidP="00000000" w:rsidRDefault="00000000" w:rsidRPr="00000000" w14:paraId="0000010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País Vasco</w:t>
            </w:r>
          </w:p>
        </w:tc>
        <w:tc>
          <w:tcPr>
            <w:shd w:fill="auto" w:val="clear"/>
            <w:vAlign w:val="bottom"/>
          </w:tcPr>
          <w:p w:rsidR="00000000" w:rsidDel="00000000" w:rsidP="00000000" w:rsidRDefault="00000000" w:rsidRPr="00000000" w14:paraId="0000010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321.280 € </w:t>
            </w:r>
          </w:p>
        </w:tc>
        <w:tc>
          <w:tcPr>
            <w:shd w:fill="auto" w:val="clear"/>
            <w:vAlign w:val="bottom"/>
          </w:tcPr>
          <w:p w:rsidR="00000000" w:rsidDel="00000000" w:rsidP="00000000" w:rsidRDefault="00000000" w:rsidRPr="00000000" w14:paraId="0000010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303.434 € </w:t>
            </w:r>
          </w:p>
        </w:tc>
        <w:tc>
          <w:tcPr>
            <w:shd w:fill="auto" w:val="clear"/>
            <w:vAlign w:val="bottom"/>
          </w:tcPr>
          <w:p w:rsidR="00000000" w:rsidDel="00000000" w:rsidP="00000000" w:rsidRDefault="00000000" w:rsidRPr="00000000" w14:paraId="0000010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227.565 € </w:t>
            </w:r>
          </w:p>
        </w:tc>
        <w:tc>
          <w:tcPr>
            <w:shd w:fill="auto" w:val="clear"/>
            <w:vAlign w:val="bottom"/>
          </w:tcPr>
          <w:p w:rsidR="00000000" w:rsidDel="00000000" w:rsidP="00000000" w:rsidRDefault="00000000" w:rsidRPr="00000000" w14:paraId="0000010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224.118 € </w:t>
            </w:r>
          </w:p>
        </w:tc>
        <w:tc>
          <w:tcPr>
            <w:shd w:fill="auto" w:val="clear"/>
            <w:vAlign w:val="bottom"/>
          </w:tcPr>
          <w:p w:rsidR="00000000" w:rsidDel="00000000" w:rsidP="00000000" w:rsidRDefault="00000000" w:rsidRPr="00000000" w14:paraId="0000010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251.101 € </w:t>
            </w:r>
          </w:p>
        </w:tc>
        <w:tc>
          <w:tcPr>
            <w:shd w:fill="auto" w:val="clear"/>
            <w:vAlign w:val="bottom"/>
          </w:tcPr>
          <w:p w:rsidR="00000000" w:rsidDel="00000000" w:rsidP="00000000" w:rsidRDefault="00000000" w:rsidRPr="00000000" w14:paraId="0000010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272.335 € </w:t>
            </w:r>
          </w:p>
        </w:tc>
      </w:tr>
      <w:tr>
        <w:trPr>
          <w:cantSplit w:val="0"/>
          <w:trHeight w:val="330" w:hRule="atLeast"/>
          <w:tblHeader w:val="0"/>
        </w:trPr>
        <w:tc>
          <w:tcPr>
            <w:shd w:fill="auto" w:val="clear"/>
            <w:vAlign w:val="bottom"/>
          </w:tcPr>
          <w:p w:rsidR="00000000" w:rsidDel="00000000" w:rsidP="00000000" w:rsidRDefault="00000000" w:rsidRPr="00000000" w14:paraId="0000010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Región de Murcia</w:t>
            </w:r>
          </w:p>
        </w:tc>
        <w:tc>
          <w:tcPr>
            <w:shd w:fill="auto" w:val="clear"/>
            <w:vAlign w:val="bottom"/>
          </w:tcPr>
          <w:p w:rsidR="00000000" w:rsidDel="00000000" w:rsidP="00000000" w:rsidRDefault="00000000" w:rsidRPr="00000000" w14:paraId="0000010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163.280 € </w:t>
            </w:r>
          </w:p>
        </w:tc>
        <w:tc>
          <w:tcPr>
            <w:shd w:fill="auto" w:val="clear"/>
            <w:vAlign w:val="bottom"/>
          </w:tcPr>
          <w:p w:rsidR="00000000" w:rsidDel="00000000" w:rsidP="00000000" w:rsidRDefault="00000000" w:rsidRPr="00000000" w14:paraId="0000010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137.456 € </w:t>
            </w:r>
          </w:p>
        </w:tc>
        <w:tc>
          <w:tcPr>
            <w:shd w:fill="auto" w:val="clear"/>
            <w:vAlign w:val="bottom"/>
          </w:tcPr>
          <w:p w:rsidR="00000000" w:rsidDel="00000000" w:rsidP="00000000" w:rsidRDefault="00000000" w:rsidRPr="00000000" w14:paraId="0000011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91.943 € </w:t>
            </w:r>
          </w:p>
        </w:tc>
        <w:tc>
          <w:tcPr>
            <w:shd w:fill="auto" w:val="clear"/>
            <w:vAlign w:val="bottom"/>
          </w:tcPr>
          <w:p w:rsidR="00000000" w:rsidDel="00000000" w:rsidP="00000000" w:rsidRDefault="00000000" w:rsidRPr="00000000" w14:paraId="0000011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91.963 € </w:t>
            </w:r>
          </w:p>
        </w:tc>
        <w:tc>
          <w:tcPr>
            <w:shd w:fill="auto" w:val="clear"/>
            <w:vAlign w:val="bottom"/>
          </w:tcPr>
          <w:p w:rsidR="00000000" w:rsidDel="00000000" w:rsidP="00000000" w:rsidRDefault="00000000" w:rsidRPr="00000000" w14:paraId="0000011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107.502 € </w:t>
            </w:r>
          </w:p>
        </w:tc>
        <w:tc>
          <w:tcPr>
            <w:shd w:fill="auto" w:val="clear"/>
            <w:vAlign w:val="bottom"/>
          </w:tcPr>
          <w:p w:rsidR="00000000" w:rsidDel="00000000" w:rsidP="00000000" w:rsidRDefault="00000000" w:rsidRPr="00000000" w14:paraId="0000011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126.314 € </w:t>
            </w:r>
          </w:p>
        </w:tc>
      </w:tr>
      <w:tr>
        <w:trPr>
          <w:cantSplit w:val="0"/>
          <w:trHeight w:val="330" w:hRule="atLeast"/>
          <w:tblHeader w:val="0"/>
        </w:trPr>
        <w:tc>
          <w:tcPr>
            <w:shd w:fill="auto" w:val="clear"/>
            <w:vAlign w:val="bottom"/>
          </w:tcPr>
          <w:p w:rsidR="00000000" w:rsidDel="00000000" w:rsidP="00000000" w:rsidRDefault="00000000" w:rsidRPr="00000000" w14:paraId="00000114">
            <w:pP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España</w:t>
            </w:r>
          </w:p>
        </w:tc>
        <w:tc>
          <w:tcPr>
            <w:shd w:fill="auto" w:val="clear"/>
            <w:vAlign w:val="bottom"/>
          </w:tcPr>
          <w:p w:rsidR="00000000" w:rsidDel="00000000" w:rsidP="00000000" w:rsidRDefault="00000000" w:rsidRPr="00000000" w14:paraId="00000115">
            <w:pP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   197.146 € </w:t>
            </w:r>
          </w:p>
        </w:tc>
        <w:tc>
          <w:tcPr>
            <w:shd w:fill="auto" w:val="clear"/>
            <w:vAlign w:val="bottom"/>
          </w:tcPr>
          <w:p w:rsidR="00000000" w:rsidDel="00000000" w:rsidP="00000000" w:rsidRDefault="00000000" w:rsidRPr="00000000" w14:paraId="00000116">
            <w:pP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   187.927 € </w:t>
            </w:r>
          </w:p>
        </w:tc>
        <w:tc>
          <w:tcPr>
            <w:shd w:fill="auto" w:val="clear"/>
            <w:vAlign w:val="bottom"/>
          </w:tcPr>
          <w:p w:rsidR="00000000" w:rsidDel="00000000" w:rsidP="00000000" w:rsidRDefault="00000000" w:rsidRPr="00000000" w14:paraId="00000117">
            <w:pP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   129.420 € </w:t>
            </w:r>
          </w:p>
        </w:tc>
        <w:tc>
          <w:tcPr>
            <w:shd w:fill="auto" w:val="clear"/>
            <w:vAlign w:val="bottom"/>
          </w:tcPr>
          <w:p w:rsidR="00000000" w:rsidDel="00000000" w:rsidP="00000000" w:rsidRDefault="00000000" w:rsidRPr="00000000" w14:paraId="00000118">
            <w:pP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   147.540 € </w:t>
            </w:r>
          </w:p>
        </w:tc>
        <w:tc>
          <w:tcPr>
            <w:shd w:fill="auto" w:val="clear"/>
            <w:vAlign w:val="bottom"/>
          </w:tcPr>
          <w:p w:rsidR="00000000" w:rsidDel="00000000" w:rsidP="00000000" w:rsidRDefault="00000000" w:rsidRPr="00000000" w14:paraId="00000119">
            <w:pP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   180.718 € </w:t>
            </w:r>
          </w:p>
        </w:tc>
        <w:tc>
          <w:tcPr>
            <w:shd w:fill="auto" w:val="clear"/>
            <w:vAlign w:val="bottom"/>
          </w:tcPr>
          <w:p w:rsidR="00000000" w:rsidDel="00000000" w:rsidP="00000000" w:rsidRDefault="00000000" w:rsidRPr="00000000" w14:paraId="0000011A">
            <w:pPr>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   199.114 € </w:t>
            </w:r>
          </w:p>
        </w:tc>
      </w:tr>
    </w:tbl>
    <w:p w:rsidR="00000000" w:rsidDel="00000000" w:rsidP="00000000" w:rsidRDefault="00000000" w:rsidRPr="00000000" w14:paraId="0000011B">
      <w:pPr>
        <w:spacing w:line="276" w:lineRule="auto"/>
        <w:jc w:val="both"/>
        <w:rPr>
          <w:rFonts w:ascii="National" w:cs="National" w:eastAsia="National" w:hAnsi="National"/>
          <w:b w:val="1"/>
          <w:color w:val="303ab2"/>
          <w:sz w:val="32"/>
          <w:szCs w:val="32"/>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National" w:cs="National" w:eastAsia="National" w:hAnsi="National"/>
          <w:b w:val="1"/>
          <w:color w:val="303ab2"/>
          <w:sz w:val="30"/>
          <w:szCs w:val="30"/>
          <w:rtl w:val="0"/>
        </w:rPr>
        <w:t xml:space="preserve">Incrementos en casi todas las capitales de provincia</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sz w:val="28"/>
          <w:szCs w:val="28"/>
        </w:rPr>
      </w:pPr>
      <w:r w:rsidDel="00000000" w:rsidR="00000000" w:rsidRPr="00000000">
        <w:rPr>
          <w:rFonts w:ascii="Open Sans" w:cs="Open Sans" w:eastAsia="Open Sans" w:hAnsi="Open Sans"/>
          <w:color w:val="000000"/>
          <w:rtl w:val="0"/>
        </w:rPr>
        <w:t xml:space="preserve">Si se analiza el incremento del precio de la vivienda de los últimos 10 años por capitales de provincia, </w:t>
      </w:r>
      <w:r w:rsidDel="00000000" w:rsidR="00000000" w:rsidRPr="00000000">
        <w:rPr>
          <w:rFonts w:ascii="Open Sans" w:cs="Open Sans" w:eastAsia="Open Sans" w:hAnsi="Open Sans"/>
          <w:b w:val="1"/>
          <w:color w:val="000000"/>
          <w:rtl w:val="0"/>
        </w:rPr>
        <w:t xml:space="preserve">destaca el hecho de que todas las ciudades registran crecimientos, excepto el caso de Zamora</w:t>
      </w:r>
      <w:r w:rsidDel="00000000" w:rsidR="00000000" w:rsidRPr="00000000">
        <w:rPr>
          <w:rFonts w:ascii="Open Sans" w:cs="Open Sans" w:eastAsia="Open Sans" w:hAnsi="Open Sans"/>
          <w:color w:val="000000"/>
          <w:rtl w:val="0"/>
        </w:rPr>
        <w:t xml:space="preserve"> (donde una vivienda es un 4% más barata ahora que hace una década). Los más notables son los casos de Palma de Mallorca (+173%), Málaga (+153%), Madrid (+119%), y Valencia (+103%), mientras que existen evoluciones más modestas, como por ejemplo Ourense capital (+13%), Ávila (+8%), Palencia (+7%), o Jaén (+4%).</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Capitales con porcentajes (%) acumulativos por años con relación a 2025</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tbl>
      <w:tblPr>
        <w:tblStyle w:val="Table3"/>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171"/>
        <w:gridCol w:w="1171"/>
        <w:gridCol w:w="1298"/>
        <w:gridCol w:w="1299"/>
        <w:gridCol w:w="1293"/>
        <w:tblGridChange w:id="0">
          <w:tblGrid>
            <w:gridCol w:w="2830"/>
            <w:gridCol w:w="1171"/>
            <w:gridCol w:w="1171"/>
            <w:gridCol w:w="1298"/>
            <w:gridCol w:w="1299"/>
            <w:gridCol w:w="1293"/>
          </w:tblGrid>
        </w:tblGridChange>
      </w:tblGrid>
      <w:tr>
        <w:trPr>
          <w:cantSplit w:val="0"/>
          <w:trHeight w:val="915" w:hRule="atLeast"/>
          <w:tblHeader w:val="0"/>
        </w:trPr>
        <w:tc>
          <w:tcPr>
            <w:shd w:fill="c6d9f1" w:val="cle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Municipio</w:t>
            </w:r>
          </w:p>
        </w:tc>
        <w:tc>
          <w:tcPr>
            <w:shd w:fill="c6d9f1" w:val="cle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20 AÑOS (2005)</w:t>
            </w:r>
          </w:p>
        </w:tc>
        <w:tc>
          <w:tcPr>
            <w:shd w:fill="c6d9f1"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15 AÑOS (2010)</w:t>
            </w:r>
          </w:p>
        </w:tc>
        <w:tc>
          <w:tcPr>
            <w:shd w:fill="c6d9f1" w:val="clea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76"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10 AÑOS (2015)</w:t>
            </w:r>
          </w:p>
        </w:tc>
        <w:tc>
          <w:tcPr>
            <w:shd w:fill="c6d9f1"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5 AÑOS (2020)</w:t>
            </w:r>
          </w:p>
        </w:tc>
        <w:tc>
          <w:tcPr>
            <w:shd w:fill="c6d9f1" w:val="cle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1 AÑO (2024)</w:t>
            </w:r>
          </w:p>
        </w:tc>
      </w:tr>
      <w:tr>
        <w:trPr>
          <w:cantSplit w:val="0"/>
          <w:trHeight w:val="330" w:hRule="atLeast"/>
          <w:tblHeader w:val="0"/>
        </w:trPr>
        <w:tc>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 Coruña Capital</w:t>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42,1%</w:t>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2,5%</w:t>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36,3%</w:t>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23,2%</w:t>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4,7%</w:t>
            </w:r>
          </w:p>
        </w:tc>
      </w:tr>
      <w:tr>
        <w:trPr>
          <w:cantSplit w:val="0"/>
          <w:trHeight w:val="330" w:hRule="atLeast"/>
          <w:tblHeader w:val="0"/>
        </w:trPr>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Albacete Capital</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35,9%</w:t>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31,8%</w:t>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13,4%</w:t>
            </w:r>
          </w:p>
        </w:tc>
      </w:tr>
      <w:tr>
        <w:trPr>
          <w:cantSplit w:val="0"/>
          <w:trHeight w:val="330" w:hRule="atLeast"/>
          <w:tblHeader w:val="0"/>
        </w:trPr>
        <w:tc>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Alicante / Alacant</w:t>
            </w:r>
          </w:p>
        </w:tc>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42,3%</w:t>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40,1%</w:t>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91,1%</w:t>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61,4%</w:t>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17,0%</w:t>
            </w:r>
          </w:p>
        </w:tc>
      </w:tr>
      <w:tr>
        <w:trPr>
          <w:cantSplit w:val="0"/>
          <w:trHeight w:val="330" w:hRule="atLeast"/>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Almería Capital</w:t>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jc w:val="right"/>
              <w:rPr>
                <w:rFonts w:ascii="Open Sans" w:cs="Open Sans" w:eastAsia="Open Sans" w:hAnsi="Open Sans"/>
              </w:rPr>
            </w:pPr>
            <w:r w:rsidDel="00000000" w:rsidR="00000000" w:rsidRPr="00000000">
              <w:rPr>
                <w:rFonts w:ascii="Open Sans" w:cs="Open Sans" w:eastAsia="Open Sans" w:hAnsi="Open Sans"/>
                <w:color w:val="9c0006"/>
                <w:rtl w:val="0"/>
              </w:rPr>
              <w:t xml:space="preserve">-21,4%</w:t>
            </w: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21,1%</w:t>
            </w:r>
          </w:p>
        </w:tc>
        <w:tc>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25,8%</w:t>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6,6%</w:t>
            </w:r>
          </w:p>
        </w:tc>
      </w:tr>
      <w:tr>
        <w:trPr>
          <w:cantSplit w:val="0"/>
          <w:trHeight w:val="330" w:hRule="atLeast"/>
          <w:tblHeader w:val="0"/>
        </w:trPr>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Ávila Capital</w:t>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8,2%</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13,4%</w:t>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2,3%</w:t>
            </w:r>
          </w:p>
        </w:tc>
      </w:tr>
      <w:tr>
        <w:trPr>
          <w:cantSplit w:val="0"/>
          <w:trHeight w:val="330" w:hRule="atLeast"/>
          <w:tblHeader w:val="0"/>
        </w:trPr>
        <w:tc>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Badajoz Capital</w:t>
            </w:r>
          </w:p>
        </w:tc>
        <w:tc>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33,4%</w:t>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31,1%</w:t>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8,5%</w:t>
            </w:r>
          </w:p>
        </w:tc>
      </w:tr>
      <w:tr>
        <w:trPr>
          <w:cantSplit w:val="0"/>
          <w:trHeight w:val="330" w:hRule="atLeast"/>
          <w:tblHeader w:val="0"/>
        </w:trPr>
        <w:tc>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Barcelona Capital</w:t>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22,8%</w:t>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19,4%</w:t>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52,2%</w:t>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9,3%</w:t>
            </w:r>
          </w:p>
        </w:tc>
        <w:tc>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7,9%</w:t>
            </w:r>
          </w:p>
        </w:tc>
      </w:tr>
      <w:tr>
        <w:trPr>
          <w:cantSplit w:val="0"/>
          <w:trHeight w:val="330" w:hRule="atLeast"/>
          <w:tblHeader w:val="0"/>
        </w:trPr>
        <w:tc>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Bilbao</w:t>
            </w:r>
          </w:p>
        </w:tc>
        <w:tc>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1,1%</w:t>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-2,1%</w:t>
            </w:r>
            <w:r w:rsidDel="00000000" w:rsidR="00000000" w:rsidRPr="00000000">
              <w:rPr>
                <w:rtl w:val="0"/>
              </w:rPr>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26,5%</w:t>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15,9%</w:t>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5,2%</w:t>
            </w:r>
          </w:p>
        </w:tc>
      </w:tr>
      <w:tr>
        <w:trPr>
          <w:cantSplit w:val="0"/>
          <w:trHeight w:val="330" w:hRule="atLeast"/>
          <w:tblHeader w:val="0"/>
        </w:trPr>
        <w:tc>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Burgos Capital</w:t>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-9,4%</w:t>
            </w:r>
            <w:r w:rsidDel="00000000" w:rsidR="00000000" w:rsidRPr="00000000">
              <w:rPr>
                <w:rtl w:val="0"/>
              </w:rPr>
            </w:r>
          </w:p>
        </w:tc>
        <w:tc>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40,4%</w:t>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27,3%</w:t>
            </w:r>
          </w:p>
        </w:tc>
        <w:tc>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18,0%</w:t>
            </w:r>
          </w:p>
        </w:tc>
      </w:tr>
      <w:tr>
        <w:trPr>
          <w:cantSplit w:val="0"/>
          <w:trHeight w:val="330" w:hRule="atLeast"/>
          <w:tblHeader w:val="0"/>
        </w:trPr>
        <w:tc>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Cáceres Capital</w:t>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-17,1%</w:t>
            </w:r>
            <w:r w:rsidDel="00000000" w:rsidR="00000000" w:rsidRPr="00000000">
              <w:rPr>
                <w:rtl w:val="0"/>
              </w:rPr>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14,7%</w:t>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19,6%</w:t>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9,0%</w:t>
            </w:r>
          </w:p>
        </w:tc>
      </w:tr>
      <w:tr>
        <w:trPr>
          <w:cantSplit w:val="0"/>
          <w:trHeight w:val="330" w:hRule="atLeast"/>
          <w:tblHeader w:val="0"/>
        </w:trPr>
        <w:tc>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Cádiz Capital</w:t>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11,3%</w:t>
            </w:r>
          </w:p>
        </w:tc>
        <w:tc>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58,3%</w:t>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28,6%</w:t>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8,8%</w:t>
            </w:r>
          </w:p>
        </w:tc>
      </w:tr>
      <w:tr>
        <w:trPr>
          <w:cantSplit w:val="0"/>
          <w:trHeight w:val="330" w:hRule="atLeast"/>
          <w:tblHeader w:val="0"/>
        </w:trPr>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Castelló de la Plana</w:t>
            </w:r>
          </w:p>
        </w:tc>
        <w:tc>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-8,3%</w:t>
            </w:r>
            <w:r w:rsidDel="00000000" w:rsidR="00000000" w:rsidRPr="00000000">
              <w:rPr>
                <w:rtl w:val="0"/>
              </w:rPr>
            </w:r>
          </w:p>
        </w:tc>
        <w:tc>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-12,7%</w:t>
            </w:r>
            <w:r w:rsidDel="00000000" w:rsidR="00000000" w:rsidRPr="00000000">
              <w:rPr>
                <w:rtl w:val="0"/>
              </w:rPr>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45,9%</w:t>
            </w:r>
          </w:p>
        </w:tc>
        <w:tc>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40,0%</w:t>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20,3%</w:t>
            </w:r>
          </w:p>
        </w:tc>
      </w:tr>
      <w:tr>
        <w:trPr>
          <w:cantSplit w:val="0"/>
          <w:trHeight w:val="330" w:hRule="atLeast"/>
          <w:tblHeader w:val="0"/>
        </w:trPr>
        <w:tc>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Ciudad Real Capital</w:t>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-26,6%</w:t>
            </w:r>
            <w:r w:rsidDel="00000000" w:rsidR="00000000" w:rsidRPr="00000000">
              <w:rPr>
                <w:rtl w:val="0"/>
              </w:rPr>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17,9%</w:t>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15,3%</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4,4%</w:t>
            </w:r>
          </w:p>
        </w:tc>
      </w:tr>
      <w:tr>
        <w:trPr>
          <w:cantSplit w:val="0"/>
          <w:trHeight w:val="330" w:hRule="atLeast"/>
          <w:tblHeader w:val="0"/>
        </w:trPr>
        <w:tc>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Córdoba Capital</w:t>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-11,6%</w:t>
            </w:r>
            <w:r w:rsidDel="00000000" w:rsidR="00000000" w:rsidRPr="00000000">
              <w:rPr>
                <w:rtl w:val="0"/>
              </w:rPr>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-20,1%</w:t>
            </w:r>
            <w:r w:rsidDel="00000000" w:rsidR="00000000" w:rsidRPr="00000000">
              <w:rPr>
                <w:rtl w:val="0"/>
              </w:rPr>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25,3%</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17,4%</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5,6%</w:t>
            </w:r>
          </w:p>
        </w:tc>
      </w:tr>
      <w:tr>
        <w:trPr>
          <w:cantSplit w:val="0"/>
          <w:trHeight w:val="330" w:hRule="atLeast"/>
          <w:tblHeader w:val="0"/>
        </w:trPr>
        <w:tc>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Cuenca Capital</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44,7%</w:t>
            </w:r>
          </w:p>
        </w:tc>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36,5%</w:t>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16,3%</w:t>
            </w:r>
          </w:p>
        </w:tc>
      </w:tr>
      <w:tr>
        <w:trPr>
          <w:cantSplit w:val="0"/>
          <w:trHeight w:val="330" w:hRule="atLeast"/>
          <w:tblHeader w:val="0"/>
        </w:trPr>
        <w:tc>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Donostia - San Sebastián</w:t>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20,8%</w:t>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66,6%</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23,9%</w:t>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7,2%</w:t>
            </w:r>
          </w:p>
        </w:tc>
      </w:tr>
      <w:tr>
        <w:trPr>
          <w:cantSplit w:val="0"/>
          <w:trHeight w:val="330" w:hRule="atLeast"/>
          <w:tblHeader w:val="0"/>
        </w:trPr>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Girona Capital</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4,9%</w:t>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-6,2%</w:t>
            </w:r>
            <w:r w:rsidDel="00000000" w:rsidR="00000000" w:rsidRPr="00000000">
              <w:rPr>
                <w:rtl w:val="0"/>
              </w:rPr>
            </w:r>
          </w:p>
        </w:tc>
        <w:tc>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51,4%</w:t>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14,5%</w:t>
            </w:r>
          </w:p>
        </w:tc>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1,7%</w:t>
            </w:r>
          </w:p>
        </w:tc>
      </w:tr>
      <w:tr>
        <w:trPr>
          <w:cantSplit w:val="0"/>
          <w:trHeight w:val="330" w:hRule="atLeast"/>
          <w:tblHeader w:val="0"/>
        </w:trPr>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Granada Capital</w:t>
            </w:r>
          </w:p>
        </w:tc>
        <w:tc>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20,8%</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16,3%</w:t>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67,3%</w:t>
            </w:r>
          </w:p>
        </w:tc>
        <w:tc>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39,3%</w:t>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13,3%</w:t>
            </w:r>
          </w:p>
        </w:tc>
      </w:tr>
      <w:tr>
        <w:trPr>
          <w:cantSplit w:val="0"/>
          <w:trHeight w:val="330" w:hRule="atLeast"/>
          <w:tblHeader w:val="0"/>
        </w:trPr>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Guadalajara Capital</w:t>
            </w:r>
          </w:p>
        </w:tc>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-14,9</w:t>
            </w: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-3,6%</w:t>
            </w:r>
            <w:r w:rsidDel="00000000" w:rsidR="00000000" w:rsidRPr="00000000">
              <w:rPr>
                <w:rtl w:val="0"/>
              </w:rPr>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56,5%</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41,1%</w:t>
            </w:r>
          </w:p>
        </w:tc>
        <w:tc>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14,1%</w:t>
            </w:r>
          </w:p>
        </w:tc>
      </w:tr>
      <w:tr>
        <w:trPr>
          <w:cantSplit w:val="0"/>
          <w:trHeight w:val="330" w:hRule="atLeast"/>
          <w:tblHeader w:val="0"/>
        </w:trPr>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Huelva Capital</w:t>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-13,1%</w:t>
            </w:r>
            <w:r w:rsidDel="00000000" w:rsidR="00000000" w:rsidRPr="00000000">
              <w:rPr>
                <w:rtl w:val="0"/>
              </w:rPr>
            </w:r>
          </w:p>
        </w:tc>
        <w:tc>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-13,2%</w:t>
            </w:r>
            <w:r w:rsidDel="00000000" w:rsidR="00000000" w:rsidRPr="00000000">
              <w:rPr>
                <w:rtl w:val="0"/>
              </w:rPr>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27,4%</w:t>
            </w:r>
          </w:p>
        </w:tc>
        <w:tc>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28,0%</w:t>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10,3%</w:t>
            </w:r>
          </w:p>
        </w:tc>
      </w:tr>
      <w:tr>
        <w:trPr>
          <w:cantSplit w:val="0"/>
          <w:trHeight w:val="330" w:hRule="atLeast"/>
          <w:tblHeader w:val="0"/>
        </w:trPr>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Huesca Capital</w:t>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-26,6%</w:t>
            </w:r>
            <w:r w:rsidDel="00000000" w:rsidR="00000000" w:rsidRPr="00000000">
              <w:rPr>
                <w:rtl w:val="0"/>
              </w:rPr>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22,0%</w:t>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2,9%</w:t>
            </w:r>
          </w:p>
        </w:tc>
        <w:tc>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-6,9%</w:t>
            </w:r>
          </w:p>
        </w:tc>
      </w:tr>
      <w:tr>
        <w:trPr>
          <w:cantSplit w:val="0"/>
          <w:trHeight w:val="330" w:hRule="atLeast"/>
          <w:tblHeader w:val="0"/>
        </w:trPr>
        <w:tc>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Jaén Capital</w:t>
            </w:r>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-28,5%</w:t>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3,5%</w:t>
            </w:r>
          </w:p>
        </w:tc>
        <w:tc>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6,2%</w:t>
            </w:r>
          </w:p>
        </w:tc>
        <w:tc>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6,6%</w:t>
            </w:r>
          </w:p>
        </w:tc>
      </w:tr>
      <w:tr>
        <w:trPr>
          <w:cantSplit w:val="0"/>
          <w:trHeight w:val="330" w:hRule="atLeast"/>
          <w:tblHeader w:val="0"/>
        </w:trPr>
        <w:tc>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Las Palmas de Gran Canaria</w:t>
            </w:r>
          </w:p>
        </w:tc>
        <w:tc>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34,4%</w:t>
            </w:r>
          </w:p>
        </w:tc>
        <w:tc>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73,6%</w:t>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33,0%</w:t>
            </w:r>
          </w:p>
        </w:tc>
        <w:tc>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9,1%</w:t>
            </w:r>
          </w:p>
        </w:tc>
      </w:tr>
      <w:tr>
        <w:trPr>
          <w:cantSplit w:val="0"/>
          <w:trHeight w:val="330" w:hRule="atLeast"/>
          <w:tblHeader w:val="0"/>
        </w:trPr>
        <w:tc>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León Capital</w:t>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-8,2%</w:t>
            </w:r>
            <w:r w:rsidDel="00000000" w:rsidR="00000000" w:rsidRPr="00000000">
              <w:rPr>
                <w:rtl w:val="0"/>
              </w:rPr>
            </w:r>
          </w:p>
        </w:tc>
        <w:tc>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30,5%</w:t>
            </w:r>
          </w:p>
        </w:tc>
        <w:tc>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24,7%</w:t>
            </w:r>
          </w:p>
        </w:tc>
        <w:tc>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17,4%</w:t>
            </w:r>
          </w:p>
        </w:tc>
      </w:tr>
      <w:tr>
        <w:trPr>
          <w:cantSplit w:val="0"/>
          <w:trHeight w:val="330" w:hRule="atLeast"/>
          <w:tblHeader w:val="0"/>
        </w:trPr>
        <w:tc>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Lleida Capital</w:t>
            </w:r>
          </w:p>
        </w:tc>
        <w:tc>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-6,8%</w:t>
            </w:r>
          </w:p>
        </w:tc>
        <w:tc>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-14,7%</w:t>
            </w:r>
          </w:p>
        </w:tc>
        <w:tc>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40,4%</w:t>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28,1%</w:t>
            </w:r>
          </w:p>
        </w:tc>
        <w:tc>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10,5%</w:t>
            </w:r>
          </w:p>
        </w:tc>
      </w:tr>
      <w:tr>
        <w:trPr>
          <w:cantSplit w:val="0"/>
          <w:trHeight w:val="330" w:hRule="atLeast"/>
          <w:tblHeader w:val="0"/>
        </w:trPr>
        <w:tc>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Logroño</w:t>
            </w:r>
          </w:p>
        </w:tc>
        <w:tc>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-10,9%</w:t>
            </w:r>
          </w:p>
        </w:tc>
        <w:tc>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40,5%</w:t>
            </w:r>
          </w:p>
        </w:tc>
        <w:tc>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22,7%</w:t>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5,9%</w:t>
            </w:r>
          </w:p>
        </w:tc>
      </w:tr>
      <w:tr>
        <w:trPr>
          <w:cantSplit w:val="0"/>
          <w:trHeight w:val="330" w:hRule="atLeast"/>
          <w:tblHeader w:val="0"/>
        </w:trPr>
        <w:tc>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Lugo Capital</w:t>
            </w:r>
          </w:p>
        </w:tc>
        <w:tc>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27,2%</w:t>
            </w:r>
          </w:p>
        </w:tc>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23,9%</w:t>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18,3%</w:t>
            </w:r>
          </w:p>
        </w:tc>
      </w:tr>
      <w:tr>
        <w:trPr>
          <w:cantSplit w:val="0"/>
          <w:trHeight w:val="330" w:hRule="atLeast"/>
          <w:tblHeader w:val="0"/>
        </w:trPr>
        <w:tc>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Madrid Capital</w:t>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46,6%</w:t>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60,1%</w:t>
            </w:r>
          </w:p>
        </w:tc>
        <w:tc>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118,7%</w:t>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47,7%</w:t>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13,7%</w:t>
            </w:r>
          </w:p>
        </w:tc>
      </w:tr>
      <w:tr>
        <w:trPr>
          <w:cantSplit w:val="0"/>
          <w:trHeight w:val="330" w:hRule="atLeast"/>
          <w:tblHeader w:val="0"/>
        </w:trPr>
        <w:tc>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Málaga Capital</w:t>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73,8%</w:t>
            </w:r>
          </w:p>
        </w:tc>
        <w:tc>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74,9%</w:t>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153,0%</w:t>
            </w:r>
          </w:p>
        </w:tc>
        <w:tc>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66,1%</w:t>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7,0%</w:t>
            </w:r>
          </w:p>
        </w:tc>
      </w:tr>
      <w:tr>
        <w:trPr>
          <w:cantSplit w:val="0"/>
          <w:trHeight w:val="330" w:hRule="atLeast"/>
          <w:tblHeader w:val="0"/>
        </w:trPr>
        <w:tc>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Murcia Capital</w:t>
            </w:r>
          </w:p>
        </w:tc>
        <w:tc>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-16,2%</w:t>
            </w:r>
          </w:p>
        </w:tc>
        <w:tc>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-6,7%</w:t>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34,9%</w:t>
            </w:r>
          </w:p>
        </w:tc>
        <w:tc>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26,3%</w:t>
            </w:r>
          </w:p>
        </w:tc>
        <w:tc>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8,3%</w:t>
            </w:r>
          </w:p>
        </w:tc>
      </w:tr>
      <w:tr>
        <w:trPr>
          <w:cantSplit w:val="0"/>
          <w:trHeight w:val="330" w:hRule="atLeast"/>
          <w:tblHeader w:val="0"/>
        </w:trPr>
        <w:tc>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Ourense Capital</w:t>
            </w:r>
          </w:p>
        </w:tc>
        <w:tc>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-13,6%</w:t>
            </w:r>
            <w:r w:rsidDel="00000000" w:rsidR="00000000" w:rsidRPr="00000000">
              <w:rPr>
                <w:rtl w:val="0"/>
              </w:rPr>
            </w:r>
          </w:p>
        </w:tc>
        <w:tc>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12,7%</w:t>
            </w:r>
          </w:p>
        </w:tc>
        <w:tc>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14,9%</w:t>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8,9%</w:t>
            </w:r>
          </w:p>
        </w:tc>
      </w:tr>
      <w:tr>
        <w:trPr>
          <w:cantSplit w:val="0"/>
          <w:trHeight w:val="330" w:hRule="atLeast"/>
          <w:tblHeader w:val="0"/>
        </w:trPr>
        <w:tc>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Oviedo</w:t>
            </w:r>
          </w:p>
        </w:tc>
        <w:tc>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6,8%</w:t>
            </w:r>
          </w:p>
        </w:tc>
        <w:tc>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-5,4%</w:t>
            </w:r>
            <w:r w:rsidDel="00000000" w:rsidR="00000000" w:rsidRPr="00000000">
              <w:rPr>
                <w:rtl w:val="0"/>
              </w:rPr>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34,4%</w:t>
            </w:r>
          </w:p>
        </w:tc>
        <w:tc>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35,8%</w:t>
            </w:r>
          </w:p>
        </w:tc>
        <w:tc>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18,4%</w:t>
            </w:r>
          </w:p>
        </w:tc>
      </w:tr>
      <w:tr>
        <w:trPr>
          <w:cantSplit w:val="0"/>
          <w:trHeight w:val="330" w:hRule="atLeast"/>
          <w:tblHeader w:val="0"/>
        </w:trPr>
        <w:tc>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Palencia Capital</w:t>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-19,3%</w:t>
            </w:r>
            <w:r w:rsidDel="00000000" w:rsidR="00000000" w:rsidRPr="00000000">
              <w:rPr>
                <w:rtl w:val="0"/>
              </w:rPr>
            </w:r>
          </w:p>
        </w:tc>
        <w:tc>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7,3%</w:t>
            </w:r>
          </w:p>
        </w:tc>
        <w:tc>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11,2%</w:t>
            </w:r>
          </w:p>
        </w:tc>
        <w:tc>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11,6%</w:t>
            </w:r>
          </w:p>
        </w:tc>
      </w:tr>
      <w:tr>
        <w:trPr>
          <w:cantSplit w:val="0"/>
          <w:trHeight w:val="330" w:hRule="atLeast"/>
          <w:tblHeader w:val="0"/>
        </w:trPr>
        <w:tc>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Palma de Mallorca</w:t>
            </w:r>
          </w:p>
        </w:tc>
        <w:tc>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136,5%</w:t>
            </w:r>
          </w:p>
        </w:tc>
        <w:tc>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116,0%</w:t>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172,9%</w:t>
            </w:r>
          </w:p>
        </w:tc>
        <w:tc>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64,5%</w:t>
            </w:r>
          </w:p>
        </w:tc>
        <w:tc>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19,9%</w:t>
            </w:r>
          </w:p>
        </w:tc>
      </w:tr>
      <w:tr>
        <w:trPr>
          <w:cantSplit w:val="0"/>
          <w:trHeight w:val="330" w:hRule="atLeast"/>
          <w:tblHeader w:val="0"/>
        </w:trPr>
        <w:tc>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Pamplona / Iruña</w:t>
            </w:r>
          </w:p>
        </w:tc>
        <w:tc>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-1,8%</w:t>
            </w:r>
            <w:r w:rsidDel="00000000" w:rsidR="00000000" w:rsidRPr="00000000">
              <w:rPr>
                <w:rtl w:val="0"/>
              </w:rPr>
            </w:r>
          </w:p>
        </w:tc>
        <w:tc>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51,2%</w:t>
            </w:r>
          </w:p>
        </w:tc>
        <w:tc>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26,3%</w:t>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1,2%</w:t>
            </w:r>
          </w:p>
        </w:tc>
      </w:tr>
      <w:tr>
        <w:trPr>
          <w:cantSplit w:val="0"/>
          <w:trHeight w:val="330" w:hRule="atLeast"/>
          <w:tblHeader w:val="0"/>
        </w:trPr>
        <w:tc>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Pontevedra Capital</w:t>
            </w:r>
          </w:p>
        </w:tc>
        <w:tc>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16,6%</w:t>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59,2%</w:t>
            </w:r>
          </w:p>
        </w:tc>
        <w:tc>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36,5%</w:t>
            </w:r>
          </w:p>
        </w:tc>
        <w:tc>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7,4%</w:t>
            </w:r>
          </w:p>
        </w:tc>
      </w:tr>
      <w:tr>
        <w:trPr>
          <w:cantSplit w:val="0"/>
          <w:trHeight w:val="330" w:hRule="atLeast"/>
          <w:tblHeader w:val="0"/>
        </w:trPr>
        <w:tc>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Salamanca Capital</w:t>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-14,7%</w:t>
            </w:r>
            <w:r w:rsidDel="00000000" w:rsidR="00000000" w:rsidRPr="00000000">
              <w:rPr>
                <w:rtl w:val="0"/>
              </w:rPr>
            </w:r>
          </w:p>
        </w:tc>
        <w:tc>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20,3%</w:t>
            </w:r>
          </w:p>
        </w:tc>
        <w:tc>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18,2%</w:t>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13,2%</w:t>
            </w:r>
          </w:p>
        </w:tc>
      </w:tr>
      <w:tr>
        <w:trPr>
          <w:cantSplit w:val="0"/>
          <w:trHeight w:val="330" w:hRule="atLeast"/>
          <w:tblHeader w:val="0"/>
        </w:trPr>
        <w:tc>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Santa Cruz de Tenerife</w:t>
            </w:r>
          </w:p>
        </w:tc>
        <w:tc>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42,6%</w:t>
            </w:r>
          </w:p>
        </w:tc>
        <w:tc>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19,2%</w:t>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68,6%</w:t>
            </w:r>
          </w:p>
        </w:tc>
        <w:tc>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48,7%</w:t>
            </w:r>
          </w:p>
        </w:tc>
        <w:tc>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2,5%</w:t>
            </w:r>
          </w:p>
        </w:tc>
      </w:tr>
      <w:tr>
        <w:trPr>
          <w:cantSplit w:val="0"/>
          <w:trHeight w:val="330" w:hRule="atLeast"/>
          <w:tblHeader w:val="0"/>
        </w:trPr>
        <w:tc>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Santander</w:t>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-0,2%</w:t>
            </w:r>
          </w:p>
        </w:tc>
        <w:tc>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-13,5%</w:t>
            </w:r>
          </w:p>
        </w:tc>
        <w:tc>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30,5%</w:t>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24,1%</w:t>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0,9%</w:t>
            </w:r>
          </w:p>
        </w:tc>
      </w:tr>
      <w:tr>
        <w:trPr>
          <w:cantSplit w:val="0"/>
          <w:trHeight w:val="330" w:hRule="atLeast"/>
          <w:tblHeader w:val="0"/>
        </w:trPr>
        <w:tc>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Segovia Capital</w:t>
            </w:r>
          </w:p>
        </w:tc>
        <w:tc>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39,1%</w:t>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27,9%</w:t>
            </w:r>
          </w:p>
        </w:tc>
        <w:tc>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13,3%</w:t>
            </w:r>
          </w:p>
        </w:tc>
      </w:tr>
      <w:tr>
        <w:trPr>
          <w:cantSplit w:val="0"/>
          <w:trHeight w:val="330" w:hRule="atLeast"/>
          <w:tblHeader w:val="0"/>
        </w:trPr>
        <w:tc>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Sevilla Capital</w:t>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7,5%</w:t>
            </w:r>
          </w:p>
        </w:tc>
        <w:tc>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-2,0%</w:t>
            </w:r>
            <w:r w:rsidDel="00000000" w:rsidR="00000000" w:rsidRPr="00000000">
              <w:rPr>
                <w:rtl w:val="0"/>
              </w:rPr>
            </w:r>
          </w:p>
        </w:tc>
        <w:tc>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46,6%</w:t>
            </w:r>
          </w:p>
        </w:tc>
        <w:tc>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20,6%</w:t>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4,4%</w:t>
            </w:r>
          </w:p>
        </w:tc>
      </w:tr>
      <w:tr>
        <w:trPr>
          <w:cantSplit w:val="0"/>
          <w:trHeight w:val="330" w:hRule="atLeast"/>
          <w:tblHeader w:val="0"/>
        </w:trPr>
        <w:tc>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Soria Capital</w:t>
            </w:r>
          </w:p>
        </w:tc>
        <w:tc>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43,7%</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43,4%</w:t>
            </w:r>
          </w:p>
        </w:tc>
        <w:tc>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9,3%</w:t>
            </w:r>
          </w:p>
        </w:tc>
      </w:tr>
      <w:tr>
        <w:trPr>
          <w:cantSplit w:val="0"/>
          <w:trHeight w:val="330" w:hRule="atLeast"/>
          <w:tblHeader w:val="0"/>
        </w:trPr>
        <w:tc>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Tarragona Capital</w:t>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-8,9%</w:t>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-31,5%</w:t>
            </w:r>
          </w:p>
        </w:tc>
        <w:tc>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22,6%</w:t>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4,2%</w:t>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2,4%</w:t>
            </w:r>
          </w:p>
        </w:tc>
      </w:tr>
      <w:tr>
        <w:trPr>
          <w:cantSplit w:val="0"/>
          <w:trHeight w:val="330" w:hRule="atLeast"/>
          <w:tblHeader w:val="0"/>
        </w:trPr>
        <w:tc>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Teruel Capital</w:t>
            </w:r>
          </w:p>
        </w:tc>
        <w:tc>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31,4%</w:t>
            </w:r>
          </w:p>
        </w:tc>
        <w:tc>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39,4%</w:t>
            </w:r>
          </w:p>
        </w:tc>
        <w:tc>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25,7%</w:t>
            </w:r>
          </w:p>
        </w:tc>
      </w:tr>
      <w:tr>
        <w:trPr>
          <w:cantSplit w:val="0"/>
          <w:trHeight w:val="330" w:hRule="atLeast"/>
          <w:tblHeader w:val="0"/>
        </w:trPr>
        <w:tc>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Toledo Capital</w:t>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-23,2%</w:t>
            </w:r>
            <w:r w:rsidDel="00000000" w:rsidR="00000000" w:rsidRPr="00000000">
              <w:rPr>
                <w:rtl w:val="0"/>
              </w:rPr>
            </w:r>
          </w:p>
        </w:tc>
        <w:tc>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36,8%</w:t>
            </w:r>
          </w:p>
        </w:tc>
        <w:tc>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19,3%</w:t>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5,4%</w:t>
            </w:r>
          </w:p>
        </w:tc>
      </w:tr>
      <w:tr>
        <w:trPr>
          <w:cantSplit w:val="0"/>
          <w:trHeight w:val="330" w:hRule="atLeast"/>
          <w:tblHeader w:val="0"/>
        </w:trPr>
        <w:tc>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Valencia Capital</w:t>
            </w:r>
          </w:p>
        </w:tc>
        <w:tc>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43,7%</w:t>
            </w:r>
          </w:p>
        </w:tc>
        <w:tc>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38,8%</w:t>
            </w:r>
          </w:p>
        </w:tc>
        <w:tc>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102,9%</w:t>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52,7%</w:t>
            </w:r>
          </w:p>
        </w:tc>
        <w:tc>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14,5%</w:t>
            </w:r>
          </w:p>
        </w:tc>
      </w:tr>
      <w:tr>
        <w:trPr>
          <w:cantSplit w:val="0"/>
          <w:trHeight w:val="330" w:hRule="atLeast"/>
          <w:tblHeader w:val="0"/>
        </w:trPr>
        <w:tc>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Valladolid Capital</w:t>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-12,9%</w:t>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-0,3%</w:t>
            </w:r>
          </w:p>
        </w:tc>
        <w:tc>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43,3%</w:t>
            </w:r>
          </w:p>
        </w:tc>
        <w:tc>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26,2%</w:t>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14,5%</w:t>
            </w:r>
          </w:p>
        </w:tc>
      </w:tr>
      <w:tr>
        <w:trPr>
          <w:cantSplit w:val="0"/>
          <w:trHeight w:val="330" w:hRule="atLeast"/>
          <w:tblHeader w:val="0"/>
        </w:trPr>
        <w:tc>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Vitoria - Gasteiz</w:t>
            </w:r>
          </w:p>
        </w:tc>
        <w:tc>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-8,3%</w:t>
            </w:r>
            <w:r w:rsidDel="00000000" w:rsidR="00000000" w:rsidRPr="00000000">
              <w:rPr>
                <w:rtl w:val="0"/>
              </w:rPr>
            </w:r>
          </w:p>
        </w:tc>
        <w:tc>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40,5%</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17,0%</w:t>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6,4%</w:t>
            </w:r>
          </w:p>
        </w:tc>
      </w:tr>
      <w:tr>
        <w:trPr>
          <w:cantSplit w:val="0"/>
          <w:trHeight w:val="330" w:hRule="atLeast"/>
          <w:tblHeader w:val="0"/>
        </w:trPr>
        <w:tc>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Zamora Capital</w:t>
            </w:r>
          </w:p>
        </w:tc>
        <w:tc>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-31,3%</w:t>
            </w:r>
            <w:r w:rsidDel="00000000" w:rsidR="00000000" w:rsidRPr="00000000">
              <w:rPr>
                <w:rtl w:val="0"/>
              </w:rPr>
            </w:r>
          </w:p>
        </w:tc>
        <w:tc>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color w:val="c00000"/>
                <w:rtl w:val="0"/>
              </w:rPr>
              <w:t xml:space="preserve">-4,0%</w:t>
            </w:r>
            <w:r w:rsidDel="00000000" w:rsidR="00000000" w:rsidRPr="00000000">
              <w:rPr>
                <w:rtl w:val="0"/>
              </w:rPr>
            </w:r>
          </w:p>
        </w:tc>
        <w:tc>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4,7%</w:t>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6,2%</w:t>
            </w:r>
          </w:p>
        </w:tc>
      </w:tr>
      <w:tr>
        <w:trPr>
          <w:cantSplit w:val="0"/>
          <w:trHeight w:val="330" w:hRule="atLeast"/>
          <w:tblHeader w:val="0"/>
        </w:trPr>
        <w:tc>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Zaragoza Capital</w:t>
            </w:r>
          </w:p>
        </w:tc>
        <w:tc>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-22,2%</w:t>
            </w:r>
          </w:p>
        </w:tc>
        <w:tc>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color w:val="c00000"/>
              </w:rPr>
            </w:pPr>
            <w:r w:rsidDel="00000000" w:rsidR="00000000" w:rsidRPr="00000000">
              <w:rPr>
                <w:rFonts w:ascii="Open Sans" w:cs="Open Sans" w:eastAsia="Open Sans" w:hAnsi="Open Sans"/>
                <w:color w:val="c00000"/>
                <w:rtl w:val="0"/>
              </w:rPr>
              <w:t xml:space="preserve">-18,4%</w:t>
            </w:r>
          </w:p>
        </w:tc>
        <w:tc>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36,1%</w:t>
            </w:r>
          </w:p>
        </w:tc>
        <w:tc>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23,8%</w:t>
            </w:r>
          </w:p>
        </w:tc>
        <w:tc>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76"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10,6%</w:t>
            </w:r>
          </w:p>
        </w:tc>
      </w:tr>
    </w:tbl>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76" w:lineRule="auto"/>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Evolución del precio medio de una vivienda de 80m2 por ciudades</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tbl>
      <w:tblPr>
        <w:tblStyle w:val="Table4"/>
        <w:tblW w:w="107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417"/>
        <w:gridCol w:w="1559"/>
        <w:gridCol w:w="1560"/>
        <w:gridCol w:w="1559"/>
        <w:gridCol w:w="1559"/>
        <w:gridCol w:w="1559"/>
        <w:tblGridChange w:id="0">
          <w:tblGrid>
            <w:gridCol w:w="1555"/>
            <w:gridCol w:w="1417"/>
            <w:gridCol w:w="1559"/>
            <w:gridCol w:w="1560"/>
            <w:gridCol w:w="1559"/>
            <w:gridCol w:w="1559"/>
            <w:gridCol w:w="1559"/>
          </w:tblGrid>
        </w:tblGridChange>
      </w:tblGrid>
      <w:tr>
        <w:trPr>
          <w:cantSplit w:val="0"/>
          <w:trHeight w:val="624" w:hRule="atLeast"/>
          <w:tblHeader w:val="0"/>
        </w:trPr>
        <w:tc>
          <w:tcPr>
            <w:shd w:fill="d9e1f2" w:val="clear"/>
            <w:vAlign w:val="center"/>
          </w:tcPr>
          <w:p w:rsidR="00000000" w:rsidDel="00000000" w:rsidP="00000000" w:rsidRDefault="00000000" w:rsidRPr="00000000" w14:paraId="0000025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Municipio</w:t>
            </w:r>
          </w:p>
        </w:tc>
        <w:tc>
          <w:tcPr>
            <w:shd w:fill="d9e1f2" w:val="clear"/>
            <w:vAlign w:val="center"/>
          </w:tcPr>
          <w:p w:rsidR="00000000" w:rsidDel="00000000" w:rsidP="00000000" w:rsidRDefault="00000000" w:rsidRPr="00000000" w14:paraId="00000257">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2005</w:t>
            </w:r>
          </w:p>
        </w:tc>
        <w:tc>
          <w:tcPr>
            <w:shd w:fill="d9e1f2" w:val="clear"/>
            <w:vAlign w:val="center"/>
          </w:tcPr>
          <w:p w:rsidR="00000000" w:rsidDel="00000000" w:rsidP="00000000" w:rsidRDefault="00000000" w:rsidRPr="00000000" w14:paraId="00000258">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2010</w:t>
            </w:r>
          </w:p>
        </w:tc>
        <w:tc>
          <w:tcPr>
            <w:shd w:fill="d9e1f2" w:val="clear"/>
            <w:vAlign w:val="center"/>
          </w:tcPr>
          <w:p w:rsidR="00000000" w:rsidDel="00000000" w:rsidP="00000000" w:rsidRDefault="00000000" w:rsidRPr="00000000" w14:paraId="00000259">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2015</w:t>
            </w:r>
          </w:p>
        </w:tc>
        <w:tc>
          <w:tcPr>
            <w:shd w:fill="d9e1f2" w:val="clear"/>
            <w:vAlign w:val="center"/>
          </w:tcPr>
          <w:p w:rsidR="00000000" w:rsidDel="00000000" w:rsidP="00000000" w:rsidRDefault="00000000" w:rsidRPr="00000000" w14:paraId="0000025A">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2020</w:t>
            </w:r>
          </w:p>
        </w:tc>
        <w:tc>
          <w:tcPr>
            <w:shd w:fill="d9e1f2" w:val="clear"/>
            <w:vAlign w:val="center"/>
          </w:tcPr>
          <w:p w:rsidR="00000000" w:rsidDel="00000000" w:rsidP="00000000" w:rsidRDefault="00000000" w:rsidRPr="00000000" w14:paraId="0000025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2024</w:t>
            </w:r>
          </w:p>
        </w:tc>
        <w:tc>
          <w:tcPr>
            <w:shd w:fill="d9e1f2" w:val="clear"/>
            <w:vAlign w:val="center"/>
          </w:tcPr>
          <w:p w:rsidR="00000000" w:rsidDel="00000000" w:rsidP="00000000" w:rsidRDefault="00000000" w:rsidRPr="00000000" w14:paraId="0000025C">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2025</w:t>
            </w:r>
          </w:p>
        </w:tc>
      </w:tr>
      <w:tr>
        <w:trPr>
          <w:cantSplit w:val="0"/>
          <w:trHeight w:val="330" w:hRule="atLeast"/>
          <w:tblHeader w:val="0"/>
        </w:trPr>
        <w:tc>
          <w:tcPr>
            <w:shd w:fill="auto" w:val="clear"/>
            <w:vAlign w:val="bottom"/>
          </w:tcPr>
          <w:p w:rsidR="00000000" w:rsidDel="00000000" w:rsidP="00000000" w:rsidRDefault="00000000" w:rsidRPr="00000000" w14:paraId="0000025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 Coruña </w:t>
            </w:r>
          </w:p>
        </w:tc>
        <w:tc>
          <w:tcPr>
            <w:shd w:fill="auto" w:val="clear"/>
            <w:vAlign w:val="bottom"/>
          </w:tcPr>
          <w:p w:rsidR="00000000" w:rsidDel="00000000" w:rsidP="00000000" w:rsidRDefault="00000000" w:rsidRPr="00000000" w14:paraId="0000025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161.362 € </w:t>
            </w:r>
          </w:p>
        </w:tc>
        <w:tc>
          <w:tcPr>
            <w:shd w:fill="auto" w:val="clear"/>
            <w:vAlign w:val="bottom"/>
          </w:tcPr>
          <w:p w:rsidR="00000000" w:rsidDel="00000000" w:rsidP="00000000" w:rsidRDefault="00000000" w:rsidRPr="00000000" w14:paraId="0000025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223.628 € </w:t>
            </w:r>
          </w:p>
        </w:tc>
        <w:tc>
          <w:tcPr>
            <w:shd w:fill="auto" w:val="clear"/>
            <w:vAlign w:val="bottom"/>
          </w:tcPr>
          <w:p w:rsidR="00000000" w:rsidDel="00000000" w:rsidP="00000000" w:rsidRDefault="00000000" w:rsidRPr="00000000" w14:paraId="0000026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168.187 € </w:t>
            </w:r>
          </w:p>
        </w:tc>
        <w:tc>
          <w:tcPr>
            <w:shd w:fill="auto" w:val="clear"/>
            <w:vAlign w:val="bottom"/>
          </w:tcPr>
          <w:p w:rsidR="00000000" w:rsidDel="00000000" w:rsidP="00000000" w:rsidRDefault="00000000" w:rsidRPr="00000000" w14:paraId="0000026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186.103 € </w:t>
            </w:r>
          </w:p>
        </w:tc>
        <w:tc>
          <w:tcPr>
            <w:shd w:fill="auto" w:val="clear"/>
            <w:vAlign w:val="bottom"/>
          </w:tcPr>
          <w:p w:rsidR="00000000" w:rsidDel="00000000" w:rsidP="00000000" w:rsidRDefault="00000000" w:rsidRPr="00000000" w14:paraId="0000026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218.973 € </w:t>
            </w:r>
          </w:p>
        </w:tc>
        <w:tc>
          <w:tcPr>
            <w:shd w:fill="auto" w:val="clear"/>
            <w:vAlign w:val="bottom"/>
          </w:tcPr>
          <w:p w:rsidR="00000000" w:rsidDel="00000000" w:rsidP="00000000" w:rsidRDefault="00000000" w:rsidRPr="00000000" w14:paraId="0000026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229.264 € </w:t>
            </w:r>
          </w:p>
        </w:tc>
      </w:tr>
      <w:tr>
        <w:trPr>
          <w:cantSplit w:val="0"/>
          <w:trHeight w:val="330" w:hRule="atLeast"/>
          <w:tblHeader w:val="0"/>
        </w:trPr>
        <w:tc>
          <w:tcPr>
            <w:shd w:fill="auto" w:val="clear"/>
            <w:vAlign w:val="bottom"/>
          </w:tcPr>
          <w:p w:rsidR="00000000" w:rsidDel="00000000" w:rsidP="00000000" w:rsidRDefault="00000000" w:rsidRPr="00000000" w14:paraId="0000026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Albacete </w:t>
            </w:r>
          </w:p>
        </w:tc>
        <w:tc>
          <w:tcPr>
            <w:shd w:fill="auto" w:val="clear"/>
            <w:vAlign w:val="bottom"/>
          </w:tcPr>
          <w:p w:rsidR="00000000" w:rsidDel="00000000" w:rsidP="00000000" w:rsidRDefault="00000000" w:rsidRPr="00000000" w14:paraId="0000026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6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6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111.824 € </w:t>
            </w:r>
          </w:p>
        </w:tc>
        <w:tc>
          <w:tcPr>
            <w:shd w:fill="auto" w:val="clear"/>
            <w:vAlign w:val="bottom"/>
          </w:tcPr>
          <w:p w:rsidR="00000000" w:rsidDel="00000000" w:rsidP="00000000" w:rsidRDefault="00000000" w:rsidRPr="00000000" w14:paraId="0000026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115.272 € </w:t>
            </w:r>
          </w:p>
        </w:tc>
        <w:tc>
          <w:tcPr>
            <w:shd w:fill="auto" w:val="clear"/>
            <w:vAlign w:val="bottom"/>
          </w:tcPr>
          <w:p w:rsidR="00000000" w:rsidDel="00000000" w:rsidP="00000000" w:rsidRDefault="00000000" w:rsidRPr="00000000" w14:paraId="0000026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133.998 € </w:t>
            </w:r>
          </w:p>
        </w:tc>
        <w:tc>
          <w:tcPr>
            <w:shd w:fill="auto" w:val="clear"/>
            <w:vAlign w:val="bottom"/>
          </w:tcPr>
          <w:p w:rsidR="00000000" w:rsidDel="00000000" w:rsidP="00000000" w:rsidRDefault="00000000" w:rsidRPr="00000000" w14:paraId="0000026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151.970 € </w:t>
            </w:r>
          </w:p>
        </w:tc>
      </w:tr>
      <w:tr>
        <w:trPr>
          <w:cantSplit w:val="0"/>
          <w:trHeight w:val="330" w:hRule="atLeast"/>
          <w:tblHeader w:val="0"/>
        </w:trPr>
        <w:tc>
          <w:tcPr>
            <w:shd w:fill="auto" w:val="clear"/>
            <w:vAlign w:val="bottom"/>
          </w:tcPr>
          <w:p w:rsidR="00000000" w:rsidDel="00000000" w:rsidP="00000000" w:rsidRDefault="00000000" w:rsidRPr="00000000" w14:paraId="0000026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Alicante / Alacant</w:t>
            </w:r>
          </w:p>
        </w:tc>
        <w:tc>
          <w:tcPr>
            <w:shd w:fill="auto" w:val="clear"/>
            <w:vAlign w:val="bottom"/>
          </w:tcPr>
          <w:p w:rsidR="00000000" w:rsidDel="00000000" w:rsidP="00000000" w:rsidRDefault="00000000" w:rsidRPr="00000000" w14:paraId="0000026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154.319 € </w:t>
            </w:r>
          </w:p>
        </w:tc>
        <w:tc>
          <w:tcPr>
            <w:shd w:fill="auto" w:val="clear"/>
            <w:vAlign w:val="bottom"/>
          </w:tcPr>
          <w:p w:rsidR="00000000" w:rsidDel="00000000" w:rsidP="00000000" w:rsidRDefault="00000000" w:rsidRPr="00000000" w14:paraId="0000026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156.793 € </w:t>
            </w:r>
          </w:p>
        </w:tc>
        <w:tc>
          <w:tcPr>
            <w:shd w:fill="auto" w:val="clear"/>
            <w:vAlign w:val="bottom"/>
          </w:tcPr>
          <w:p w:rsidR="00000000" w:rsidDel="00000000" w:rsidP="00000000" w:rsidRDefault="00000000" w:rsidRPr="00000000" w14:paraId="0000026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114.902 € </w:t>
            </w:r>
          </w:p>
        </w:tc>
        <w:tc>
          <w:tcPr>
            <w:shd w:fill="auto" w:val="clear"/>
            <w:vAlign w:val="bottom"/>
          </w:tcPr>
          <w:p w:rsidR="00000000" w:rsidDel="00000000" w:rsidP="00000000" w:rsidRDefault="00000000" w:rsidRPr="00000000" w14:paraId="0000026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136.094 € </w:t>
            </w:r>
          </w:p>
        </w:tc>
        <w:tc>
          <w:tcPr>
            <w:shd w:fill="auto" w:val="clear"/>
            <w:vAlign w:val="bottom"/>
          </w:tcPr>
          <w:p w:rsidR="00000000" w:rsidDel="00000000" w:rsidP="00000000" w:rsidRDefault="00000000" w:rsidRPr="00000000" w14:paraId="0000027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187.786 € </w:t>
            </w:r>
          </w:p>
        </w:tc>
        <w:tc>
          <w:tcPr>
            <w:shd w:fill="auto" w:val="clear"/>
            <w:vAlign w:val="bottom"/>
          </w:tcPr>
          <w:p w:rsidR="00000000" w:rsidDel="00000000" w:rsidP="00000000" w:rsidRDefault="00000000" w:rsidRPr="00000000" w14:paraId="0000027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219.629 € </w:t>
            </w:r>
          </w:p>
        </w:tc>
      </w:tr>
      <w:tr>
        <w:trPr>
          <w:cantSplit w:val="0"/>
          <w:trHeight w:val="330" w:hRule="atLeast"/>
          <w:tblHeader w:val="0"/>
        </w:trPr>
        <w:tc>
          <w:tcPr>
            <w:shd w:fill="auto" w:val="clear"/>
            <w:vAlign w:val="bottom"/>
          </w:tcPr>
          <w:p w:rsidR="00000000" w:rsidDel="00000000" w:rsidP="00000000" w:rsidRDefault="00000000" w:rsidRPr="00000000" w14:paraId="0000027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Almería </w:t>
            </w:r>
          </w:p>
        </w:tc>
        <w:tc>
          <w:tcPr>
            <w:shd w:fill="auto" w:val="clear"/>
            <w:vAlign w:val="bottom"/>
          </w:tcPr>
          <w:p w:rsidR="00000000" w:rsidDel="00000000" w:rsidP="00000000" w:rsidRDefault="00000000" w:rsidRPr="00000000" w14:paraId="0000027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7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169.518 € </w:t>
            </w:r>
          </w:p>
        </w:tc>
        <w:tc>
          <w:tcPr>
            <w:shd w:fill="auto" w:val="clear"/>
            <w:vAlign w:val="bottom"/>
          </w:tcPr>
          <w:p w:rsidR="00000000" w:rsidDel="00000000" w:rsidP="00000000" w:rsidRDefault="00000000" w:rsidRPr="00000000" w14:paraId="0000027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110.059 € </w:t>
            </w:r>
          </w:p>
        </w:tc>
        <w:tc>
          <w:tcPr>
            <w:shd w:fill="auto" w:val="clear"/>
            <w:vAlign w:val="bottom"/>
          </w:tcPr>
          <w:p w:rsidR="00000000" w:rsidDel="00000000" w:rsidP="00000000" w:rsidRDefault="00000000" w:rsidRPr="00000000" w14:paraId="0000027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105.981 € </w:t>
            </w:r>
          </w:p>
        </w:tc>
        <w:tc>
          <w:tcPr>
            <w:shd w:fill="auto" w:val="clear"/>
            <w:vAlign w:val="bottom"/>
          </w:tcPr>
          <w:p w:rsidR="00000000" w:rsidDel="00000000" w:rsidP="00000000" w:rsidRDefault="00000000" w:rsidRPr="00000000" w14:paraId="0000027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124.982 € </w:t>
            </w:r>
          </w:p>
        </w:tc>
        <w:tc>
          <w:tcPr>
            <w:shd w:fill="auto" w:val="clear"/>
            <w:vAlign w:val="bottom"/>
          </w:tcPr>
          <w:p w:rsidR="00000000" w:rsidDel="00000000" w:rsidP="00000000" w:rsidRDefault="00000000" w:rsidRPr="00000000" w14:paraId="0000027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133.278 € </w:t>
            </w:r>
          </w:p>
        </w:tc>
      </w:tr>
      <w:tr>
        <w:trPr>
          <w:cantSplit w:val="0"/>
          <w:trHeight w:val="330" w:hRule="atLeast"/>
          <w:tblHeader w:val="0"/>
        </w:trPr>
        <w:tc>
          <w:tcPr>
            <w:shd w:fill="auto" w:val="clear"/>
            <w:vAlign w:val="bottom"/>
          </w:tcPr>
          <w:p w:rsidR="00000000" w:rsidDel="00000000" w:rsidP="00000000" w:rsidRDefault="00000000" w:rsidRPr="00000000" w14:paraId="0000027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Ávila </w:t>
            </w:r>
          </w:p>
        </w:tc>
        <w:tc>
          <w:tcPr>
            <w:shd w:fill="auto" w:val="clear"/>
            <w:vAlign w:val="bottom"/>
          </w:tcPr>
          <w:p w:rsidR="00000000" w:rsidDel="00000000" w:rsidP="00000000" w:rsidRDefault="00000000" w:rsidRPr="00000000" w14:paraId="0000027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7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7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100.149 € </w:t>
            </w:r>
          </w:p>
        </w:tc>
        <w:tc>
          <w:tcPr>
            <w:shd w:fill="auto" w:val="clear"/>
            <w:vAlign w:val="bottom"/>
          </w:tcPr>
          <w:p w:rsidR="00000000" w:rsidDel="00000000" w:rsidP="00000000" w:rsidRDefault="00000000" w:rsidRPr="00000000" w14:paraId="0000027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95.622 € </w:t>
            </w:r>
          </w:p>
        </w:tc>
        <w:tc>
          <w:tcPr>
            <w:shd w:fill="auto" w:val="clear"/>
            <w:vAlign w:val="bottom"/>
          </w:tcPr>
          <w:p w:rsidR="00000000" w:rsidDel="00000000" w:rsidP="00000000" w:rsidRDefault="00000000" w:rsidRPr="00000000" w14:paraId="0000027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105.983 € </w:t>
            </w:r>
          </w:p>
        </w:tc>
        <w:tc>
          <w:tcPr>
            <w:shd w:fill="auto" w:val="clear"/>
            <w:vAlign w:val="bottom"/>
          </w:tcPr>
          <w:p w:rsidR="00000000" w:rsidDel="00000000" w:rsidP="00000000" w:rsidRDefault="00000000" w:rsidRPr="00000000" w14:paraId="0000027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108.401 € </w:t>
            </w:r>
          </w:p>
        </w:tc>
      </w:tr>
      <w:tr>
        <w:trPr>
          <w:cantSplit w:val="0"/>
          <w:trHeight w:val="330" w:hRule="atLeast"/>
          <w:tblHeader w:val="0"/>
        </w:trPr>
        <w:tc>
          <w:tcPr>
            <w:shd w:fill="auto" w:val="clear"/>
            <w:vAlign w:val="bottom"/>
          </w:tcPr>
          <w:p w:rsidR="00000000" w:rsidDel="00000000" w:rsidP="00000000" w:rsidRDefault="00000000" w:rsidRPr="00000000" w14:paraId="0000028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Badajoz </w:t>
            </w:r>
          </w:p>
        </w:tc>
        <w:tc>
          <w:tcPr>
            <w:shd w:fill="auto" w:val="clear"/>
            <w:vAlign w:val="bottom"/>
          </w:tcPr>
          <w:p w:rsidR="00000000" w:rsidDel="00000000" w:rsidP="00000000" w:rsidRDefault="00000000" w:rsidRPr="00000000" w14:paraId="0000028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8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8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103.061 € </w:t>
            </w:r>
          </w:p>
        </w:tc>
        <w:tc>
          <w:tcPr>
            <w:shd w:fill="auto" w:val="clear"/>
            <w:vAlign w:val="bottom"/>
          </w:tcPr>
          <w:p w:rsidR="00000000" w:rsidDel="00000000" w:rsidP="00000000" w:rsidRDefault="00000000" w:rsidRPr="00000000" w14:paraId="0000028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104.941 € </w:t>
            </w:r>
          </w:p>
        </w:tc>
        <w:tc>
          <w:tcPr>
            <w:shd w:fill="auto" w:val="clear"/>
            <w:vAlign w:val="bottom"/>
          </w:tcPr>
          <w:p w:rsidR="00000000" w:rsidDel="00000000" w:rsidP="00000000" w:rsidRDefault="00000000" w:rsidRPr="00000000" w14:paraId="0000028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126.723 € </w:t>
            </w:r>
          </w:p>
        </w:tc>
        <w:tc>
          <w:tcPr>
            <w:shd w:fill="auto" w:val="clear"/>
            <w:vAlign w:val="bottom"/>
          </w:tcPr>
          <w:p w:rsidR="00000000" w:rsidDel="00000000" w:rsidP="00000000" w:rsidRDefault="00000000" w:rsidRPr="00000000" w14:paraId="0000028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137.530 € </w:t>
            </w:r>
          </w:p>
        </w:tc>
      </w:tr>
      <w:tr>
        <w:trPr>
          <w:cantSplit w:val="0"/>
          <w:trHeight w:val="330" w:hRule="atLeast"/>
          <w:tblHeader w:val="0"/>
        </w:trPr>
        <w:tc>
          <w:tcPr>
            <w:shd w:fill="auto" w:val="clear"/>
            <w:vAlign w:val="bottom"/>
          </w:tcPr>
          <w:p w:rsidR="00000000" w:rsidDel="00000000" w:rsidP="00000000" w:rsidRDefault="00000000" w:rsidRPr="00000000" w14:paraId="0000028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Barcelona </w:t>
            </w:r>
          </w:p>
        </w:tc>
        <w:tc>
          <w:tcPr>
            <w:shd w:fill="auto" w:val="clear"/>
            <w:vAlign w:val="bottom"/>
          </w:tcPr>
          <w:p w:rsidR="00000000" w:rsidDel="00000000" w:rsidP="00000000" w:rsidRDefault="00000000" w:rsidRPr="00000000" w14:paraId="0000028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326.398 €   </w:t>
            </w:r>
          </w:p>
        </w:tc>
        <w:tc>
          <w:tcPr>
            <w:shd w:fill="auto" w:val="clear"/>
            <w:vAlign w:val="bottom"/>
          </w:tcPr>
          <w:p w:rsidR="00000000" w:rsidDel="00000000" w:rsidP="00000000" w:rsidRDefault="00000000" w:rsidRPr="00000000" w14:paraId="0000028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335.742 € </w:t>
            </w:r>
          </w:p>
        </w:tc>
        <w:tc>
          <w:tcPr>
            <w:shd w:fill="auto" w:val="clear"/>
            <w:vAlign w:val="bottom"/>
          </w:tcPr>
          <w:p w:rsidR="00000000" w:rsidDel="00000000" w:rsidP="00000000" w:rsidRDefault="00000000" w:rsidRPr="00000000" w14:paraId="0000028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263.327 € </w:t>
            </w:r>
          </w:p>
        </w:tc>
        <w:tc>
          <w:tcPr>
            <w:shd w:fill="auto" w:val="clear"/>
            <w:vAlign w:val="bottom"/>
          </w:tcPr>
          <w:p w:rsidR="00000000" w:rsidDel="00000000" w:rsidP="00000000" w:rsidRDefault="00000000" w:rsidRPr="00000000" w14:paraId="0000028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366.858 € </w:t>
            </w:r>
          </w:p>
        </w:tc>
        <w:tc>
          <w:tcPr>
            <w:shd w:fill="auto" w:val="clear"/>
            <w:vAlign w:val="bottom"/>
          </w:tcPr>
          <w:p w:rsidR="00000000" w:rsidDel="00000000" w:rsidP="00000000" w:rsidRDefault="00000000" w:rsidRPr="00000000" w14:paraId="0000028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371.518 € </w:t>
            </w:r>
          </w:p>
        </w:tc>
        <w:tc>
          <w:tcPr>
            <w:shd w:fill="auto" w:val="clear"/>
            <w:vAlign w:val="bottom"/>
          </w:tcPr>
          <w:p w:rsidR="00000000" w:rsidDel="00000000" w:rsidP="00000000" w:rsidRDefault="00000000" w:rsidRPr="00000000" w14:paraId="0000028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400.804 € </w:t>
            </w:r>
          </w:p>
        </w:tc>
      </w:tr>
      <w:tr>
        <w:trPr>
          <w:cantSplit w:val="0"/>
          <w:trHeight w:val="330" w:hRule="atLeast"/>
          <w:tblHeader w:val="0"/>
        </w:trPr>
        <w:tc>
          <w:tcPr>
            <w:shd w:fill="auto" w:val="clear"/>
            <w:vAlign w:val="bottom"/>
          </w:tcPr>
          <w:p w:rsidR="00000000" w:rsidDel="00000000" w:rsidP="00000000" w:rsidRDefault="00000000" w:rsidRPr="00000000" w14:paraId="0000028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Bilbao</w:t>
            </w:r>
          </w:p>
        </w:tc>
        <w:tc>
          <w:tcPr>
            <w:shd w:fill="auto" w:val="clear"/>
            <w:vAlign w:val="bottom"/>
          </w:tcPr>
          <w:p w:rsidR="00000000" w:rsidDel="00000000" w:rsidP="00000000" w:rsidRDefault="00000000" w:rsidRPr="00000000" w14:paraId="0000028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303.178 € </w:t>
            </w:r>
          </w:p>
        </w:tc>
        <w:tc>
          <w:tcPr>
            <w:shd w:fill="auto" w:val="clear"/>
            <w:vAlign w:val="bottom"/>
          </w:tcPr>
          <w:p w:rsidR="00000000" w:rsidDel="00000000" w:rsidP="00000000" w:rsidRDefault="00000000" w:rsidRPr="00000000" w14:paraId="0000029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312.912 € </w:t>
            </w:r>
          </w:p>
        </w:tc>
        <w:tc>
          <w:tcPr>
            <w:shd w:fill="auto" w:val="clear"/>
            <w:vAlign w:val="bottom"/>
          </w:tcPr>
          <w:p w:rsidR="00000000" w:rsidDel="00000000" w:rsidP="00000000" w:rsidRDefault="00000000" w:rsidRPr="00000000" w14:paraId="0000029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242.183 € </w:t>
            </w:r>
          </w:p>
        </w:tc>
        <w:tc>
          <w:tcPr>
            <w:shd w:fill="auto" w:val="clear"/>
            <w:vAlign w:val="bottom"/>
          </w:tcPr>
          <w:p w:rsidR="00000000" w:rsidDel="00000000" w:rsidP="00000000" w:rsidRDefault="00000000" w:rsidRPr="00000000" w14:paraId="0000029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264.278 € </w:t>
            </w:r>
          </w:p>
        </w:tc>
        <w:tc>
          <w:tcPr>
            <w:shd w:fill="auto" w:val="clear"/>
            <w:vAlign w:val="bottom"/>
          </w:tcPr>
          <w:p w:rsidR="00000000" w:rsidDel="00000000" w:rsidP="00000000" w:rsidRDefault="00000000" w:rsidRPr="00000000" w14:paraId="0000029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291.221 € </w:t>
            </w:r>
          </w:p>
        </w:tc>
        <w:tc>
          <w:tcPr>
            <w:shd w:fill="auto" w:val="clear"/>
            <w:vAlign w:val="bottom"/>
          </w:tcPr>
          <w:p w:rsidR="00000000" w:rsidDel="00000000" w:rsidP="00000000" w:rsidRDefault="00000000" w:rsidRPr="00000000" w14:paraId="0000029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306.363 € </w:t>
            </w:r>
          </w:p>
        </w:tc>
      </w:tr>
      <w:tr>
        <w:trPr>
          <w:cantSplit w:val="0"/>
          <w:trHeight w:val="330" w:hRule="atLeast"/>
          <w:tblHeader w:val="0"/>
        </w:trPr>
        <w:tc>
          <w:tcPr>
            <w:shd w:fill="auto" w:val="clear"/>
            <w:vAlign w:val="bottom"/>
          </w:tcPr>
          <w:p w:rsidR="00000000" w:rsidDel="00000000" w:rsidP="00000000" w:rsidRDefault="00000000" w:rsidRPr="00000000" w14:paraId="0000029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Burgos </w:t>
            </w:r>
          </w:p>
        </w:tc>
        <w:tc>
          <w:tcPr>
            <w:shd w:fill="auto" w:val="clear"/>
            <w:vAlign w:val="bottom"/>
          </w:tcPr>
          <w:p w:rsidR="00000000" w:rsidDel="00000000" w:rsidP="00000000" w:rsidRDefault="00000000" w:rsidRPr="00000000" w14:paraId="0000029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9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197.077 € </w:t>
            </w:r>
          </w:p>
        </w:tc>
        <w:tc>
          <w:tcPr>
            <w:shd w:fill="auto" w:val="clear"/>
            <w:vAlign w:val="bottom"/>
          </w:tcPr>
          <w:p w:rsidR="00000000" w:rsidDel="00000000" w:rsidP="00000000" w:rsidRDefault="00000000" w:rsidRPr="00000000" w14:paraId="0000029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127.163 € </w:t>
            </w:r>
          </w:p>
        </w:tc>
        <w:tc>
          <w:tcPr>
            <w:shd w:fill="auto" w:val="clear"/>
            <w:vAlign w:val="bottom"/>
          </w:tcPr>
          <w:p w:rsidR="00000000" w:rsidDel="00000000" w:rsidP="00000000" w:rsidRDefault="00000000" w:rsidRPr="00000000" w14:paraId="0000029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140.145 € </w:t>
            </w:r>
          </w:p>
        </w:tc>
        <w:tc>
          <w:tcPr>
            <w:shd w:fill="auto" w:val="clear"/>
            <w:vAlign w:val="bottom"/>
          </w:tcPr>
          <w:p w:rsidR="00000000" w:rsidDel="00000000" w:rsidP="00000000" w:rsidRDefault="00000000" w:rsidRPr="00000000" w14:paraId="0000029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151.287 € </w:t>
            </w:r>
          </w:p>
        </w:tc>
        <w:tc>
          <w:tcPr>
            <w:shd w:fill="auto" w:val="clear"/>
            <w:vAlign w:val="bottom"/>
          </w:tcPr>
          <w:p w:rsidR="00000000" w:rsidDel="00000000" w:rsidP="00000000" w:rsidRDefault="00000000" w:rsidRPr="00000000" w14:paraId="0000029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178.474 € </w:t>
            </w:r>
          </w:p>
        </w:tc>
      </w:tr>
      <w:tr>
        <w:trPr>
          <w:cantSplit w:val="0"/>
          <w:trHeight w:val="330" w:hRule="atLeast"/>
          <w:tblHeader w:val="0"/>
        </w:trPr>
        <w:tc>
          <w:tcPr>
            <w:shd w:fill="auto" w:val="clear"/>
            <w:vAlign w:val="bottom"/>
          </w:tcPr>
          <w:p w:rsidR="00000000" w:rsidDel="00000000" w:rsidP="00000000" w:rsidRDefault="00000000" w:rsidRPr="00000000" w14:paraId="0000029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Cáceres </w:t>
            </w:r>
          </w:p>
        </w:tc>
        <w:tc>
          <w:tcPr>
            <w:shd w:fill="auto" w:val="clear"/>
            <w:vAlign w:val="bottom"/>
          </w:tcPr>
          <w:p w:rsidR="00000000" w:rsidDel="00000000" w:rsidP="00000000" w:rsidRDefault="00000000" w:rsidRPr="00000000" w14:paraId="0000029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9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148.149 € </w:t>
            </w:r>
          </w:p>
        </w:tc>
        <w:tc>
          <w:tcPr>
            <w:shd w:fill="auto" w:val="clear"/>
            <w:vAlign w:val="bottom"/>
          </w:tcPr>
          <w:p w:rsidR="00000000" w:rsidDel="00000000" w:rsidP="00000000" w:rsidRDefault="00000000" w:rsidRPr="00000000" w14:paraId="0000029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107.048 € </w:t>
            </w:r>
          </w:p>
        </w:tc>
        <w:tc>
          <w:tcPr>
            <w:shd w:fill="auto" w:val="clear"/>
            <w:vAlign w:val="bottom"/>
          </w:tcPr>
          <w:p w:rsidR="00000000" w:rsidDel="00000000" w:rsidP="00000000" w:rsidRDefault="00000000" w:rsidRPr="00000000" w14:paraId="000002A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102.635 € </w:t>
            </w:r>
          </w:p>
        </w:tc>
        <w:tc>
          <w:tcPr>
            <w:shd w:fill="auto" w:val="clear"/>
            <w:vAlign w:val="bottom"/>
          </w:tcPr>
          <w:p w:rsidR="00000000" w:rsidDel="00000000" w:rsidP="00000000" w:rsidRDefault="00000000" w:rsidRPr="00000000" w14:paraId="000002A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112.654 € </w:t>
            </w:r>
          </w:p>
        </w:tc>
        <w:tc>
          <w:tcPr>
            <w:shd w:fill="auto" w:val="clear"/>
            <w:vAlign w:val="bottom"/>
          </w:tcPr>
          <w:p w:rsidR="00000000" w:rsidDel="00000000" w:rsidP="00000000" w:rsidRDefault="00000000" w:rsidRPr="00000000" w14:paraId="000002A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122.761 € </w:t>
            </w:r>
          </w:p>
        </w:tc>
      </w:tr>
      <w:tr>
        <w:trPr>
          <w:cantSplit w:val="0"/>
          <w:trHeight w:val="330" w:hRule="atLeast"/>
          <w:tblHeader w:val="0"/>
        </w:trPr>
        <w:tc>
          <w:tcPr>
            <w:shd w:fill="auto" w:val="clear"/>
            <w:vAlign w:val="bottom"/>
          </w:tcPr>
          <w:p w:rsidR="00000000" w:rsidDel="00000000" w:rsidP="00000000" w:rsidRDefault="00000000" w:rsidRPr="00000000" w14:paraId="000002A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Cádiz </w:t>
            </w:r>
          </w:p>
        </w:tc>
        <w:tc>
          <w:tcPr>
            <w:shd w:fill="auto" w:val="clear"/>
            <w:vAlign w:val="bottom"/>
          </w:tcPr>
          <w:p w:rsidR="00000000" w:rsidDel="00000000" w:rsidP="00000000" w:rsidRDefault="00000000" w:rsidRPr="00000000" w14:paraId="000002A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A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228.762 € </w:t>
            </w:r>
          </w:p>
        </w:tc>
        <w:tc>
          <w:tcPr>
            <w:shd w:fill="auto" w:val="clear"/>
            <w:vAlign w:val="bottom"/>
          </w:tcPr>
          <w:p w:rsidR="00000000" w:rsidDel="00000000" w:rsidP="00000000" w:rsidRDefault="00000000" w:rsidRPr="00000000" w14:paraId="000002A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160.915 € </w:t>
            </w:r>
          </w:p>
        </w:tc>
        <w:tc>
          <w:tcPr>
            <w:shd w:fill="auto" w:val="clear"/>
            <w:vAlign w:val="bottom"/>
          </w:tcPr>
          <w:p w:rsidR="00000000" w:rsidDel="00000000" w:rsidP="00000000" w:rsidRDefault="00000000" w:rsidRPr="00000000" w14:paraId="000002A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198.121 € </w:t>
            </w:r>
          </w:p>
        </w:tc>
        <w:tc>
          <w:tcPr>
            <w:shd w:fill="auto" w:val="clear"/>
            <w:vAlign w:val="bottom"/>
          </w:tcPr>
          <w:p w:rsidR="00000000" w:rsidDel="00000000" w:rsidP="00000000" w:rsidRDefault="00000000" w:rsidRPr="00000000" w14:paraId="000002A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234.074 € </w:t>
            </w:r>
          </w:p>
        </w:tc>
        <w:tc>
          <w:tcPr>
            <w:shd w:fill="auto" w:val="clear"/>
            <w:vAlign w:val="bottom"/>
          </w:tcPr>
          <w:p w:rsidR="00000000" w:rsidDel="00000000" w:rsidP="00000000" w:rsidRDefault="00000000" w:rsidRPr="00000000" w14:paraId="000002A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254.708 € </w:t>
            </w:r>
          </w:p>
        </w:tc>
      </w:tr>
      <w:tr>
        <w:trPr>
          <w:cantSplit w:val="0"/>
          <w:trHeight w:val="330" w:hRule="atLeast"/>
          <w:tblHeader w:val="0"/>
        </w:trPr>
        <w:tc>
          <w:tcPr>
            <w:shd w:fill="auto" w:val="clear"/>
            <w:vAlign w:val="bottom"/>
          </w:tcPr>
          <w:p w:rsidR="00000000" w:rsidDel="00000000" w:rsidP="00000000" w:rsidRDefault="00000000" w:rsidRPr="00000000" w14:paraId="000002A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Castelló/n de la Plana</w:t>
            </w:r>
          </w:p>
        </w:tc>
        <w:tc>
          <w:tcPr>
            <w:shd w:fill="auto" w:val="clear"/>
            <w:vAlign w:val="bottom"/>
          </w:tcPr>
          <w:p w:rsidR="00000000" w:rsidDel="00000000" w:rsidP="00000000" w:rsidRDefault="00000000" w:rsidRPr="00000000" w14:paraId="000002A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149.807 € </w:t>
            </w:r>
          </w:p>
        </w:tc>
        <w:tc>
          <w:tcPr>
            <w:shd w:fill="auto" w:val="clear"/>
            <w:vAlign w:val="bottom"/>
          </w:tcPr>
          <w:p w:rsidR="00000000" w:rsidDel="00000000" w:rsidP="00000000" w:rsidRDefault="00000000" w:rsidRPr="00000000" w14:paraId="000002A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157.464 € </w:t>
            </w:r>
          </w:p>
        </w:tc>
        <w:tc>
          <w:tcPr>
            <w:shd w:fill="auto" w:val="clear"/>
            <w:vAlign w:val="bottom"/>
          </w:tcPr>
          <w:p w:rsidR="00000000" w:rsidDel="00000000" w:rsidP="00000000" w:rsidRDefault="00000000" w:rsidRPr="00000000" w14:paraId="000002A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94.226 € </w:t>
            </w:r>
          </w:p>
        </w:tc>
        <w:tc>
          <w:tcPr>
            <w:shd w:fill="auto" w:val="clear"/>
            <w:vAlign w:val="bottom"/>
          </w:tcPr>
          <w:p w:rsidR="00000000" w:rsidDel="00000000" w:rsidP="00000000" w:rsidRDefault="00000000" w:rsidRPr="00000000" w14:paraId="000002A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98.132 € </w:t>
            </w:r>
          </w:p>
        </w:tc>
        <w:tc>
          <w:tcPr>
            <w:shd w:fill="auto" w:val="clear"/>
            <w:vAlign w:val="bottom"/>
          </w:tcPr>
          <w:p w:rsidR="00000000" w:rsidDel="00000000" w:rsidP="00000000" w:rsidRDefault="00000000" w:rsidRPr="00000000" w14:paraId="000002A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114.283 € </w:t>
            </w:r>
          </w:p>
        </w:tc>
        <w:tc>
          <w:tcPr>
            <w:shd w:fill="auto" w:val="clear"/>
            <w:vAlign w:val="bottom"/>
          </w:tcPr>
          <w:p w:rsidR="00000000" w:rsidDel="00000000" w:rsidP="00000000" w:rsidRDefault="00000000" w:rsidRPr="00000000" w14:paraId="000002B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137.431 € </w:t>
            </w:r>
          </w:p>
        </w:tc>
      </w:tr>
      <w:tr>
        <w:trPr>
          <w:cantSplit w:val="0"/>
          <w:trHeight w:val="330" w:hRule="atLeast"/>
          <w:tblHeader w:val="0"/>
        </w:trPr>
        <w:tc>
          <w:tcPr>
            <w:shd w:fill="auto" w:val="clear"/>
            <w:vAlign w:val="bottom"/>
          </w:tcPr>
          <w:p w:rsidR="00000000" w:rsidDel="00000000" w:rsidP="00000000" w:rsidRDefault="00000000" w:rsidRPr="00000000" w14:paraId="000002B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Ciudad Real </w:t>
            </w:r>
          </w:p>
        </w:tc>
        <w:tc>
          <w:tcPr>
            <w:shd w:fill="auto" w:val="clear"/>
            <w:vAlign w:val="bottom"/>
          </w:tcPr>
          <w:p w:rsidR="00000000" w:rsidDel="00000000" w:rsidP="00000000" w:rsidRDefault="00000000" w:rsidRPr="00000000" w14:paraId="000002B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B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157.735 € </w:t>
            </w:r>
          </w:p>
        </w:tc>
        <w:tc>
          <w:tcPr>
            <w:shd w:fill="auto" w:val="clear"/>
            <w:vAlign w:val="bottom"/>
          </w:tcPr>
          <w:p w:rsidR="00000000" w:rsidDel="00000000" w:rsidP="00000000" w:rsidRDefault="00000000" w:rsidRPr="00000000" w14:paraId="000002B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98.176 € </w:t>
            </w:r>
          </w:p>
        </w:tc>
        <w:tc>
          <w:tcPr>
            <w:shd w:fill="auto" w:val="clear"/>
            <w:vAlign w:val="bottom"/>
          </w:tcPr>
          <w:p w:rsidR="00000000" w:rsidDel="00000000" w:rsidP="00000000" w:rsidRDefault="00000000" w:rsidRPr="00000000" w14:paraId="000002B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100.407 € </w:t>
            </w:r>
          </w:p>
        </w:tc>
        <w:tc>
          <w:tcPr>
            <w:shd w:fill="auto" w:val="clear"/>
            <w:vAlign w:val="bottom"/>
          </w:tcPr>
          <w:p w:rsidR="00000000" w:rsidDel="00000000" w:rsidP="00000000" w:rsidRDefault="00000000" w:rsidRPr="00000000" w14:paraId="000002B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110.933 € </w:t>
            </w:r>
          </w:p>
        </w:tc>
        <w:tc>
          <w:tcPr>
            <w:shd w:fill="auto" w:val="clear"/>
            <w:vAlign w:val="bottom"/>
          </w:tcPr>
          <w:p w:rsidR="00000000" w:rsidDel="00000000" w:rsidP="00000000" w:rsidRDefault="00000000" w:rsidRPr="00000000" w14:paraId="000002B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115.781 € </w:t>
            </w:r>
          </w:p>
        </w:tc>
      </w:tr>
      <w:tr>
        <w:trPr>
          <w:cantSplit w:val="0"/>
          <w:trHeight w:val="330" w:hRule="atLeast"/>
          <w:tblHeader w:val="0"/>
        </w:trPr>
        <w:tc>
          <w:tcPr>
            <w:shd w:fill="auto" w:val="clear"/>
            <w:vAlign w:val="bottom"/>
          </w:tcPr>
          <w:p w:rsidR="00000000" w:rsidDel="00000000" w:rsidP="00000000" w:rsidRDefault="00000000" w:rsidRPr="00000000" w14:paraId="000002B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Córdoba </w:t>
            </w:r>
          </w:p>
        </w:tc>
        <w:tc>
          <w:tcPr>
            <w:shd w:fill="auto" w:val="clear"/>
            <w:vAlign w:val="bottom"/>
          </w:tcPr>
          <w:p w:rsidR="00000000" w:rsidDel="00000000" w:rsidP="00000000" w:rsidRDefault="00000000" w:rsidRPr="00000000" w14:paraId="000002B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160.552 € </w:t>
            </w:r>
          </w:p>
        </w:tc>
        <w:tc>
          <w:tcPr>
            <w:shd w:fill="auto" w:val="clear"/>
            <w:vAlign w:val="bottom"/>
          </w:tcPr>
          <w:p w:rsidR="00000000" w:rsidDel="00000000" w:rsidP="00000000" w:rsidRDefault="00000000" w:rsidRPr="00000000" w14:paraId="000002B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177.490 € </w:t>
            </w:r>
          </w:p>
        </w:tc>
        <w:tc>
          <w:tcPr>
            <w:shd w:fill="auto" w:val="clear"/>
            <w:vAlign w:val="bottom"/>
          </w:tcPr>
          <w:p w:rsidR="00000000" w:rsidDel="00000000" w:rsidP="00000000" w:rsidRDefault="00000000" w:rsidRPr="00000000" w14:paraId="000002B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113.232 € </w:t>
            </w:r>
          </w:p>
        </w:tc>
        <w:tc>
          <w:tcPr>
            <w:shd w:fill="auto" w:val="clear"/>
            <w:vAlign w:val="bottom"/>
          </w:tcPr>
          <w:p w:rsidR="00000000" w:rsidDel="00000000" w:rsidP="00000000" w:rsidRDefault="00000000" w:rsidRPr="00000000" w14:paraId="000002B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120.818 € </w:t>
            </w:r>
          </w:p>
        </w:tc>
        <w:tc>
          <w:tcPr>
            <w:shd w:fill="auto" w:val="clear"/>
            <w:vAlign w:val="bottom"/>
          </w:tcPr>
          <w:p w:rsidR="00000000" w:rsidDel="00000000" w:rsidP="00000000" w:rsidRDefault="00000000" w:rsidRPr="00000000" w14:paraId="000002B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134.437 € </w:t>
            </w:r>
          </w:p>
        </w:tc>
        <w:tc>
          <w:tcPr>
            <w:shd w:fill="auto" w:val="clear"/>
            <w:vAlign w:val="bottom"/>
          </w:tcPr>
          <w:p w:rsidR="00000000" w:rsidDel="00000000" w:rsidP="00000000" w:rsidRDefault="00000000" w:rsidRPr="00000000" w14:paraId="000002B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141.899 € </w:t>
            </w:r>
          </w:p>
        </w:tc>
      </w:tr>
      <w:tr>
        <w:trPr>
          <w:cantSplit w:val="0"/>
          <w:trHeight w:val="330" w:hRule="atLeast"/>
          <w:tblHeader w:val="0"/>
        </w:trPr>
        <w:tc>
          <w:tcPr>
            <w:shd w:fill="auto" w:val="clear"/>
            <w:vAlign w:val="bottom"/>
          </w:tcPr>
          <w:p w:rsidR="00000000" w:rsidDel="00000000" w:rsidP="00000000" w:rsidRDefault="00000000" w:rsidRPr="00000000" w14:paraId="000002B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Cuenca </w:t>
            </w:r>
          </w:p>
        </w:tc>
        <w:tc>
          <w:tcPr>
            <w:shd w:fill="auto" w:val="clear"/>
            <w:vAlign w:val="bottom"/>
          </w:tcPr>
          <w:p w:rsidR="00000000" w:rsidDel="00000000" w:rsidP="00000000" w:rsidRDefault="00000000" w:rsidRPr="00000000" w14:paraId="000002C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C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C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95.317 € </w:t>
            </w:r>
          </w:p>
        </w:tc>
        <w:tc>
          <w:tcPr>
            <w:shd w:fill="auto" w:val="clear"/>
            <w:vAlign w:val="bottom"/>
          </w:tcPr>
          <w:p w:rsidR="00000000" w:rsidDel="00000000" w:rsidP="00000000" w:rsidRDefault="00000000" w:rsidRPr="00000000" w14:paraId="000002C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101.010 € </w:t>
            </w:r>
          </w:p>
        </w:tc>
        <w:tc>
          <w:tcPr>
            <w:shd w:fill="auto" w:val="clear"/>
            <w:vAlign w:val="bottom"/>
          </w:tcPr>
          <w:p w:rsidR="00000000" w:rsidDel="00000000" w:rsidP="00000000" w:rsidRDefault="00000000" w:rsidRPr="00000000" w14:paraId="000002C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118.553 € </w:t>
            </w:r>
          </w:p>
        </w:tc>
        <w:tc>
          <w:tcPr>
            <w:shd w:fill="auto" w:val="clear"/>
            <w:vAlign w:val="bottom"/>
          </w:tcPr>
          <w:p w:rsidR="00000000" w:rsidDel="00000000" w:rsidP="00000000" w:rsidRDefault="00000000" w:rsidRPr="00000000" w14:paraId="000002C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137.922 € </w:t>
            </w:r>
          </w:p>
        </w:tc>
      </w:tr>
      <w:tr>
        <w:trPr>
          <w:cantSplit w:val="0"/>
          <w:trHeight w:val="330" w:hRule="atLeast"/>
          <w:tblHeader w:val="0"/>
        </w:trPr>
        <w:tc>
          <w:tcPr>
            <w:shd w:fill="auto" w:val="clear"/>
            <w:vAlign w:val="bottom"/>
          </w:tcPr>
          <w:p w:rsidR="00000000" w:rsidDel="00000000" w:rsidP="00000000" w:rsidRDefault="00000000" w:rsidRPr="00000000" w14:paraId="000002C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Donostia - San Sebastián</w:t>
            </w:r>
          </w:p>
        </w:tc>
        <w:tc>
          <w:tcPr>
            <w:shd w:fill="auto" w:val="clear"/>
            <w:vAlign w:val="bottom"/>
          </w:tcPr>
          <w:p w:rsidR="00000000" w:rsidDel="00000000" w:rsidP="00000000" w:rsidRDefault="00000000" w:rsidRPr="00000000" w14:paraId="000002C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C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444.608 € </w:t>
            </w:r>
          </w:p>
        </w:tc>
        <w:tc>
          <w:tcPr>
            <w:shd w:fill="auto" w:val="clear"/>
            <w:vAlign w:val="bottom"/>
          </w:tcPr>
          <w:p w:rsidR="00000000" w:rsidDel="00000000" w:rsidP="00000000" w:rsidRDefault="00000000" w:rsidRPr="00000000" w14:paraId="000002C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322.353 € </w:t>
            </w:r>
          </w:p>
        </w:tc>
        <w:tc>
          <w:tcPr>
            <w:shd w:fill="auto" w:val="clear"/>
            <w:vAlign w:val="bottom"/>
          </w:tcPr>
          <w:p w:rsidR="00000000" w:rsidDel="00000000" w:rsidP="00000000" w:rsidRDefault="00000000" w:rsidRPr="00000000" w14:paraId="000002C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433.287 € </w:t>
            </w:r>
          </w:p>
        </w:tc>
        <w:tc>
          <w:tcPr>
            <w:shd w:fill="auto" w:val="clear"/>
            <w:vAlign w:val="bottom"/>
          </w:tcPr>
          <w:p w:rsidR="00000000" w:rsidDel="00000000" w:rsidP="00000000" w:rsidRDefault="00000000" w:rsidRPr="00000000" w14:paraId="000002C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501.019 € </w:t>
            </w:r>
          </w:p>
        </w:tc>
        <w:tc>
          <w:tcPr>
            <w:shd w:fill="auto" w:val="clear"/>
            <w:vAlign w:val="bottom"/>
          </w:tcPr>
          <w:p w:rsidR="00000000" w:rsidDel="00000000" w:rsidP="00000000" w:rsidRDefault="00000000" w:rsidRPr="00000000" w14:paraId="000002C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536.964 € </w:t>
            </w:r>
          </w:p>
        </w:tc>
      </w:tr>
      <w:tr>
        <w:trPr>
          <w:cantSplit w:val="0"/>
          <w:trHeight w:val="330" w:hRule="atLeast"/>
          <w:tblHeader w:val="0"/>
        </w:trPr>
        <w:tc>
          <w:tcPr>
            <w:shd w:fill="ffffff" w:val="clear"/>
            <w:vAlign w:val="bottom"/>
          </w:tcPr>
          <w:p w:rsidR="00000000" w:rsidDel="00000000" w:rsidP="00000000" w:rsidRDefault="00000000" w:rsidRPr="00000000" w14:paraId="000002C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Girona </w:t>
            </w:r>
          </w:p>
        </w:tc>
        <w:tc>
          <w:tcPr>
            <w:shd w:fill="auto" w:val="clear"/>
            <w:vAlign w:val="bottom"/>
          </w:tcPr>
          <w:p w:rsidR="00000000" w:rsidDel="00000000" w:rsidP="00000000" w:rsidRDefault="00000000" w:rsidRPr="00000000" w14:paraId="000002C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209.415 € </w:t>
            </w:r>
          </w:p>
        </w:tc>
        <w:tc>
          <w:tcPr>
            <w:shd w:fill="auto" w:val="clear"/>
            <w:vAlign w:val="bottom"/>
          </w:tcPr>
          <w:p w:rsidR="00000000" w:rsidDel="00000000" w:rsidP="00000000" w:rsidRDefault="00000000" w:rsidRPr="00000000" w14:paraId="000002C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234.179 € </w:t>
            </w:r>
          </w:p>
        </w:tc>
        <w:tc>
          <w:tcPr>
            <w:shd w:fill="auto" w:val="clear"/>
            <w:vAlign w:val="bottom"/>
          </w:tcPr>
          <w:p w:rsidR="00000000" w:rsidDel="00000000" w:rsidP="00000000" w:rsidRDefault="00000000" w:rsidRPr="00000000" w14:paraId="000002D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145.034 € </w:t>
            </w:r>
          </w:p>
        </w:tc>
        <w:tc>
          <w:tcPr>
            <w:shd w:fill="auto" w:val="clear"/>
            <w:vAlign w:val="bottom"/>
          </w:tcPr>
          <w:p w:rsidR="00000000" w:rsidDel="00000000" w:rsidP="00000000" w:rsidRDefault="00000000" w:rsidRPr="00000000" w14:paraId="000002D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191.702 € </w:t>
            </w:r>
          </w:p>
        </w:tc>
        <w:tc>
          <w:tcPr>
            <w:shd w:fill="auto" w:val="clear"/>
            <w:vAlign w:val="bottom"/>
          </w:tcPr>
          <w:p w:rsidR="00000000" w:rsidDel="00000000" w:rsidP="00000000" w:rsidRDefault="00000000" w:rsidRPr="00000000" w14:paraId="000002D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216.014 € </w:t>
            </w:r>
          </w:p>
        </w:tc>
        <w:tc>
          <w:tcPr>
            <w:shd w:fill="auto" w:val="clear"/>
            <w:vAlign w:val="bottom"/>
          </w:tcPr>
          <w:p w:rsidR="00000000" w:rsidDel="00000000" w:rsidP="00000000" w:rsidRDefault="00000000" w:rsidRPr="00000000" w14:paraId="000002D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219.584 € </w:t>
            </w:r>
          </w:p>
        </w:tc>
      </w:tr>
      <w:tr>
        <w:trPr>
          <w:cantSplit w:val="0"/>
          <w:trHeight w:val="330" w:hRule="atLeast"/>
          <w:tblHeader w:val="0"/>
        </w:trPr>
        <w:tc>
          <w:tcPr>
            <w:shd w:fill="auto" w:val="clear"/>
            <w:vAlign w:val="bottom"/>
          </w:tcPr>
          <w:p w:rsidR="00000000" w:rsidDel="00000000" w:rsidP="00000000" w:rsidRDefault="00000000" w:rsidRPr="00000000" w14:paraId="000002D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Granada </w:t>
            </w:r>
          </w:p>
        </w:tc>
        <w:tc>
          <w:tcPr>
            <w:shd w:fill="auto" w:val="clear"/>
            <w:vAlign w:val="bottom"/>
          </w:tcPr>
          <w:p w:rsidR="00000000" w:rsidDel="00000000" w:rsidP="00000000" w:rsidRDefault="00000000" w:rsidRPr="00000000" w14:paraId="000002D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180.751 € </w:t>
            </w:r>
          </w:p>
        </w:tc>
        <w:tc>
          <w:tcPr>
            <w:shd w:fill="auto" w:val="clear"/>
            <w:vAlign w:val="bottom"/>
          </w:tcPr>
          <w:p w:rsidR="00000000" w:rsidDel="00000000" w:rsidP="00000000" w:rsidRDefault="00000000" w:rsidRPr="00000000" w14:paraId="000002D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187.658 € </w:t>
            </w:r>
          </w:p>
        </w:tc>
        <w:tc>
          <w:tcPr>
            <w:shd w:fill="auto" w:val="clear"/>
            <w:vAlign w:val="bottom"/>
          </w:tcPr>
          <w:p w:rsidR="00000000" w:rsidDel="00000000" w:rsidP="00000000" w:rsidRDefault="00000000" w:rsidRPr="00000000" w14:paraId="000002D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130.469 € </w:t>
            </w:r>
          </w:p>
        </w:tc>
        <w:tc>
          <w:tcPr>
            <w:shd w:fill="auto" w:val="clear"/>
            <w:vAlign w:val="bottom"/>
          </w:tcPr>
          <w:p w:rsidR="00000000" w:rsidDel="00000000" w:rsidP="00000000" w:rsidRDefault="00000000" w:rsidRPr="00000000" w14:paraId="000002D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156.687 € </w:t>
            </w:r>
          </w:p>
        </w:tc>
        <w:tc>
          <w:tcPr>
            <w:shd w:fill="auto" w:val="clear"/>
            <w:vAlign w:val="bottom"/>
          </w:tcPr>
          <w:p w:rsidR="00000000" w:rsidDel="00000000" w:rsidP="00000000" w:rsidRDefault="00000000" w:rsidRPr="00000000" w14:paraId="000002D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192.632 € </w:t>
            </w:r>
          </w:p>
        </w:tc>
        <w:tc>
          <w:tcPr>
            <w:shd w:fill="auto" w:val="clear"/>
            <w:vAlign w:val="bottom"/>
          </w:tcPr>
          <w:p w:rsidR="00000000" w:rsidDel="00000000" w:rsidP="00000000" w:rsidRDefault="00000000" w:rsidRPr="00000000" w14:paraId="000002D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218.270 € </w:t>
            </w:r>
          </w:p>
        </w:tc>
      </w:tr>
      <w:tr>
        <w:trPr>
          <w:cantSplit w:val="0"/>
          <w:trHeight w:val="330" w:hRule="atLeast"/>
          <w:tblHeader w:val="0"/>
        </w:trPr>
        <w:tc>
          <w:tcPr>
            <w:shd w:fill="auto" w:val="clear"/>
            <w:vAlign w:val="bottom"/>
          </w:tcPr>
          <w:p w:rsidR="00000000" w:rsidDel="00000000" w:rsidP="00000000" w:rsidRDefault="00000000" w:rsidRPr="00000000" w14:paraId="000002D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Guadalajara </w:t>
            </w:r>
          </w:p>
        </w:tc>
        <w:tc>
          <w:tcPr>
            <w:shd w:fill="auto" w:val="clear"/>
            <w:vAlign w:val="bottom"/>
          </w:tcPr>
          <w:p w:rsidR="00000000" w:rsidDel="00000000" w:rsidP="00000000" w:rsidRDefault="00000000" w:rsidRPr="00000000" w14:paraId="000002D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195.885 € </w:t>
            </w:r>
          </w:p>
        </w:tc>
        <w:tc>
          <w:tcPr>
            <w:shd w:fill="auto" w:val="clear"/>
            <w:vAlign w:val="bottom"/>
          </w:tcPr>
          <w:p w:rsidR="00000000" w:rsidDel="00000000" w:rsidP="00000000" w:rsidRDefault="00000000" w:rsidRPr="00000000" w14:paraId="000002D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172.929 € </w:t>
            </w:r>
          </w:p>
        </w:tc>
        <w:tc>
          <w:tcPr>
            <w:shd w:fill="auto" w:val="clear"/>
            <w:vAlign w:val="bottom"/>
          </w:tcPr>
          <w:p w:rsidR="00000000" w:rsidDel="00000000" w:rsidP="00000000" w:rsidRDefault="00000000" w:rsidRPr="00000000" w14:paraId="000002D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106.450 € </w:t>
            </w:r>
          </w:p>
        </w:tc>
        <w:tc>
          <w:tcPr>
            <w:shd w:fill="auto" w:val="clear"/>
            <w:vAlign w:val="bottom"/>
          </w:tcPr>
          <w:p w:rsidR="00000000" w:rsidDel="00000000" w:rsidP="00000000" w:rsidRDefault="00000000" w:rsidRPr="00000000" w14:paraId="000002D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118.092 € </w:t>
            </w:r>
          </w:p>
        </w:tc>
        <w:tc>
          <w:tcPr>
            <w:shd w:fill="auto" w:val="clear"/>
            <w:vAlign w:val="bottom"/>
          </w:tcPr>
          <w:p w:rsidR="00000000" w:rsidDel="00000000" w:rsidP="00000000" w:rsidRDefault="00000000" w:rsidRPr="00000000" w14:paraId="000002E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145.975 € </w:t>
            </w:r>
          </w:p>
        </w:tc>
        <w:tc>
          <w:tcPr>
            <w:shd w:fill="auto" w:val="clear"/>
            <w:vAlign w:val="bottom"/>
          </w:tcPr>
          <w:p w:rsidR="00000000" w:rsidDel="00000000" w:rsidP="00000000" w:rsidRDefault="00000000" w:rsidRPr="00000000" w14:paraId="000002E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166.622 € </w:t>
            </w:r>
          </w:p>
        </w:tc>
      </w:tr>
      <w:tr>
        <w:trPr>
          <w:cantSplit w:val="0"/>
          <w:trHeight w:val="330" w:hRule="atLeast"/>
          <w:tblHeader w:val="0"/>
        </w:trPr>
        <w:tc>
          <w:tcPr>
            <w:shd w:fill="auto" w:val="clear"/>
            <w:vAlign w:val="bottom"/>
          </w:tcPr>
          <w:p w:rsidR="00000000" w:rsidDel="00000000" w:rsidP="00000000" w:rsidRDefault="00000000" w:rsidRPr="00000000" w14:paraId="000002E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Huelva </w:t>
            </w:r>
          </w:p>
        </w:tc>
        <w:tc>
          <w:tcPr>
            <w:shd w:fill="auto" w:val="clear"/>
            <w:vAlign w:val="bottom"/>
          </w:tcPr>
          <w:p w:rsidR="00000000" w:rsidDel="00000000" w:rsidP="00000000" w:rsidRDefault="00000000" w:rsidRPr="00000000" w14:paraId="000002E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145.153 € </w:t>
            </w:r>
          </w:p>
        </w:tc>
        <w:tc>
          <w:tcPr>
            <w:shd w:fill="auto" w:val="clear"/>
            <w:vAlign w:val="bottom"/>
          </w:tcPr>
          <w:p w:rsidR="00000000" w:rsidDel="00000000" w:rsidP="00000000" w:rsidRDefault="00000000" w:rsidRPr="00000000" w14:paraId="000002E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145.238 € </w:t>
            </w:r>
          </w:p>
        </w:tc>
        <w:tc>
          <w:tcPr>
            <w:shd w:fill="auto" w:val="clear"/>
            <w:vAlign w:val="bottom"/>
          </w:tcPr>
          <w:p w:rsidR="00000000" w:rsidDel="00000000" w:rsidP="00000000" w:rsidRDefault="00000000" w:rsidRPr="00000000" w14:paraId="000002E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99.009 € </w:t>
            </w:r>
          </w:p>
        </w:tc>
        <w:tc>
          <w:tcPr>
            <w:shd w:fill="auto" w:val="clear"/>
            <w:vAlign w:val="bottom"/>
          </w:tcPr>
          <w:p w:rsidR="00000000" w:rsidDel="00000000" w:rsidP="00000000" w:rsidRDefault="00000000" w:rsidRPr="00000000" w14:paraId="000002E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98.537 € </w:t>
            </w:r>
          </w:p>
        </w:tc>
        <w:tc>
          <w:tcPr>
            <w:shd w:fill="auto" w:val="clear"/>
            <w:vAlign w:val="bottom"/>
          </w:tcPr>
          <w:p w:rsidR="00000000" w:rsidDel="00000000" w:rsidP="00000000" w:rsidRDefault="00000000" w:rsidRPr="00000000" w14:paraId="000002E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114.333 € </w:t>
            </w:r>
          </w:p>
        </w:tc>
        <w:tc>
          <w:tcPr>
            <w:shd w:fill="auto" w:val="clear"/>
            <w:vAlign w:val="bottom"/>
          </w:tcPr>
          <w:p w:rsidR="00000000" w:rsidDel="00000000" w:rsidP="00000000" w:rsidRDefault="00000000" w:rsidRPr="00000000" w14:paraId="000002E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126.123 € </w:t>
            </w:r>
          </w:p>
        </w:tc>
      </w:tr>
      <w:tr>
        <w:trPr>
          <w:cantSplit w:val="0"/>
          <w:trHeight w:val="330" w:hRule="atLeast"/>
          <w:tblHeader w:val="0"/>
        </w:trPr>
        <w:tc>
          <w:tcPr>
            <w:shd w:fill="auto" w:val="clear"/>
            <w:vAlign w:val="bottom"/>
          </w:tcPr>
          <w:p w:rsidR="00000000" w:rsidDel="00000000" w:rsidP="00000000" w:rsidRDefault="00000000" w:rsidRPr="00000000" w14:paraId="000002E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Huesca </w:t>
            </w:r>
          </w:p>
        </w:tc>
        <w:tc>
          <w:tcPr>
            <w:shd w:fill="auto" w:val="clear"/>
            <w:vAlign w:val="bottom"/>
          </w:tcPr>
          <w:p w:rsidR="00000000" w:rsidDel="00000000" w:rsidP="00000000" w:rsidRDefault="00000000" w:rsidRPr="00000000" w14:paraId="000002E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E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172.005 € </w:t>
            </w:r>
          </w:p>
        </w:tc>
        <w:tc>
          <w:tcPr>
            <w:shd w:fill="auto" w:val="clear"/>
            <w:vAlign w:val="bottom"/>
          </w:tcPr>
          <w:p w:rsidR="00000000" w:rsidDel="00000000" w:rsidP="00000000" w:rsidRDefault="00000000" w:rsidRPr="00000000" w14:paraId="000002E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103.495 € </w:t>
            </w:r>
          </w:p>
        </w:tc>
        <w:tc>
          <w:tcPr>
            <w:shd w:fill="auto" w:val="clear"/>
            <w:vAlign w:val="bottom"/>
          </w:tcPr>
          <w:p w:rsidR="00000000" w:rsidDel="00000000" w:rsidP="00000000" w:rsidRDefault="00000000" w:rsidRPr="00000000" w14:paraId="000002E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122.746 € </w:t>
            </w:r>
          </w:p>
        </w:tc>
        <w:tc>
          <w:tcPr>
            <w:shd w:fill="auto" w:val="clear"/>
            <w:vAlign w:val="bottom"/>
          </w:tcPr>
          <w:p w:rsidR="00000000" w:rsidDel="00000000" w:rsidP="00000000" w:rsidRDefault="00000000" w:rsidRPr="00000000" w14:paraId="000002E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135.656 € </w:t>
            </w:r>
          </w:p>
        </w:tc>
        <w:tc>
          <w:tcPr>
            <w:shd w:fill="auto" w:val="clear"/>
            <w:vAlign w:val="bottom"/>
          </w:tcPr>
          <w:p w:rsidR="00000000" w:rsidDel="00000000" w:rsidP="00000000" w:rsidRDefault="00000000" w:rsidRPr="00000000" w14:paraId="000002E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126.249 € </w:t>
            </w:r>
          </w:p>
        </w:tc>
      </w:tr>
      <w:tr>
        <w:trPr>
          <w:cantSplit w:val="0"/>
          <w:trHeight w:val="330" w:hRule="atLeast"/>
          <w:tblHeader w:val="0"/>
        </w:trPr>
        <w:tc>
          <w:tcPr>
            <w:shd w:fill="auto" w:val="clear"/>
            <w:vAlign w:val="bottom"/>
          </w:tcPr>
          <w:p w:rsidR="00000000" w:rsidDel="00000000" w:rsidP="00000000" w:rsidRDefault="00000000" w:rsidRPr="00000000" w14:paraId="000002F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Jaén </w:t>
            </w:r>
          </w:p>
        </w:tc>
        <w:tc>
          <w:tcPr>
            <w:shd w:fill="auto" w:val="clear"/>
            <w:vAlign w:val="bottom"/>
          </w:tcPr>
          <w:p w:rsidR="00000000" w:rsidDel="00000000" w:rsidP="00000000" w:rsidRDefault="00000000" w:rsidRPr="00000000" w14:paraId="000002F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F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161.899 € </w:t>
            </w:r>
          </w:p>
        </w:tc>
        <w:tc>
          <w:tcPr>
            <w:shd w:fill="auto" w:val="clear"/>
            <w:vAlign w:val="bottom"/>
          </w:tcPr>
          <w:p w:rsidR="00000000" w:rsidDel="00000000" w:rsidP="00000000" w:rsidRDefault="00000000" w:rsidRPr="00000000" w14:paraId="000002F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111.837 € </w:t>
            </w:r>
          </w:p>
        </w:tc>
        <w:tc>
          <w:tcPr>
            <w:shd w:fill="auto" w:val="clear"/>
            <w:vAlign w:val="bottom"/>
          </w:tcPr>
          <w:p w:rsidR="00000000" w:rsidDel="00000000" w:rsidP="00000000" w:rsidRDefault="00000000" w:rsidRPr="00000000" w14:paraId="000002F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109.032 € </w:t>
            </w:r>
          </w:p>
        </w:tc>
        <w:tc>
          <w:tcPr>
            <w:shd w:fill="auto" w:val="clear"/>
            <w:vAlign w:val="bottom"/>
          </w:tcPr>
          <w:p w:rsidR="00000000" w:rsidDel="00000000" w:rsidP="00000000" w:rsidRDefault="00000000" w:rsidRPr="00000000" w14:paraId="000002F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108.603 € </w:t>
            </w:r>
          </w:p>
        </w:tc>
        <w:tc>
          <w:tcPr>
            <w:shd w:fill="auto" w:val="clear"/>
            <w:vAlign w:val="bottom"/>
          </w:tcPr>
          <w:p w:rsidR="00000000" w:rsidDel="00000000" w:rsidP="00000000" w:rsidRDefault="00000000" w:rsidRPr="00000000" w14:paraId="000002F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115.759 € </w:t>
            </w:r>
          </w:p>
        </w:tc>
      </w:tr>
      <w:tr>
        <w:trPr>
          <w:cantSplit w:val="0"/>
          <w:trHeight w:val="330" w:hRule="atLeast"/>
          <w:tblHeader w:val="0"/>
        </w:trPr>
        <w:tc>
          <w:tcPr>
            <w:shd w:fill="auto" w:val="clear"/>
            <w:vAlign w:val="bottom"/>
          </w:tcPr>
          <w:p w:rsidR="00000000" w:rsidDel="00000000" w:rsidP="00000000" w:rsidRDefault="00000000" w:rsidRPr="00000000" w14:paraId="000002F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Las Palmas de Gran Canaria</w:t>
            </w:r>
          </w:p>
        </w:tc>
        <w:tc>
          <w:tcPr>
            <w:shd w:fill="auto" w:val="clear"/>
            <w:vAlign w:val="bottom"/>
          </w:tcPr>
          <w:p w:rsidR="00000000" w:rsidDel="00000000" w:rsidP="00000000" w:rsidRDefault="00000000" w:rsidRPr="00000000" w14:paraId="000002F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2F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162.446 € </w:t>
            </w:r>
          </w:p>
        </w:tc>
        <w:tc>
          <w:tcPr>
            <w:shd w:fill="auto" w:val="clear"/>
            <w:vAlign w:val="bottom"/>
          </w:tcPr>
          <w:p w:rsidR="00000000" w:rsidDel="00000000" w:rsidP="00000000" w:rsidRDefault="00000000" w:rsidRPr="00000000" w14:paraId="000002F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125.756 € </w:t>
            </w:r>
          </w:p>
        </w:tc>
        <w:tc>
          <w:tcPr>
            <w:shd w:fill="auto" w:val="clear"/>
            <w:vAlign w:val="bottom"/>
          </w:tcPr>
          <w:p w:rsidR="00000000" w:rsidDel="00000000" w:rsidP="00000000" w:rsidRDefault="00000000" w:rsidRPr="00000000" w14:paraId="000002F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164.090 € </w:t>
            </w:r>
          </w:p>
        </w:tc>
        <w:tc>
          <w:tcPr>
            <w:shd w:fill="auto" w:val="clear"/>
            <w:vAlign w:val="bottom"/>
          </w:tcPr>
          <w:p w:rsidR="00000000" w:rsidDel="00000000" w:rsidP="00000000" w:rsidRDefault="00000000" w:rsidRPr="00000000" w14:paraId="000002F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200.026 € </w:t>
            </w:r>
          </w:p>
        </w:tc>
        <w:tc>
          <w:tcPr>
            <w:shd w:fill="auto" w:val="clear"/>
            <w:vAlign w:val="bottom"/>
          </w:tcPr>
          <w:p w:rsidR="00000000" w:rsidDel="00000000" w:rsidP="00000000" w:rsidRDefault="00000000" w:rsidRPr="00000000" w14:paraId="000002F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218.302 € </w:t>
            </w:r>
          </w:p>
        </w:tc>
      </w:tr>
      <w:tr>
        <w:trPr>
          <w:cantSplit w:val="0"/>
          <w:trHeight w:val="330" w:hRule="atLeast"/>
          <w:tblHeader w:val="0"/>
        </w:trPr>
        <w:tc>
          <w:tcPr>
            <w:shd w:fill="auto" w:val="clear"/>
            <w:vAlign w:val="bottom"/>
          </w:tcPr>
          <w:p w:rsidR="00000000" w:rsidDel="00000000" w:rsidP="00000000" w:rsidRDefault="00000000" w:rsidRPr="00000000" w14:paraId="000002F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León </w:t>
            </w:r>
          </w:p>
        </w:tc>
        <w:tc>
          <w:tcPr>
            <w:shd w:fill="auto" w:val="clear"/>
            <w:vAlign w:val="bottom"/>
          </w:tcPr>
          <w:p w:rsidR="00000000" w:rsidDel="00000000" w:rsidP="00000000" w:rsidRDefault="00000000" w:rsidRPr="00000000" w14:paraId="000002F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0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162.128 € </w:t>
            </w:r>
          </w:p>
        </w:tc>
        <w:tc>
          <w:tcPr>
            <w:shd w:fill="auto" w:val="clear"/>
            <w:vAlign w:val="bottom"/>
          </w:tcPr>
          <w:p w:rsidR="00000000" w:rsidDel="00000000" w:rsidP="00000000" w:rsidRDefault="00000000" w:rsidRPr="00000000" w14:paraId="0000030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114.062 € </w:t>
            </w:r>
          </w:p>
        </w:tc>
        <w:tc>
          <w:tcPr>
            <w:shd w:fill="auto" w:val="clear"/>
            <w:vAlign w:val="bottom"/>
          </w:tcPr>
          <w:p w:rsidR="00000000" w:rsidDel="00000000" w:rsidP="00000000" w:rsidRDefault="00000000" w:rsidRPr="00000000" w14:paraId="0000030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119.393 € </w:t>
            </w:r>
          </w:p>
        </w:tc>
        <w:tc>
          <w:tcPr>
            <w:shd w:fill="auto" w:val="clear"/>
            <w:vAlign w:val="bottom"/>
          </w:tcPr>
          <w:p w:rsidR="00000000" w:rsidDel="00000000" w:rsidP="00000000" w:rsidRDefault="00000000" w:rsidRPr="00000000" w14:paraId="0000030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126.818 € </w:t>
            </w:r>
          </w:p>
        </w:tc>
        <w:tc>
          <w:tcPr>
            <w:shd w:fill="auto" w:val="clear"/>
            <w:vAlign w:val="bottom"/>
          </w:tcPr>
          <w:p w:rsidR="00000000" w:rsidDel="00000000" w:rsidP="00000000" w:rsidRDefault="00000000" w:rsidRPr="00000000" w14:paraId="0000030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148.868 € </w:t>
            </w:r>
          </w:p>
        </w:tc>
      </w:tr>
      <w:tr>
        <w:trPr>
          <w:cantSplit w:val="0"/>
          <w:trHeight w:val="330" w:hRule="atLeast"/>
          <w:tblHeader w:val="0"/>
        </w:trPr>
        <w:tc>
          <w:tcPr>
            <w:shd w:fill="auto" w:val="clear"/>
            <w:vAlign w:val="bottom"/>
          </w:tcPr>
          <w:p w:rsidR="00000000" w:rsidDel="00000000" w:rsidP="00000000" w:rsidRDefault="00000000" w:rsidRPr="00000000" w14:paraId="0000030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Lleida </w:t>
            </w:r>
          </w:p>
        </w:tc>
        <w:tc>
          <w:tcPr>
            <w:shd w:fill="auto" w:val="clear"/>
            <w:vAlign w:val="bottom"/>
          </w:tcPr>
          <w:p w:rsidR="00000000" w:rsidDel="00000000" w:rsidP="00000000" w:rsidRDefault="00000000" w:rsidRPr="00000000" w14:paraId="0000030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136.112 € </w:t>
            </w:r>
          </w:p>
        </w:tc>
        <w:tc>
          <w:tcPr>
            <w:shd w:fill="auto" w:val="clear"/>
            <w:vAlign w:val="bottom"/>
          </w:tcPr>
          <w:p w:rsidR="00000000" w:rsidDel="00000000" w:rsidP="00000000" w:rsidRDefault="00000000" w:rsidRPr="00000000" w14:paraId="0000030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148.725 € </w:t>
            </w:r>
          </w:p>
        </w:tc>
        <w:tc>
          <w:tcPr>
            <w:shd w:fill="auto" w:val="clear"/>
            <w:vAlign w:val="bottom"/>
          </w:tcPr>
          <w:p w:rsidR="00000000" w:rsidDel="00000000" w:rsidP="00000000" w:rsidRDefault="00000000" w:rsidRPr="00000000" w14:paraId="0000030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90.386 € </w:t>
            </w:r>
          </w:p>
        </w:tc>
        <w:tc>
          <w:tcPr>
            <w:shd w:fill="auto" w:val="clear"/>
            <w:vAlign w:val="bottom"/>
          </w:tcPr>
          <w:p w:rsidR="00000000" w:rsidDel="00000000" w:rsidP="00000000" w:rsidRDefault="00000000" w:rsidRPr="00000000" w14:paraId="0000030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99.046 € </w:t>
            </w:r>
          </w:p>
        </w:tc>
        <w:tc>
          <w:tcPr>
            <w:shd w:fill="auto" w:val="clear"/>
            <w:vAlign w:val="bottom"/>
          </w:tcPr>
          <w:p w:rsidR="00000000" w:rsidDel="00000000" w:rsidP="00000000" w:rsidRDefault="00000000" w:rsidRPr="00000000" w14:paraId="0000030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114.808 € </w:t>
            </w:r>
          </w:p>
        </w:tc>
        <w:tc>
          <w:tcPr>
            <w:shd w:fill="auto" w:val="clear"/>
            <w:vAlign w:val="bottom"/>
          </w:tcPr>
          <w:p w:rsidR="00000000" w:rsidDel="00000000" w:rsidP="00000000" w:rsidRDefault="00000000" w:rsidRPr="00000000" w14:paraId="0000030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126.907 € </w:t>
            </w:r>
          </w:p>
        </w:tc>
      </w:tr>
      <w:tr>
        <w:trPr>
          <w:cantSplit w:val="0"/>
          <w:trHeight w:val="330" w:hRule="atLeast"/>
          <w:tblHeader w:val="0"/>
        </w:trPr>
        <w:tc>
          <w:tcPr>
            <w:shd w:fill="auto" w:val="clear"/>
            <w:vAlign w:val="bottom"/>
          </w:tcPr>
          <w:p w:rsidR="00000000" w:rsidDel="00000000" w:rsidP="00000000" w:rsidRDefault="00000000" w:rsidRPr="00000000" w14:paraId="0000030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Logroño</w:t>
            </w:r>
          </w:p>
        </w:tc>
        <w:tc>
          <w:tcPr>
            <w:shd w:fill="auto" w:val="clear"/>
            <w:vAlign w:val="bottom"/>
          </w:tcPr>
          <w:p w:rsidR="00000000" w:rsidDel="00000000" w:rsidP="00000000" w:rsidRDefault="00000000" w:rsidRPr="00000000" w14:paraId="0000030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0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186.766 € </w:t>
            </w:r>
          </w:p>
        </w:tc>
        <w:tc>
          <w:tcPr>
            <w:shd w:fill="auto" w:val="clear"/>
            <w:vAlign w:val="bottom"/>
          </w:tcPr>
          <w:p w:rsidR="00000000" w:rsidDel="00000000" w:rsidP="00000000" w:rsidRDefault="00000000" w:rsidRPr="00000000" w14:paraId="0000030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118.389 € </w:t>
            </w:r>
          </w:p>
        </w:tc>
        <w:tc>
          <w:tcPr>
            <w:shd w:fill="auto" w:val="clear"/>
            <w:vAlign w:val="bottom"/>
          </w:tcPr>
          <w:p w:rsidR="00000000" w:rsidDel="00000000" w:rsidP="00000000" w:rsidRDefault="00000000" w:rsidRPr="00000000" w14:paraId="0000031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135.638 € </w:t>
            </w:r>
          </w:p>
        </w:tc>
        <w:tc>
          <w:tcPr>
            <w:shd w:fill="auto" w:val="clear"/>
            <w:vAlign w:val="bottom"/>
          </w:tcPr>
          <w:p w:rsidR="00000000" w:rsidDel="00000000" w:rsidP="00000000" w:rsidRDefault="00000000" w:rsidRPr="00000000" w14:paraId="0000031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157.057 € </w:t>
            </w:r>
          </w:p>
        </w:tc>
        <w:tc>
          <w:tcPr>
            <w:shd w:fill="auto" w:val="clear"/>
            <w:vAlign w:val="bottom"/>
          </w:tcPr>
          <w:p w:rsidR="00000000" w:rsidDel="00000000" w:rsidP="00000000" w:rsidRDefault="00000000" w:rsidRPr="00000000" w14:paraId="0000031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166.372 € </w:t>
            </w:r>
          </w:p>
        </w:tc>
      </w:tr>
      <w:tr>
        <w:trPr>
          <w:cantSplit w:val="0"/>
          <w:trHeight w:val="330" w:hRule="atLeast"/>
          <w:tblHeader w:val="0"/>
        </w:trPr>
        <w:tc>
          <w:tcPr>
            <w:shd w:fill="auto" w:val="clear"/>
            <w:vAlign w:val="bottom"/>
          </w:tcPr>
          <w:p w:rsidR="00000000" w:rsidDel="00000000" w:rsidP="00000000" w:rsidRDefault="00000000" w:rsidRPr="00000000" w14:paraId="0000031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Lugo </w:t>
            </w:r>
          </w:p>
        </w:tc>
        <w:tc>
          <w:tcPr>
            <w:shd w:fill="auto" w:val="clear"/>
            <w:vAlign w:val="bottom"/>
          </w:tcPr>
          <w:p w:rsidR="00000000" w:rsidDel="00000000" w:rsidP="00000000" w:rsidRDefault="00000000" w:rsidRPr="00000000" w14:paraId="0000031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1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 </w:t>
            </w:r>
          </w:p>
        </w:tc>
        <w:tc>
          <w:tcPr>
            <w:shd w:fill="auto" w:val="clear"/>
            <w:vAlign w:val="bottom"/>
          </w:tcPr>
          <w:p w:rsidR="00000000" w:rsidDel="00000000" w:rsidP="00000000" w:rsidRDefault="00000000" w:rsidRPr="00000000" w14:paraId="0000031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102.394 € </w:t>
            </w:r>
          </w:p>
        </w:tc>
        <w:tc>
          <w:tcPr>
            <w:shd w:fill="auto" w:val="clear"/>
            <w:vAlign w:val="bottom"/>
          </w:tcPr>
          <w:p w:rsidR="00000000" w:rsidDel="00000000" w:rsidP="00000000" w:rsidRDefault="00000000" w:rsidRPr="00000000" w14:paraId="0000031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105.138 € </w:t>
            </w:r>
          </w:p>
        </w:tc>
        <w:tc>
          <w:tcPr>
            <w:shd w:fill="auto" w:val="clear"/>
            <w:vAlign w:val="bottom"/>
          </w:tcPr>
          <w:p w:rsidR="00000000" w:rsidDel="00000000" w:rsidP="00000000" w:rsidRDefault="00000000" w:rsidRPr="00000000" w14:paraId="0000031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110.083 € </w:t>
            </w:r>
          </w:p>
        </w:tc>
        <w:tc>
          <w:tcPr>
            <w:shd w:fill="auto" w:val="clear"/>
            <w:vAlign w:val="bottom"/>
          </w:tcPr>
          <w:p w:rsidR="00000000" w:rsidDel="00000000" w:rsidP="00000000" w:rsidRDefault="00000000" w:rsidRPr="00000000" w14:paraId="0000031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130.218 € </w:t>
            </w:r>
          </w:p>
        </w:tc>
      </w:tr>
      <w:tr>
        <w:trPr>
          <w:cantSplit w:val="0"/>
          <w:trHeight w:val="330" w:hRule="atLeast"/>
          <w:tblHeader w:val="0"/>
        </w:trPr>
        <w:tc>
          <w:tcPr>
            <w:shd w:fill="auto" w:val="clear"/>
            <w:vAlign w:val="bottom"/>
          </w:tcPr>
          <w:p w:rsidR="00000000" w:rsidDel="00000000" w:rsidP="00000000" w:rsidRDefault="00000000" w:rsidRPr="00000000" w14:paraId="0000031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Madrid </w:t>
            </w:r>
          </w:p>
        </w:tc>
        <w:tc>
          <w:tcPr>
            <w:shd w:fill="auto" w:val="clear"/>
            <w:vAlign w:val="bottom"/>
          </w:tcPr>
          <w:p w:rsidR="00000000" w:rsidDel="00000000" w:rsidP="00000000" w:rsidRDefault="00000000" w:rsidRPr="00000000" w14:paraId="0000031B">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319.504 € </w:t>
            </w:r>
          </w:p>
        </w:tc>
        <w:tc>
          <w:tcPr>
            <w:shd w:fill="auto" w:val="clear"/>
            <w:vAlign w:val="bottom"/>
          </w:tcPr>
          <w:p w:rsidR="00000000" w:rsidDel="00000000" w:rsidP="00000000" w:rsidRDefault="00000000" w:rsidRPr="00000000" w14:paraId="0000031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292.495 € </w:t>
            </w:r>
          </w:p>
        </w:tc>
        <w:tc>
          <w:tcPr>
            <w:shd w:fill="auto" w:val="clear"/>
            <w:vAlign w:val="bottom"/>
          </w:tcPr>
          <w:p w:rsidR="00000000" w:rsidDel="00000000" w:rsidP="00000000" w:rsidRDefault="00000000" w:rsidRPr="00000000" w14:paraId="0000031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214.076 € </w:t>
            </w:r>
          </w:p>
        </w:tc>
        <w:tc>
          <w:tcPr>
            <w:shd w:fill="auto" w:val="clear"/>
            <w:vAlign w:val="bottom"/>
          </w:tcPr>
          <w:p w:rsidR="00000000" w:rsidDel="00000000" w:rsidP="00000000" w:rsidRDefault="00000000" w:rsidRPr="00000000" w14:paraId="0000031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317.136 € </w:t>
            </w:r>
          </w:p>
        </w:tc>
        <w:tc>
          <w:tcPr>
            <w:shd w:fill="auto" w:val="clear"/>
            <w:vAlign w:val="bottom"/>
          </w:tcPr>
          <w:p w:rsidR="00000000" w:rsidDel="00000000" w:rsidP="00000000" w:rsidRDefault="00000000" w:rsidRPr="00000000" w14:paraId="0000031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411.680 € </w:t>
            </w:r>
          </w:p>
        </w:tc>
        <w:tc>
          <w:tcPr>
            <w:shd w:fill="auto" w:val="clear"/>
            <w:vAlign w:val="bottom"/>
          </w:tcPr>
          <w:p w:rsidR="00000000" w:rsidDel="00000000" w:rsidP="00000000" w:rsidRDefault="00000000" w:rsidRPr="00000000" w14:paraId="0000032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468.255 € </w:t>
            </w:r>
          </w:p>
        </w:tc>
      </w:tr>
      <w:tr>
        <w:trPr>
          <w:cantSplit w:val="0"/>
          <w:trHeight w:val="330" w:hRule="atLeast"/>
          <w:tblHeader w:val="0"/>
        </w:trPr>
        <w:tc>
          <w:tcPr>
            <w:shd w:fill="auto" w:val="clear"/>
            <w:vAlign w:val="bottom"/>
          </w:tcPr>
          <w:p w:rsidR="00000000" w:rsidDel="00000000" w:rsidP="00000000" w:rsidRDefault="00000000" w:rsidRPr="00000000" w14:paraId="0000032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Málaga </w:t>
            </w:r>
          </w:p>
        </w:tc>
        <w:tc>
          <w:tcPr>
            <w:shd w:fill="auto" w:val="clear"/>
            <w:vAlign w:val="bottom"/>
          </w:tcPr>
          <w:p w:rsidR="00000000" w:rsidDel="00000000" w:rsidP="00000000" w:rsidRDefault="00000000" w:rsidRPr="00000000" w14:paraId="0000032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181.400 € </w:t>
            </w:r>
          </w:p>
        </w:tc>
        <w:tc>
          <w:tcPr>
            <w:shd w:fill="auto" w:val="clear"/>
            <w:vAlign w:val="bottom"/>
          </w:tcPr>
          <w:p w:rsidR="00000000" w:rsidDel="00000000" w:rsidP="00000000" w:rsidRDefault="00000000" w:rsidRPr="00000000" w14:paraId="0000032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180.247 € </w:t>
            </w:r>
          </w:p>
        </w:tc>
        <w:tc>
          <w:tcPr>
            <w:shd w:fill="auto" w:val="clear"/>
            <w:vAlign w:val="bottom"/>
          </w:tcPr>
          <w:p w:rsidR="00000000" w:rsidDel="00000000" w:rsidP="00000000" w:rsidRDefault="00000000" w:rsidRPr="00000000" w14:paraId="0000032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124.606 € </w:t>
            </w:r>
          </w:p>
        </w:tc>
        <w:tc>
          <w:tcPr>
            <w:shd w:fill="auto" w:val="clear"/>
            <w:vAlign w:val="bottom"/>
          </w:tcPr>
          <w:p w:rsidR="00000000" w:rsidDel="00000000" w:rsidP="00000000" w:rsidRDefault="00000000" w:rsidRPr="00000000" w14:paraId="0000032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189.869 € </w:t>
            </w:r>
          </w:p>
        </w:tc>
        <w:tc>
          <w:tcPr>
            <w:shd w:fill="auto" w:val="clear"/>
            <w:vAlign w:val="bottom"/>
          </w:tcPr>
          <w:p w:rsidR="00000000" w:rsidDel="00000000" w:rsidP="00000000" w:rsidRDefault="00000000" w:rsidRPr="00000000" w14:paraId="0000032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294.636 € </w:t>
            </w:r>
          </w:p>
        </w:tc>
        <w:tc>
          <w:tcPr>
            <w:shd w:fill="auto" w:val="clear"/>
            <w:vAlign w:val="bottom"/>
          </w:tcPr>
          <w:p w:rsidR="00000000" w:rsidDel="00000000" w:rsidP="00000000" w:rsidRDefault="00000000" w:rsidRPr="00000000" w14:paraId="0000032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315.302 € </w:t>
            </w:r>
          </w:p>
        </w:tc>
      </w:tr>
      <w:tr>
        <w:trPr>
          <w:cantSplit w:val="0"/>
          <w:trHeight w:val="330" w:hRule="atLeast"/>
          <w:tblHeader w:val="0"/>
        </w:trPr>
        <w:tc>
          <w:tcPr>
            <w:shd w:fill="auto" w:val="clear"/>
            <w:vAlign w:val="bottom"/>
          </w:tcPr>
          <w:p w:rsidR="00000000" w:rsidDel="00000000" w:rsidP="00000000" w:rsidRDefault="00000000" w:rsidRPr="00000000" w14:paraId="0000032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Murcia </w:t>
            </w:r>
          </w:p>
        </w:tc>
        <w:tc>
          <w:tcPr>
            <w:shd w:fill="auto" w:val="clear"/>
            <w:vAlign w:val="bottom"/>
          </w:tcPr>
          <w:p w:rsidR="00000000" w:rsidDel="00000000" w:rsidP="00000000" w:rsidRDefault="00000000" w:rsidRPr="00000000" w14:paraId="0000032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168.086 € </w:t>
            </w:r>
          </w:p>
        </w:tc>
        <w:tc>
          <w:tcPr>
            <w:shd w:fill="auto" w:val="clear"/>
            <w:vAlign w:val="bottom"/>
          </w:tcPr>
          <w:p w:rsidR="00000000" w:rsidDel="00000000" w:rsidP="00000000" w:rsidRDefault="00000000" w:rsidRPr="00000000" w14:paraId="0000032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150.997 € </w:t>
            </w:r>
          </w:p>
        </w:tc>
        <w:tc>
          <w:tcPr>
            <w:shd w:fill="auto" w:val="clear"/>
            <w:vAlign w:val="bottom"/>
          </w:tcPr>
          <w:p w:rsidR="00000000" w:rsidDel="00000000" w:rsidP="00000000" w:rsidRDefault="00000000" w:rsidRPr="00000000" w14:paraId="0000032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104.387 € </w:t>
            </w:r>
          </w:p>
        </w:tc>
        <w:tc>
          <w:tcPr>
            <w:shd w:fill="auto" w:val="clear"/>
            <w:vAlign w:val="bottom"/>
          </w:tcPr>
          <w:p w:rsidR="00000000" w:rsidDel="00000000" w:rsidP="00000000" w:rsidRDefault="00000000" w:rsidRPr="00000000" w14:paraId="0000032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111.537 € </w:t>
            </w:r>
          </w:p>
        </w:tc>
        <w:tc>
          <w:tcPr>
            <w:shd w:fill="auto" w:val="clear"/>
            <w:vAlign w:val="bottom"/>
          </w:tcPr>
          <w:p w:rsidR="00000000" w:rsidDel="00000000" w:rsidP="00000000" w:rsidRDefault="00000000" w:rsidRPr="00000000" w14:paraId="0000032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130.045 € </w:t>
            </w:r>
          </w:p>
        </w:tc>
        <w:tc>
          <w:tcPr>
            <w:shd w:fill="auto" w:val="clear"/>
            <w:vAlign w:val="bottom"/>
          </w:tcPr>
          <w:p w:rsidR="00000000" w:rsidDel="00000000" w:rsidP="00000000" w:rsidRDefault="00000000" w:rsidRPr="00000000" w14:paraId="0000032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140.838 € </w:t>
            </w:r>
          </w:p>
        </w:tc>
      </w:tr>
      <w:tr>
        <w:trPr>
          <w:cantSplit w:val="0"/>
          <w:trHeight w:val="330" w:hRule="atLeast"/>
          <w:tblHeader w:val="0"/>
        </w:trPr>
        <w:tc>
          <w:tcPr>
            <w:shd w:fill="auto" w:val="clear"/>
            <w:vAlign w:val="bottom"/>
          </w:tcPr>
          <w:p w:rsidR="00000000" w:rsidDel="00000000" w:rsidP="00000000" w:rsidRDefault="00000000" w:rsidRPr="00000000" w14:paraId="0000032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Ourense </w:t>
            </w:r>
          </w:p>
        </w:tc>
        <w:tc>
          <w:tcPr>
            <w:shd w:fill="auto" w:val="clear"/>
            <w:vAlign w:val="bottom"/>
          </w:tcPr>
          <w:p w:rsidR="00000000" w:rsidDel="00000000" w:rsidP="00000000" w:rsidRDefault="00000000" w:rsidRPr="00000000" w14:paraId="0000033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3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159.332 € </w:t>
            </w:r>
          </w:p>
        </w:tc>
        <w:tc>
          <w:tcPr>
            <w:shd w:fill="auto" w:val="clear"/>
            <w:vAlign w:val="bottom"/>
          </w:tcPr>
          <w:p w:rsidR="00000000" w:rsidDel="00000000" w:rsidP="00000000" w:rsidRDefault="00000000" w:rsidRPr="00000000" w14:paraId="0000033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122.236 € </w:t>
            </w:r>
          </w:p>
        </w:tc>
        <w:tc>
          <w:tcPr>
            <w:shd w:fill="auto" w:val="clear"/>
            <w:vAlign w:val="bottom"/>
          </w:tcPr>
          <w:p w:rsidR="00000000" w:rsidDel="00000000" w:rsidP="00000000" w:rsidRDefault="00000000" w:rsidRPr="00000000" w14:paraId="0000033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119.883 € </w:t>
            </w:r>
          </w:p>
        </w:tc>
        <w:tc>
          <w:tcPr>
            <w:shd w:fill="auto" w:val="clear"/>
            <w:vAlign w:val="bottom"/>
          </w:tcPr>
          <w:p w:rsidR="00000000" w:rsidDel="00000000" w:rsidP="00000000" w:rsidRDefault="00000000" w:rsidRPr="00000000" w14:paraId="0000033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126.488 € </w:t>
            </w:r>
          </w:p>
        </w:tc>
        <w:tc>
          <w:tcPr>
            <w:shd w:fill="auto" w:val="clear"/>
            <w:vAlign w:val="bottom"/>
          </w:tcPr>
          <w:p w:rsidR="00000000" w:rsidDel="00000000" w:rsidP="00000000" w:rsidRDefault="00000000" w:rsidRPr="00000000" w14:paraId="0000033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137.737 € </w:t>
            </w:r>
          </w:p>
        </w:tc>
      </w:tr>
      <w:tr>
        <w:trPr>
          <w:cantSplit w:val="0"/>
          <w:trHeight w:val="330" w:hRule="atLeast"/>
          <w:tblHeader w:val="0"/>
        </w:trPr>
        <w:tc>
          <w:tcPr>
            <w:shd w:fill="auto" w:val="clear"/>
            <w:vAlign w:val="bottom"/>
          </w:tcPr>
          <w:p w:rsidR="00000000" w:rsidDel="00000000" w:rsidP="00000000" w:rsidRDefault="00000000" w:rsidRPr="00000000" w14:paraId="0000033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Oviedo</w:t>
            </w:r>
          </w:p>
        </w:tc>
        <w:tc>
          <w:tcPr>
            <w:shd w:fill="auto" w:val="clear"/>
            <w:vAlign w:val="bottom"/>
          </w:tcPr>
          <w:p w:rsidR="00000000" w:rsidDel="00000000" w:rsidP="00000000" w:rsidRDefault="00000000" w:rsidRPr="00000000" w14:paraId="0000033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169.074 € </w:t>
            </w:r>
          </w:p>
        </w:tc>
        <w:tc>
          <w:tcPr>
            <w:shd w:fill="auto" w:val="clear"/>
            <w:vAlign w:val="bottom"/>
          </w:tcPr>
          <w:p w:rsidR="00000000" w:rsidDel="00000000" w:rsidP="00000000" w:rsidRDefault="00000000" w:rsidRPr="00000000" w14:paraId="0000033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190.956 € </w:t>
            </w:r>
          </w:p>
        </w:tc>
        <w:tc>
          <w:tcPr>
            <w:shd w:fill="auto" w:val="clear"/>
            <w:vAlign w:val="bottom"/>
          </w:tcPr>
          <w:p w:rsidR="00000000" w:rsidDel="00000000" w:rsidP="00000000" w:rsidRDefault="00000000" w:rsidRPr="00000000" w14:paraId="0000033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134.381 € </w:t>
            </w:r>
          </w:p>
        </w:tc>
        <w:tc>
          <w:tcPr>
            <w:shd w:fill="auto" w:val="clear"/>
            <w:vAlign w:val="bottom"/>
          </w:tcPr>
          <w:p w:rsidR="00000000" w:rsidDel="00000000" w:rsidP="00000000" w:rsidRDefault="00000000" w:rsidRPr="00000000" w14:paraId="0000033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133.042 € </w:t>
            </w:r>
          </w:p>
        </w:tc>
        <w:tc>
          <w:tcPr>
            <w:shd w:fill="auto" w:val="clear"/>
            <w:vAlign w:val="bottom"/>
          </w:tcPr>
          <w:p w:rsidR="00000000" w:rsidDel="00000000" w:rsidP="00000000" w:rsidRDefault="00000000" w:rsidRPr="00000000" w14:paraId="0000033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152.491 € </w:t>
            </w:r>
          </w:p>
        </w:tc>
        <w:tc>
          <w:tcPr>
            <w:shd w:fill="auto" w:val="clear"/>
            <w:vAlign w:val="bottom"/>
          </w:tcPr>
          <w:p w:rsidR="00000000" w:rsidDel="00000000" w:rsidP="00000000" w:rsidRDefault="00000000" w:rsidRPr="00000000" w14:paraId="0000033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180.618 € </w:t>
            </w:r>
          </w:p>
        </w:tc>
      </w:tr>
      <w:tr>
        <w:trPr>
          <w:cantSplit w:val="0"/>
          <w:trHeight w:val="330" w:hRule="atLeast"/>
          <w:tblHeader w:val="0"/>
        </w:trPr>
        <w:tc>
          <w:tcPr>
            <w:shd w:fill="auto" w:val="clear"/>
            <w:vAlign w:val="bottom"/>
          </w:tcPr>
          <w:p w:rsidR="00000000" w:rsidDel="00000000" w:rsidP="00000000" w:rsidRDefault="00000000" w:rsidRPr="00000000" w14:paraId="0000033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Palencia </w:t>
            </w:r>
          </w:p>
        </w:tc>
        <w:tc>
          <w:tcPr>
            <w:shd w:fill="auto" w:val="clear"/>
            <w:vAlign w:val="bottom"/>
          </w:tcPr>
          <w:p w:rsidR="00000000" w:rsidDel="00000000" w:rsidP="00000000" w:rsidRDefault="00000000" w:rsidRPr="00000000" w14:paraId="0000033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3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163.830 € </w:t>
            </w:r>
          </w:p>
        </w:tc>
        <w:tc>
          <w:tcPr>
            <w:shd w:fill="auto" w:val="clear"/>
            <w:vAlign w:val="bottom"/>
          </w:tcPr>
          <w:p w:rsidR="00000000" w:rsidDel="00000000" w:rsidP="00000000" w:rsidRDefault="00000000" w:rsidRPr="00000000" w14:paraId="0000034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123.158 € </w:t>
            </w:r>
          </w:p>
        </w:tc>
        <w:tc>
          <w:tcPr>
            <w:shd w:fill="auto" w:val="clear"/>
            <w:vAlign w:val="bottom"/>
          </w:tcPr>
          <w:p w:rsidR="00000000" w:rsidDel="00000000" w:rsidP="00000000" w:rsidRDefault="00000000" w:rsidRPr="00000000" w14:paraId="0000034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118.856 € </w:t>
            </w:r>
          </w:p>
        </w:tc>
        <w:tc>
          <w:tcPr>
            <w:shd w:fill="auto" w:val="clear"/>
            <w:vAlign w:val="bottom"/>
          </w:tcPr>
          <w:p w:rsidR="00000000" w:rsidDel="00000000" w:rsidP="00000000" w:rsidRDefault="00000000" w:rsidRPr="00000000" w14:paraId="0000034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118.423 € </w:t>
            </w:r>
          </w:p>
        </w:tc>
        <w:tc>
          <w:tcPr>
            <w:shd w:fill="auto" w:val="clear"/>
            <w:vAlign w:val="bottom"/>
          </w:tcPr>
          <w:p w:rsidR="00000000" w:rsidDel="00000000" w:rsidP="00000000" w:rsidRDefault="00000000" w:rsidRPr="00000000" w14:paraId="0000034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132.168 € </w:t>
            </w:r>
          </w:p>
        </w:tc>
      </w:tr>
      <w:tr>
        <w:trPr>
          <w:cantSplit w:val="0"/>
          <w:trHeight w:val="330" w:hRule="atLeast"/>
          <w:tblHeader w:val="0"/>
        </w:trPr>
        <w:tc>
          <w:tcPr>
            <w:shd w:fill="auto" w:val="clear"/>
            <w:vAlign w:val="bottom"/>
          </w:tcPr>
          <w:p w:rsidR="00000000" w:rsidDel="00000000" w:rsidP="00000000" w:rsidRDefault="00000000" w:rsidRPr="00000000" w14:paraId="0000034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Palma de Mallorca</w:t>
            </w:r>
          </w:p>
        </w:tc>
        <w:tc>
          <w:tcPr>
            <w:shd w:fill="auto" w:val="clear"/>
            <w:vAlign w:val="bottom"/>
          </w:tcPr>
          <w:p w:rsidR="00000000" w:rsidDel="00000000" w:rsidP="00000000" w:rsidRDefault="00000000" w:rsidRPr="00000000" w14:paraId="0000034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168.151 € </w:t>
            </w:r>
          </w:p>
        </w:tc>
        <w:tc>
          <w:tcPr>
            <w:shd w:fill="auto" w:val="clear"/>
            <w:vAlign w:val="bottom"/>
          </w:tcPr>
          <w:p w:rsidR="00000000" w:rsidDel="00000000" w:rsidP="00000000" w:rsidRDefault="00000000" w:rsidRPr="00000000" w14:paraId="0000034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184.090 € </w:t>
            </w:r>
          </w:p>
        </w:tc>
        <w:tc>
          <w:tcPr>
            <w:shd w:fill="auto" w:val="clear"/>
            <w:vAlign w:val="bottom"/>
          </w:tcPr>
          <w:p w:rsidR="00000000" w:rsidDel="00000000" w:rsidP="00000000" w:rsidRDefault="00000000" w:rsidRPr="00000000" w14:paraId="0000034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145.740 € </w:t>
            </w:r>
          </w:p>
        </w:tc>
        <w:tc>
          <w:tcPr>
            <w:shd w:fill="auto" w:val="clear"/>
            <w:vAlign w:val="bottom"/>
          </w:tcPr>
          <w:p w:rsidR="00000000" w:rsidDel="00000000" w:rsidP="00000000" w:rsidRDefault="00000000" w:rsidRPr="00000000" w14:paraId="0000034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241.768 € </w:t>
            </w:r>
          </w:p>
        </w:tc>
        <w:tc>
          <w:tcPr>
            <w:shd w:fill="auto" w:val="clear"/>
            <w:vAlign w:val="bottom"/>
          </w:tcPr>
          <w:p w:rsidR="00000000" w:rsidDel="00000000" w:rsidP="00000000" w:rsidRDefault="00000000" w:rsidRPr="00000000" w14:paraId="0000034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331.792 € </w:t>
            </w:r>
          </w:p>
        </w:tc>
        <w:tc>
          <w:tcPr>
            <w:shd w:fill="auto" w:val="clear"/>
            <w:vAlign w:val="bottom"/>
          </w:tcPr>
          <w:p w:rsidR="00000000" w:rsidDel="00000000" w:rsidP="00000000" w:rsidRDefault="00000000" w:rsidRPr="00000000" w14:paraId="0000034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397.702 € </w:t>
            </w:r>
          </w:p>
        </w:tc>
      </w:tr>
      <w:tr>
        <w:trPr>
          <w:cantSplit w:val="0"/>
          <w:trHeight w:val="330" w:hRule="atLeast"/>
          <w:tblHeader w:val="0"/>
        </w:trPr>
        <w:tc>
          <w:tcPr>
            <w:shd w:fill="auto" w:val="clear"/>
            <w:vAlign w:val="bottom"/>
          </w:tcPr>
          <w:p w:rsidR="00000000" w:rsidDel="00000000" w:rsidP="00000000" w:rsidRDefault="00000000" w:rsidRPr="00000000" w14:paraId="0000034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Pamplona / Iruña</w:t>
            </w:r>
          </w:p>
        </w:tc>
        <w:tc>
          <w:tcPr>
            <w:shd w:fill="auto" w:val="clear"/>
            <w:vAlign w:val="bottom"/>
          </w:tcPr>
          <w:p w:rsidR="00000000" w:rsidDel="00000000" w:rsidP="00000000" w:rsidRDefault="00000000" w:rsidRPr="00000000" w14:paraId="0000034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4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248.208 € </w:t>
            </w:r>
          </w:p>
        </w:tc>
        <w:tc>
          <w:tcPr>
            <w:shd w:fill="auto" w:val="clear"/>
            <w:vAlign w:val="bottom"/>
          </w:tcPr>
          <w:p w:rsidR="00000000" w:rsidDel="00000000" w:rsidP="00000000" w:rsidRDefault="00000000" w:rsidRPr="00000000" w14:paraId="0000034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161.137 € </w:t>
            </w:r>
          </w:p>
        </w:tc>
        <w:tc>
          <w:tcPr>
            <w:shd w:fill="auto" w:val="clear"/>
            <w:vAlign w:val="bottom"/>
          </w:tcPr>
          <w:p w:rsidR="00000000" w:rsidDel="00000000" w:rsidP="00000000" w:rsidRDefault="00000000" w:rsidRPr="00000000" w14:paraId="0000034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192.897 € </w:t>
            </w:r>
          </w:p>
        </w:tc>
        <w:tc>
          <w:tcPr>
            <w:shd w:fill="auto" w:val="clear"/>
            <w:vAlign w:val="bottom"/>
          </w:tcPr>
          <w:p w:rsidR="00000000" w:rsidDel="00000000" w:rsidP="00000000" w:rsidRDefault="00000000" w:rsidRPr="00000000" w14:paraId="0000035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240.863 € </w:t>
            </w:r>
          </w:p>
        </w:tc>
        <w:tc>
          <w:tcPr>
            <w:shd w:fill="auto" w:val="clear"/>
            <w:vAlign w:val="bottom"/>
          </w:tcPr>
          <w:p w:rsidR="00000000" w:rsidDel="00000000" w:rsidP="00000000" w:rsidRDefault="00000000" w:rsidRPr="00000000" w14:paraId="0000035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243.694 € </w:t>
            </w:r>
          </w:p>
        </w:tc>
      </w:tr>
      <w:tr>
        <w:trPr>
          <w:cantSplit w:val="0"/>
          <w:trHeight w:val="330" w:hRule="atLeast"/>
          <w:tblHeader w:val="0"/>
        </w:trPr>
        <w:tc>
          <w:tcPr>
            <w:shd w:fill="auto" w:val="clear"/>
            <w:vAlign w:val="bottom"/>
          </w:tcPr>
          <w:p w:rsidR="00000000" w:rsidDel="00000000" w:rsidP="00000000" w:rsidRDefault="00000000" w:rsidRPr="00000000" w14:paraId="0000035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Pontevedra </w:t>
            </w:r>
          </w:p>
        </w:tc>
        <w:tc>
          <w:tcPr>
            <w:shd w:fill="auto" w:val="clear"/>
            <w:vAlign w:val="bottom"/>
          </w:tcPr>
          <w:p w:rsidR="00000000" w:rsidDel="00000000" w:rsidP="00000000" w:rsidRDefault="00000000" w:rsidRPr="00000000" w14:paraId="0000035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5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162.761 € </w:t>
            </w:r>
          </w:p>
        </w:tc>
        <w:tc>
          <w:tcPr>
            <w:shd w:fill="auto" w:val="clear"/>
            <w:vAlign w:val="bottom"/>
          </w:tcPr>
          <w:p w:rsidR="00000000" w:rsidDel="00000000" w:rsidP="00000000" w:rsidRDefault="00000000" w:rsidRPr="00000000" w14:paraId="0000035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119.248 € </w:t>
            </w:r>
          </w:p>
        </w:tc>
        <w:tc>
          <w:tcPr>
            <w:shd w:fill="auto" w:val="clear"/>
            <w:vAlign w:val="bottom"/>
          </w:tcPr>
          <w:p w:rsidR="00000000" w:rsidDel="00000000" w:rsidP="00000000" w:rsidRDefault="00000000" w:rsidRPr="00000000" w14:paraId="0000035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139.063 € </w:t>
            </w:r>
          </w:p>
        </w:tc>
        <w:tc>
          <w:tcPr>
            <w:shd w:fill="auto" w:val="clear"/>
            <w:vAlign w:val="bottom"/>
          </w:tcPr>
          <w:p w:rsidR="00000000" w:rsidDel="00000000" w:rsidP="00000000" w:rsidRDefault="00000000" w:rsidRPr="00000000" w14:paraId="0000035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176.799 € </w:t>
            </w:r>
          </w:p>
        </w:tc>
        <w:tc>
          <w:tcPr>
            <w:shd w:fill="auto" w:val="clear"/>
            <w:vAlign w:val="bottom"/>
          </w:tcPr>
          <w:p w:rsidR="00000000" w:rsidDel="00000000" w:rsidP="00000000" w:rsidRDefault="00000000" w:rsidRPr="00000000" w14:paraId="0000035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189.807 € </w:t>
            </w:r>
          </w:p>
        </w:tc>
      </w:tr>
      <w:tr>
        <w:trPr>
          <w:cantSplit w:val="0"/>
          <w:trHeight w:val="330" w:hRule="atLeast"/>
          <w:tblHeader w:val="0"/>
        </w:trPr>
        <w:tc>
          <w:tcPr>
            <w:shd w:fill="auto" w:val="clear"/>
            <w:vAlign w:val="bottom"/>
          </w:tcPr>
          <w:p w:rsidR="00000000" w:rsidDel="00000000" w:rsidP="00000000" w:rsidRDefault="00000000" w:rsidRPr="00000000" w14:paraId="0000035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Salamanca </w:t>
            </w:r>
          </w:p>
        </w:tc>
        <w:tc>
          <w:tcPr>
            <w:shd w:fill="auto" w:val="clear"/>
            <w:vAlign w:val="bottom"/>
          </w:tcPr>
          <w:p w:rsidR="00000000" w:rsidDel="00000000" w:rsidP="00000000" w:rsidRDefault="00000000" w:rsidRPr="00000000" w14:paraId="0000035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5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215.223 € </w:t>
            </w:r>
          </w:p>
        </w:tc>
        <w:tc>
          <w:tcPr>
            <w:shd w:fill="auto" w:val="clear"/>
            <w:vAlign w:val="bottom"/>
          </w:tcPr>
          <w:p w:rsidR="00000000" w:rsidDel="00000000" w:rsidP="00000000" w:rsidRDefault="00000000" w:rsidRPr="00000000" w14:paraId="0000035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152.603 € </w:t>
            </w:r>
          </w:p>
        </w:tc>
        <w:tc>
          <w:tcPr>
            <w:shd w:fill="auto" w:val="clear"/>
            <w:vAlign w:val="bottom"/>
          </w:tcPr>
          <w:p w:rsidR="00000000" w:rsidDel="00000000" w:rsidP="00000000" w:rsidRDefault="00000000" w:rsidRPr="00000000" w14:paraId="0000035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155.292 € </w:t>
            </w:r>
          </w:p>
        </w:tc>
        <w:tc>
          <w:tcPr>
            <w:shd w:fill="auto" w:val="clear"/>
            <w:vAlign w:val="bottom"/>
          </w:tcPr>
          <w:p w:rsidR="00000000" w:rsidDel="00000000" w:rsidP="00000000" w:rsidRDefault="00000000" w:rsidRPr="00000000" w14:paraId="0000035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162.089 € </w:t>
            </w:r>
          </w:p>
        </w:tc>
        <w:tc>
          <w:tcPr>
            <w:shd w:fill="auto" w:val="clear"/>
            <w:vAlign w:val="bottom"/>
          </w:tcPr>
          <w:p w:rsidR="00000000" w:rsidDel="00000000" w:rsidP="00000000" w:rsidRDefault="00000000" w:rsidRPr="00000000" w14:paraId="0000035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183.556 € </w:t>
            </w:r>
          </w:p>
        </w:tc>
      </w:tr>
      <w:tr>
        <w:trPr>
          <w:cantSplit w:val="0"/>
          <w:trHeight w:val="330" w:hRule="atLeast"/>
          <w:tblHeader w:val="0"/>
        </w:trPr>
        <w:tc>
          <w:tcPr>
            <w:shd w:fill="auto" w:val="clear"/>
            <w:vAlign w:val="bottom"/>
          </w:tcPr>
          <w:p w:rsidR="00000000" w:rsidDel="00000000" w:rsidP="00000000" w:rsidRDefault="00000000" w:rsidRPr="00000000" w14:paraId="0000036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Santa Cruz de Tenerife </w:t>
            </w:r>
          </w:p>
        </w:tc>
        <w:tc>
          <w:tcPr>
            <w:shd w:fill="auto" w:val="clear"/>
            <w:vAlign w:val="bottom"/>
          </w:tcPr>
          <w:p w:rsidR="00000000" w:rsidDel="00000000" w:rsidP="00000000" w:rsidRDefault="00000000" w:rsidRPr="00000000" w14:paraId="0000036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134.290 € </w:t>
            </w:r>
          </w:p>
        </w:tc>
        <w:tc>
          <w:tcPr>
            <w:shd w:fill="auto" w:val="clear"/>
            <w:vAlign w:val="bottom"/>
          </w:tcPr>
          <w:p w:rsidR="00000000" w:rsidDel="00000000" w:rsidP="00000000" w:rsidRDefault="00000000" w:rsidRPr="00000000" w14:paraId="0000036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160.676 € </w:t>
            </w:r>
          </w:p>
        </w:tc>
        <w:tc>
          <w:tcPr>
            <w:shd w:fill="auto" w:val="clear"/>
            <w:vAlign w:val="bottom"/>
          </w:tcPr>
          <w:p w:rsidR="00000000" w:rsidDel="00000000" w:rsidP="00000000" w:rsidRDefault="00000000" w:rsidRPr="00000000" w14:paraId="0000036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113.580 € </w:t>
            </w:r>
          </w:p>
        </w:tc>
        <w:tc>
          <w:tcPr>
            <w:shd w:fill="auto" w:val="clear"/>
            <w:vAlign w:val="bottom"/>
          </w:tcPr>
          <w:p w:rsidR="00000000" w:rsidDel="00000000" w:rsidP="00000000" w:rsidRDefault="00000000" w:rsidRPr="00000000" w14:paraId="0000036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128.770 € </w:t>
            </w:r>
          </w:p>
        </w:tc>
        <w:tc>
          <w:tcPr>
            <w:shd w:fill="auto" w:val="clear"/>
            <w:vAlign w:val="bottom"/>
          </w:tcPr>
          <w:p w:rsidR="00000000" w:rsidDel="00000000" w:rsidP="00000000" w:rsidRDefault="00000000" w:rsidRPr="00000000" w14:paraId="0000036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186.833 € </w:t>
            </w:r>
          </w:p>
        </w:tc>
        <w:tc>
          <w:tcPr>
            <w:shd w:fill="auto" w:val="clear"/>
            <w:vAlign w:val="bottom"/>
          </w:tcPr>
          <w:p w:rsidR="00000000" w:rsidDel="00000000" w:rsidP="00000000" w:rsidRDefault="00000000" w:rsidRPr="00000000" w14:paraId="0000036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191.518 € </w:t>
            </w:r>
          </w:p>
        </w:tc>
      </w:tr>
      <w:tr>
        <w:trPr>
          <w:cantSplit w:val="0"/>
          <w:trHeight w:val="330" w:hRule="atLeast"/>
          <w:tblHeader w:val="0"/>
        </w:trPr>
        <w:tc>
          <w:tcPr>
            <w:shd w:fill="auto" w:val="clear"/>
            <w:vAlign w:val="bottom"/>
          </w:tcPr>
          <w:p w:rsidR="00000000" w:rsidDel="00000000" w:rsidP="00000000" w:rsidRDefault="00000000" w:rsidRPr="00000000" w14:paraId="0000036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Santander</w:t>
            </w:r>
          </w:p>
        </w:tc>
        <w:tc>
          <w:tcPr>
            <w:shd w:fill="auto" w:val="clear"/>
            <w:vAlign w:val="bottom"/>
          </w:tcPr>
          <w:p w:rsidR="00000000" w:rsidDel="00000000" w:rsidP="00000000" w:rsidRDefault="00000000" w:rsidRPr="00000000" w14:paraId="0000036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212.294 € </w:t>
            </w:r>
          </w:p>
        </w:tc>
        <w:tc>
          <w:tcPr>
            <w:shd w:fill="auto" w:val="clear"/>
            <w:vAlign w:val="bottom"/>
          </w:tcPr>
          <w:p w:rsidR="00000000" w:rsidDel="00000000" w:rsidP="00000000" w:rsidRDefault="00000000" w:rsidRPr="00000000" w14:paraId="0000036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245.043 € </w:t>
            </w:r>
          </w:p>
        </w:tc>
        <w:tc>
          <w:tcPr>
            <w:shd w:fill="auto" w:val="clear"/>
            <w:vAlign w:val="bottom"/>
          </w:tcPr>
          <w:p w:rsidR="00000000" w:rsidDel="00000000" w:rsidP="00000000" w:rsidRDefault="00000000" w:rsidRPr="00000000" w14:paraId="0000036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162.385 € </w:t>
            </w:r>
          </w:p>
        </w:tc>
        <w:tc>
          <w:tcPr>
            <w:shd w:fill="auto" w:val="clear"/>
            <w:vAlign w:val="bottom"/>
          </w:tcPr>
          <w:p w:rsidR="00000000" w:rsidDel="00000000" w:rsidP="00000000" w:rsidRDefault="00000000" w:rsidRPr="00000000" w14:paraId="0000036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170.776 € </w:t>
            </w:r>
          </w:p>
        </w:tc>
        <w:tc>
          <w:tcPr>
            <w:shd w:fill="auto" w:val="clear"/>
            <w:vAlign w:val="bottom"/>
          </w:tcPr>
          <w:p w:rsidR="00000000" w:rsidDel="00000000" w:rsidP="00000000" w:rsidRDefault="00000000" w:rsidRPr="00000000" w14:paraId="0000036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209.962 € </w:t>
            </w:r>
          </w:p>
        </w:tc>
        <w:tc>
          <w:tcPr>
            <w:shd w:fill="auto" w:val="clear"/>
            <w:vAlign w:val="bottom"/>
          </w:tcPr>
          <w:p w:rsidR="00000000" w:rsidDel="00000000" w:rsidP="00000000" w:rsidRDefault="00000000" w:rsidRPr="00000000" w14:paraId="0000036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211.859 € </w:t>
            </w:r>
          </w:p>
        </w:tc>
      </w:tr>
      <w:tr>
        <w:trPr>
          <w:cantSplit w:val="0"/>
          <w:trHeight w:val="330" w:hRule="atLeast"/>
          <w:tblHeader w:val="0"/>
        </w:trPr>
        <w:tc>
          <w:tcPr>
            <w:shd w:fill="auto" w:val="clear"/>
            <w:vAlign w:val="bottom"/>
          </w:tcPr>
          <w:p w:rsidR="00000000" w:rsidDel="00000000" w:rsidP="00000000" w:rsidRDefault="00000000" w:rsidRPr="00000000" w14:paraId="0000036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Segovia </w:t>
            </w:r>
          </w:p>
        </w:tc>
        <w:tc>
          <w:tcPr>
            <w:shd w:fill="auto" w:val="clear"/>
            <w:vAlign w:val="bottom"/>
          </w:tcPr>
          <w:p w:rsidR="00000000" w:rsidDel="00000000" w:rsidP="00000000" w:rsidRDefault="00000000" w:rsidRPr="00000000" w14:paraId="0000036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7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7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122.540 € </w:t>
            </w:r>
          </w:p>
        </w:tc>
        <w:tc>
          <w:tcPr>
            <w:shd w:fill="auto" w:val="clear"/>
            <w:vAlign w:val="bottom"/>
          </w:tcPr>
          <w:p w:rsidR="00000000" w:rsidDel="00000000" w:rsidP="00000000" w:rsidRDefault="00000000" w:rsidRPr="00000000" w14:paraId="0000037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133.343 € </w:t>
            </w:r>
          </w:p>
        </w:tc>
        <w:tc>
          <w:tcPr>
            <w:shd w:fill="auto" w:val="clear"/>
            <w:vAlign w:val="bottom"/>
          </w:tcPr>
          <w:p w:rsidR="00000000" w:rsidDel="00000000" w:rsidP="00000000" w:rsidRDefault="00000000" w:rsidRPr="00000000" w14:paraId="0000037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150.483 € </w:t>
            </w:r>
          </w:p>
        </w:tc>
        <w:tc>
          <w:tcPr>
            <w:shd w:fill="auto" w:val="clear"/>
            <w:vAlign w:val="bottom"/>
          </w:tcPr>
          <w:p w:rsidR="00000000" w:rsidDel="00000000" w:rsidP="00000000" w:rsidRDefault="00000000" w:rsidRPr="00000000" w14:paraId="0000037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170.486 € </w:t>
            </w:r>
          </w:p>
        </w:tc>
      </w:tr>
      <w:tr>
        <w:trPr>
          <w:cantSplit w:val="0"/>
          <w:trHeight w:val="330" w:hRule="atLeast"/>
          <w:tblHeader w:val="0"/>
        </w:trPr>
        <w:tc>
          <w:tcPr>
            <w:shd w:fill="auto" w:val="clear"/>
            <w:vAlign w:val="bottom"/>
          </w:tcPr>
          <w:p w:rsidR="00000000" w:rsidDel="00000000" w:rsidP="00000000" w:rsidRDefault="00000000" w:rsidRPr="00000000" w14:paraId="0000037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Sevilla </w:t>
            </w:r>
          </w:p>
        </w:tc>
        <w:tc>
          <w:tcPr>
            <w:shd w:fill="auto" w:val="clear"/>
            <w:vAlign w:val="bottom"/>
          </w:tcPr>
          <w:p w:rsidR="00000000" w:rsidDel="00000000" w:rsidP="00000000" w:rsidRDefault="00000000" w:rsidRPr="00000000" w14:paraId="0000037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191.782 € </w:t>
            </w:r>
          </w:p>
        </w:tc>
        <w:tc>
          <w:tcPr>
            <w:shd w:fill="auto" w:val="clear"/>
            <w:vAlign w:val="bottom"/>
          </w:tcPr>
          <w:p w:rsidR="00000000" w:rsidDel="00000000" w:rsidP="00000000" w:rsidRDefault="00000000" w:rsidRPr="00000000" w14:paraId="0000037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210.398 € </w:t>
            </w:r>
          </w:p>
        </w:tc>
        <w:tc>
          <w:tcPr>
            <w:shd w:fill="auto" w:val="clear"/>
            <w:vAlign w:val="bottom"/>
          </w:tcPr>
          <w:p w:rsidR="00000000" w:rsidDel="00000000" w:rsidP="00000000" w:rsidRDefault="00000000" w:rsidRPr="00000000" w14:paraId="0000037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140.619 € </w:t>
            </w:r>
          </w:p>
        </w:tc>
        <w:tc>
          <w:tcPr>
            <w:shd w:fill="auto" w:val="clear"/>
            <w:vAlign w:val="bottom"/>
          </w:tcPr>
          <w:p w:rsidR="00000000" w:rsidDel="00000000" w:rsidP="00000000" w:rsidRDefault="00000000" w:rsidRPr="00000000" w14:paraId="0000037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170.963 € </w:t>
            </w:r>
          </w:p>
        </w:tc>
        <w:tc>
          <w:tcPr>
            <w:shd w:fill="auto" w:val="clear"/>
            <w:vAlign w:val="bottom"/>
          </w:tcPr>
          <w:p w:rsidR="00000000" w:rsidDel="00000000" w:rsidP="00000000" w:rsidRDefault="00000000" w:rsidRPr="00000000" w14:paraId="0000037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197.455 € </w:t>
            </w:r>
          </w:p>
        </w:tc>
        <w:tc>
          <w:tcPr>
            <w:shd w:fill="auto" w:val="clear"/>
            <w:vAlign w:val="bottom"/>
          </w:tcPr>
          <w:p w:rsidR="00000000" w:rsidDel="00000000" w:rsidP="00000000" w:rsidRDefault="00000000" w:rsidRPr="00000000" w14:paraId="0000037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206.098 € </w:t>
            </w:r>
          </w:p>
        </w:tc>
      </w:tr>
      <w:tr>
        <w:trPr>
          <w:cantSplit w:val="0"/>
          <w:trHeight w:val="330" w:hRule="atLeast"/>
          <w:tblHeader w:val="0"/>
        </w:trPr>
        <w:tc>
          <w:tcPr>
            <w:shd w:fill="auto" w:val="clear"/>
            <w:vAlign w:val="bottom"/>
          </w:tcPr>
          <w:p w:rsidR="00000000" w:rsidDel="00000000" w:rsidP="00000000" w:rsidRDefault="00000000" w:rsidRPr="00000000" w14:paraId="0000037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Soria </w:t>
            </w:r>
          </w:p>
        </w:tc>
        <w:tc>
          <w:tcPr>
            <w:shd w:fill="auto" w:val="clear"/>
            <w:vAlign w:val="bottom"/>
          </w:tcPr>
          <w:p w:rsidR="00000000" w:rsidDel="00000000" w:rsidP="00000000" w:rsidRDefault="00000000" w:rsidRPr="00000000" w14:paraId="0000037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7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7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111.215 € </w:t>
            </w:r>
          </w:p>
        </w:tc>
        <w:tc>
          <w:tcPr>
            <w:shd w:fill="auto" w:val="clear"/>
            <w:vAlign w:val="bottom"/>
          </w:tcPr>
          <w:p w:rsidR="00000000" w:rsidDel="00000000" w:rsidP="00000000" w:rsidRDefault="00000000" w:rsidRPr="00000000" w14:paraId="0000038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111.443 € </w:t>
            </w:r>
          </w:p>
        </w:tc>
        <w:tc>
          <w:tcPr>
            <w:shd w:fill="auto" w:val="clear"/>
            <w:vAlign w:val="bottom"/>
          </w:tcPr>
          <w:p w:rsidR="00000000" w:rsidDel="00000000" w:rsidP="00000000" w:rsidRDefault="00000000" w:rsidRPr="00000000" w14:paraId="0000038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146.165 € </w:t>
            </w:r>
          </w:p>
        </w:tc>
        <w:tc>
          <w:tcPr>
            <w:shd w:fill="auto" w:val="clear"/>
            <w:vAlign w:val="bottom"/>
          </w:tcPr>
          <w:p w:rsidR="00000000" w:rsidDel="00000000" w:rsidP="00000000" w:rsidRDefault="00000000" w:rsidRPr="00000000" w14:paraId="0000038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159.827 € </w:t>
            </w:r>
          </w:p>
        </w:tc>
      </w:tr>
      <w:tr>
        <w:trPr>
          <w:cantSplit w:val="0"/>
          <w:trHeight w:val="330" w:hRule="atLeast"/>
          <w:tblHeader w:val="0"/>
        </w:trPr>
        <w:tc>
          <w:tcPr>
            <w:shd w:fill="auto" w:val="clear"/>
            <w:vAlign w:val="bottom"/>
          </w:tcPr>
          <w:p w:rsidR="00000000" w:rsidDel="00000000" w:rsidP="00000000" w:rsidRDefault="00000000" w:rsidRPr="00000000" w14:paraId="0000038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Tarragona </w:t>
            </w:r>
          </w:p>
        </w:tc>
        <w:tc>
          <w:tcPr>
            <w:shd w:fill="auto" w:val="clear"/>
            <w:vAlign w:val="bottom"/>
          </w:tcPr>
          <w:p w:rsidR="00000000" w:rsidDel="00000000" w:rsidP="00000000" w:rsidRDefault="00000000" w:rsidRPr="00000000" w14:paraId="0000038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154.713 € </w:t>
            </w:r>
          </w:p>
        </w:tc>
        <w:tc>
          <w:tcPr>
            <w:shd w:fill="auto" w:val="clear"/>
            <w:vAlign w:val="bottom"/>
          </w:tcPr>
          <w:p w:rsidR="00000000" w:rsidDel="00000000" w:rsidP="00000000" w:rsidRDefault="00000000" w:rsidRPr="00000000" w14:paraId="0000038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205.853 € </w:t>
            </w:r>
          </w:p>
        </w:tc>
        <w:tc>
          <w:tcPr>
            <w:shd w:fill="auto" w:val="clear"/>
            <w:vAlign w:val="bottom"/>
          </w:tcPr>
          <w:p w:rsidR="00000000" w:rsidDel="00000000" w:rsidP="00000000" w:rsidRDefault="00000000" w:rsidRPr="00000000" w14:paraId="0000038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115.037 € </w:t>
            </w:r>
          </w:p>
        </w:tc>
        <w:tc>
          <w:tcPr>
            <w:shd w:fill="auto" w:val="clear"/>
            <w:vAlign w:val="bottom"/>
          </w:tcPr>
          <w:p w:rsidR="00000000" w:rsidDel="00000000" w:rsidP="00000000" w:rsidRDefault="00000000" w:rsidRPr="00000000" w14:paraId="0000038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135.311 € </w:t>
            </w:r>
          </w:p>
        </w:tc>
        <w:tc>
          <w:tcPr>
            <w:shd w:fill="auto" w:val="clear"/>
            <w:vAlign w:val="bottom"/>
          </w:tcPr>
          <w:p w:rsidR="00000000" w:rsidDel="00000000" w:rsidP="00000000" w:rsidRDefault="00000000" w:rsidRPr="00000000" w14:paraId="0000038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137.720 € </w:t>
            </w:r>
          </w:p>
        </w:tc>
        <w:tc>
          <w:tcPr>
            <w:shd w:fill="auto" w:val="clear"/>
            <w:vAlign w:val="bottom"/>
          </w:tcPr>
          <w:p w:rsidR="00000000" w:rsidDel="00000000" w:rsidP="00000000" w:rsidRDefault="00000000" w:rsidRPr="00000000" w14:paraId="0000038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141.018 € </w:t>
            </w:r>
          </w:p>
        </w:tc>
      </w:tr>
      <w:tr>
        <w:trPr>
          <w:cantSplit w:val="0"/>
          <w:trHeight w:val="330" w:hRule="atLeast"/>
          <w:tblHeader w:val="0"/>
        </w:trPr>
        <w:tc>
          <w:tcPr>
            <w:shd w:fill="auto" w:val="clear"/>
            <w:vAlign w:val="bottom"/>
          </w:tcPr>
          <w:p w:rsidR="00000000" w:rsidDel="00000000" w:rsidP="00000000" w:rsidRDefault="00000000" w:rsidRPr="00000000" w14:paraId="0000038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Teruel </w:t>
            </w:r>
          </w:p>
        </w:tc>
        <w:tc>
          <w:tcPr>
            <w:shd w:fill="auto" w:val="clear"/>
            <w:vAlign w:val="bottom"/>
          </w:tcPr>
          <w:p w:rsidR="00000000" w:rsidDel="00000000" w:rsidP="00000000" w:rsidRDefault="00000000" w:rsidRPr="00000000" w14:paraId="0000038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8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8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115.680 € </w:t>
            </w:r>
          </w:p>
        </w:tc>
        <w:tc>
          <w:tcPr>
            <w:shd w:fill="auto" w:val="clear"/>
            <w:vAlign w:val="bottom"/>
          </w:tcPr>
          <w:p w:rsidR="00000000" w:rsidDel="00000000" w:rsidP="00000000" w:rsidRDefault="00000000" w:rsidRPr="00000000" w14:paraId="0000038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109.022 € </w:t>
            </w:r>
          </w:p>
        </w:tc>
        <w:tc>
          <w:tcPr>
            <w:shd w:fill="auto" w:val="clear"/>
            <w:vAlign w:val="bottom"/>
          </w:tcPr>
          <w:p w:rsidR="00000000" w:rsidDel="00000000" w:rsidP="00000000" w:rsidRDefault="00000000" w:rsidRPr="00000000" w14:paraId="0000038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120.905 € </w:t>
            </w:r>
          </w:p>
        </w:tc>
        <w:tc>
          <w:tcPr>
            <w:shd w:fill="auto" w:val="clear"/>
            <w:vAlign w:val="bottom"/>
          </w:tcPr>
          <w:p w:rsidR="00000000" w:rsidDel="00000000" w:rsidP="00000000" w:rsidRDefault="00000000" w:rsidRPr="00000000" w14:paraId="0000039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152.023 € </w:t>
            </w:r>
          </w:p>
        </w:tc>
      </w:tr>
      <w:tr>
        <w:trPr>
          <w:cantSplit w:val="0"/>
          <w:trHeight w:val="330" w:hRule="atLeast"/>
          <w:tblHeader w:val="0"/>
        </w:trPr>
        <w:tc>
          <w:tcPr>
            <w:shd w:fill="auto" w:val="clear"/>
            <w:vAlign w:val="bottom"/>
          </w:tcPr>
          <w:p w:rsidR="00000000" w:rsidDel="00000000" w:rsidP="00000000" w:rsidRDefault="00000000" w:rsidRPr="00000000" w14:paraId="0000039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Toledo </w:t>
            </w:r>
          </w:p>
        </w:tc>
        <w:tc>
          <w:tcPr>
            <w:shd w:fill="auto" w:val="clear"/>
            <w:vAlign w:val="bottom"/>
          </w:tcPr>
          <w:p w:rsidR="00000000" w:rsidDel="00000000" w:rsidP="00000000" w:rsidRDefault="00000000" w:rsidRPr="00000000" w14:paraId="0000039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9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187.510 € </w:t>
            </w:r>
          </w:p>
        </w:tc>
        <w:tc>
          <w:tcPr>
            <w:shd w:fill="auto" w:val="clear"/>
            <w:vAlign w:val="bottom"/>
          </w:tcPr>
          <w:p w:rsidR="00000000" w:rsidDel="00000000" w:rsidP="00000000" w:rsidRDefault="00000000" w:rsidRPr="00000000" w14:paraId="0000039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105.348 € </w:t>
            </w:r>
          </w:p>
        </w:tc>
        <w:tc>
          <w:tcPr>
            <w:shd w:fill="auto" w:val="clear"/>
            <w:vAlign w:val="bottom"/>
          </w:tcPr>
          <w:p w:rsidR="00000000" w:rsidDel="00000000" w:rsidP="00000000" w:rsidRDefault="00000000" w:rsidRPr="00000000" w14:paraId="0000039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120.730 € </w:t>
            </w:r>
          </w:p>
        </w:tc>
        <w:tc>
          <w:tcPr>
            <w:shd w:fill="auto" w:val="clear"/>
            <w:vAlign w:val="bottom"/>
          </w:tcPr>
          <w:p w:rsidR="00000000" w:rsidDel="00000000" w:rsidP="00000000" w:rsidRDefault="00000000" w:rsidRPr="00000000" w14:paraId="0000039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136.663 € </w:t>
            </w:r>
          </w:p>
        </w:tc>
        <w:tc>
          <w:tcPr>
            <w:shd w:fill="auto" w:val="clear"/>
            <w:vAlign w:val="bottom"/>
          </w:tcPr>
          <w:p w:rsidR="00000000" w:rsidDel="00000000" w:rsidP="00000000" w:rsidRDefault="00000000" w:rsidRPr="00000000" w14:paraId="0000039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144.069 € </w:t>
            </w:r>
          </w:p>
        </w:tc>
      </w:tr>
      <w:tr>
        <w:trPr>
          <w:cantSplit w:val="0"/>
          <w:trHeight w:val="330" w:hRule="atLeast"/>
          <w:tblHeader w:val="0"/>
        </w:trPr>
        <w:tc>
          <w:tcPr>
            <w:shd w:fill="auto" w:val="clear"/>
            <w:vAlign w:val="bottom"/>
          </w:tcPr>
          <w:p w:rsidR="00000000" w:rsidDel="00000000" w:rsidP="00000000" w:rsidRDefault="00000000" w:rsidRPr="00000000" w14:paraId="0000039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Valencia </w:t>
            </w:r>
          </w:p>
        </w:tc>
        <w:tc>
          <w:tcPr>
            <w:shd w:fill="auto" w:val="clear"/>
            <w:vAlign w:val="bottom"/>
          </w:tcPr>
          <w:p w:rsidR="00000000" w:rsidDel="00000000" w:rsidP="00000000" w:rsidRDefault="00000000" w:rsidRPr="00000000" w14:paraId="0000039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176.646 € </w:t>
            </w:r>
          </w:p>
        </w:tc>
        <w:tc>
          <w:tcPr>
            <w:shd w:fill="auto" w:val="clear"/>
            <w:vAlign w:val="bottom"/>
          </w:tcPr>
          <w:p w:rsidR="00000000" w:rsidDel="00000000" w:rsidP="00000000" w:rsidRDefault="00000000" w:rsidRPr="00000000" w14:paraId="0000039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182.823 € </w:t>
            </w:r>
          </w:p>
        </w:tc>
        <w:tc>
          <w:tcPr>
            <w:shd w:fill="auto" w:val="clear"/>
            <w:vAlign w:val="bottom"/>
          </w:tcPr>
          <w:p w:rsidR="00000000" w:rsidDel="00000000" w:rsidP="00000000" w:rsidRDefault="00000000" w:rsidRPr="00000000" w14:paraId="0000039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125.076 € </w:t>
            </w:r>
          </w:p>
        </w:tc>
        <w:tc>
          <w:tcPr>
            <w:shd w:fill="auto" w:val="clear"/>
            <w:vAlign w:val="bottom"/>
          </w:tcPr>
          <w:p w:rsidR="00000000" w:rsidDel="00000000" w:rsidP="00000000" w:rsidRDefault="00000000" w:rsidRPr="00000000" w14:paraId="0000039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166.191 € </w:t>
            </w:r>
          </w:p>
        </w:tc>
        <w:tc>
          <w:tcPr>
            <w:shd w:fill="auto" w:val="clear"/>
            <w:vAlign w:val="bottom"/>
          </w:tcPr>
          <w:p w:rsidR="00000000" w:rsidDel="00000000" w:rsidP="00000000" w:rsidRDefault="00000000" w:rsidRPr="00000000" w14:paraId="0000039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221.658 € </w:t>
            </w:r>
          </w:p>
        </w:tc>
        <w:tc>
          <w:tcPr>
            <w:shd w:fill="auto" w:val="clear"/>
            <w:vAlign w:val="bottom"/>
          </w:tcPr>
          <w:p w:rsidR="00000000" w:rsidDel="00000000" w:rsidP="00000000" w:rsidRDefault="00000000" w:rsidRPr="00000000" w14:paraId="0000039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253.784 € </w:t>
            </w:r>
          </w:p>
        </w:tc>
      </w:tr>
      <w:tr>
        <w:trPr>
          <w:cantSplit w:val="0"/>
          <w:trHeight w:val="330" w:hRule="atLeast"/>
          <w:tblHeader w:val="0"/>
        </w:trPr>
        <w:tc>
          <w:tcPr>
            <w:shd w:fill="auto" w:val="clear"/>
            <w:vAlign w:val="bottom"/>
          </w:tcPr>
          <w:p w:rsidR="00000000" w:rsidDel="00000000" w:rsidP="00000000" w:rsidRDefault="00000000" w:rsidRPr="00000000" w14:paraId="0000039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Valladolid </w:t>
            </w:r>
          </w:p>
        </w:tc>
        <w:tc>
          <w:tcPr>
            <w:shd w:fill="auto" w:val="clear"/>
            <w:vAlign w:val="bottom"/>
          </w:tcPr>
          <w:p w:rsidR="00000000" w:rsidDel="00000000" w:rsidP="00000000" w:rsidRDefault="00000000" w:rsidRPr="00000000" w14:paraId="000003A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201.860 € </w:t>
            </w:r>
          </w:p>
        </w:tc>
        <w:tc>
          <w:tcPr>
            <w:shd w:fill="auto" w:val="clear"/>
            <w:vAlign w:val="bottom"/>
          </w:tcPr>
          <w:p w:rsidR="00000000" w:rsidDel="00000000" w:rsidP="00000000" w:rsidRDefault="00000000" w:rsidRPr="00000000" w14:paraId="000003A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176.327 € </w:t>
            </w:r>
          </w:p>
        </w:tc>
        <w:tc>
          <w:tcPr>
            <w:shd w:fill="auto" w:val="clear"/>
            <w:vAlign w:val="bottom"/>
          </w:tcPr>
          <w:p w:rsidR="00000000" w:rsidDel="00000000" w:rsidP="00000000" w:rsidRDefault="00000000" w:rsidRPr="00000000" w14:paraId="000003A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122.672 € </w:t>
            </w:r>
          </w:p>
        </w:tc>
        <w:tc>
          <w:tcPr>
            <w:shd w:fill="auto" w:val="clear"/>
            <w:vAlign w:val="bottom"/>
          </w:tcPr>
          <w:p w:rsidR="00000000" w:rsidDel="00000000" w:rsidP="00000000" w:rsidRDefault="00000000" w:rsidRPr="00000000" w14:paraId="000003A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139.234 € </w:t>
            </w:r>
          </w:p>
        </w:tc>
        <w:tc>
          <w:tcPr>
            <w:shd w:fill="auto" w:val="clear"/>
            <w:vAlign w:val="bottom"/>
          </w:tcPr>
          <w:p w:rsidR="00000000" w:rsidDel="00000000" w:rsidP="00000000" w:rsidRDefault="00000000" w:rsidRPr="00000000" w14:paraId="000003A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153.430 € </w:t>
            </w:r>
          </w:p>
        </w:tc>
        <w:tc>
          <w:tcPr>
            <w:shd w:fill="auto" w:val="clear"/>
            <w:vAlign w:val="bottom"/>
          </w:tcPr>
          <w:p w:rsidR="00000000" w:rsidDel="00000000" w:rsidP="00000000" w:rsidRDefault="00000000" w:rsidRPr="00000000" w14:paraId="000003A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175.740 € </w:t>
            </w:r>
          </w:p>
        </w:tc>
      </w:tr>
      <w:tr>
        <w:trPr>
          <w:cantSplit w:val="0"/>
          <w:trHeight w:val="330" w:hRule="atLeast"/>
          <w:tblHeader w:val="0"/>
        </w:trPr>
        <w:tc>
          <w:tcPr>
            <w:shd w:fill="auto" w:val="clear"/>
            <w:vAlign w:val="bottom"/>
          </w:tcPr>
          <w:p w:rsidR="00000000" w:rsidDel="00000000" w:rsidP="00000000" w:rsidRDefault="00000000" w:rsidRPr="00000000" w14:paraId="000003A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Vitoria - Gasteiz</w:t>
            </w:r>
          </w:p>
        </w:tc>
        <w:tc>
          <w:tcPr>
            <w:shd w:fill="auto" w:val="clear"/>
            <w:vAlign w:val="bottom"/>
          </w:tcPr>
          <w:p w:rsidR="00000000" w:rsidDel="00000000" w:rsidP="00000000" w:rsidRDefault="00000000" w:rsidRPr="00000000" w14:paraId="000003A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A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258.559 € </w:t>
            </w:r>
          </w:p>
        </w:tc>
        <w:tc>
          <w:tcPr>
            <w:shd w:fill="auto" w:val="clear"/>
            <w:vAlign w:val="bottom"/>
          </w:tcPr>
          <w:p w:rsidR="00000000" w:rsidDel="00000000" w:rsidP="00000000" w:rsidRDefault="00000000" w:rsidRPr="00000000" w14:paraId="000003A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168.719 € </w:t>
            </w:r>
          </w:p>
        </w:tc>
        <w:tc>
          <w:tcPr>
            <w:shd w:fill="auto" w:val="clear"/>
            <w:vAlign w:val="bottom"/>
          </w:tcPr>
          <w:p w:rsidR="00000000" w:rsidDel="00000000" w:rsidP="00000000" w:rsidRDefault="00000000" w:rsidRPr="00000000" w14:paraId="000003A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202.604 € </w:t>
            </w:r>
          </w:p>
        </w:tc>
        <w:tc>
          <w:tcPr>
            <w:shd w:fill="auto" w:val="clear"/>
            <w:vAlign w:val="bottom"/>
          </w:tcPr>
          <w:p w:rsidR="00000000" w:rsidDel="00000000" w:rsidP="00000000" w:rsidRDefault="00000000" w:rsidRPr="00000000" w14:paraId="000003A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222.754 € </w:t>
            </w:r>
          </w:p>
        </w:tc>
        <w:tc>
          <w:tcPr>
            <w:shd w:fill="auto" w:val="clear"/>
            <w:vAlign w:val="bottom"/>
          </w:tcPr>
          <w:p w:rsidR="00000000" w:rsidDel="00000000" w:rsidP="00000000" w:rsidRDefault="00000000" w:rsidRPr="00000000" w14:paraId="000003A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237.042 € </w:t>
            </w:r>
          </w:p>
        </w:tc>
      </w:tr>
      <w:tr>
        <w:trPr>
          <w:cantSplit w:val="0"/>
          <w:trHeight w:val="330" w:hRule="atLeast"/>
          <w:tblHeader w:val="0"/>
        </w:trPr>
        <w:tc>
          <w:tcPr>
            <w:shd w:fill="auto" w:val="clear"/>
            <w:vAlign w:val="bottom"/>
          </w:tcPr>
          <w:p w:rsidR="00000000" w:rsidDel="00000000" w:rsidP="00000000" w:rsidRDefault="00000000" w:rsidRPr="00000000" w14:paraId="000003A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Zamora </w:t>
            </w:r>
          </w:p>
        </w:tc>
        <w:tc>
          <w:tcPr>
            <w:shd w:fill="auto" w:val="clear"/>
            <w:vAlign w:val="bottom"/>
          </w:tcPr>
          <w:p w:rsidR="00000000" w:rsidDel="00000000" w:rsidP="00000000" w:rsidRDefault="00000000" w:rsidRPr="00000000" w14:paraId="000003A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A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159.901 € </w:t>
            </w:r>
          </w:p>
        </w:tc>
        <w:tc>
          <w:tcPr>
            <w:shd w:fill="auto" w:val="clear"/>
            <w:vAlign w:val="bottom"/>
          </w:tcPr>
          <w:p w:rsidR="00000000" w:rsidDel="00000000" w:rsidP="00000000" w:rsidRDefault="00000000" w:rsidRPr="00000000" w14:paraId="000003B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114.300 € </w:t>
            </w:r>
          </w:p>
        </w:tc>
        <w:tc>
          <w:tcPr>
            <w:shd w:fill="auto" w:val="clear"/>
            <w:vAlign w:val="bottom"/>
          </w:tcPr>
          <w:p w:rsidR="00000000" w:rsidDel="00000000" w:rsidP="00000000" w:rsidRDefault="00000000" w:rsidRPr="00000000" w14:paraId="000003B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104.853 € </w:t>
            </w:r>
          </w:p>
        </w:tc>
        <w:tc>
          <w:tcPr>
            <w:shd w:fill="auto" w:val="clear"/>
            <w:vAlign w:val="bottom"/>
          </w:tcPr>
          <w:p w:rsidR="00000000" w:rsidDel="00000000" w:rsidP="00000000" w:rsidRDefault="00000000" w:rsidRPr="00000000" w14:paraId="000003B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103.374 € </w:t>
            </w:r>
          </w:p>
        </w:tc>
        <w:tc>
          <w:tcPr>
            <w:shd w:fill="auto" w:val="clear"/>
            <w:vAlign w:val="bottom"/>
          </w:tcPr>
          <w:p w:rsidR="00000000" w:rsidDel="00000000" w:rsidP="00000000" w:rsidRDefault="00000000" w:rsidRPr="00000000" w14:paraId="000003B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109.776 € </w:t>
            </w:r>
          </w:p>
        </w:tc>
      </w:tr>
      <w:tr>
        <w:trPr>
          <w:cantSplit w:val="0"/>
          <w:trHeight w:val="330" w:hRule="atLeast"/>
          <w:tblHeader w:val="0"/>
        </w:trPr>
        <w:tc>
          <w:tcPr>
            <w:shd w:fill="auto" w:val="clear"/>
            <w:vAlign w:val="bottom"/>
          </w:tcPr>
          <w:p w:rsidR="00000000" w:rsidDel="00000000" w:rsidP="00000000" w:rsidRDefault="00000000" w:rsidRPr="00000000" w14:paraId="000003B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Zaragoza </w:t>
            </w:r>
          </w:p>
        </w:tc>
        <w:tc>
          <w:tcPr>
            <w:shd w:fill="auto" w:val="clear"/>
            <w:vAlign w:val="bottom"/>
          </w:tcPr>
          <w:p w:rsidR="00000000" w:rsidDel="00000000" w:rsidP="00000000" w:rsidRDefault="00000000" w:rsidRPr="00000000" w14:paraId="000003B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232.118 € </w:t>
            </w:r>
          </w:p>
        </w:tc>
        <w:tc>
          <w:tcPr>
            <w:shd w:fill="auto" w:val="clear"/>
            <w:vAlign w:val="bottom"/>
          </w:tcPr>
          <w:p w:rsidR="00000000" w:rsidDel="00000000" w:rsidP="00000000" w:rsidRDefault="00000000" w:rsidRPr="00000000" w14:paraId="000003B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221.335 € </w:t>
            </w:r>
          </w:p>
        </w:tc>
        <w:tc>
          <w:tcPr>
            <w:shd w:fill="auto" w:val="clear"/>
            <w:vAlign w:val="bottom"/>
          </w:tcPr>
          <w:p w:rsidR="00000000" w:rsidDel="00000000" w:rsidP="00000000" w:rsidRDefault="00000000" w:rsidRPr="00000000" w14:paraId="000003B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132.724 € </w:t>
            </w:r>
          </w:p>
        </w:tc>
        <w:tc>
          <w:tcPr>
            <w:shd w:fill="auto" w:val="clear"/>
            <w:vAlign w:val="bottom"/>
          </w:tcPr>
          <w:p w:rsidR="00000000" w:rsidDel="00000000" w:rsidP="00000000" w:rsidRDefault="00000000" w:rsidRPr="00000000" w14:paraId="000003B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145.899 € </w:t>
            </w:r>
          </w:p>
        </w:tc>
        <w:tc>
          <w:tcPr>
            <w:shd w:fill="auto" w:val="clear"/>
            <w:vAlign w:val="bottom"/>
          </w:tcPr>
          <w:p w:rsidR="00000000" w:rsidDel="00000000" w:rsidP="00000000" w:rsidRDefault="00000000" w:rsidRPr="00000000" w14:paraId="000003B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163.263 € </w:t>
            </w:r>
          </w:p>
        </w:tc>
        <w:tc>
          <w:tcPr>
            <w:shd w:fill="auto" w:val="clear"/>
            <w:vAlign w:val="bottom"/>
          </w:tcPr>
          <w:p w:rsidR="00000000" w:rsidDel="00000000" w:rsidP="00000000" w:rsidRDefault="00000000" w:rsidRPr="00000000" w14:paraId="000003B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180.626 € </w:t>
            </w:r>
          </w:p>
        </w:tc>
      </w:tr>
    </w:tbl>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spacing w:line="276" w:lineRule="auto"/>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Evolución del precio medio de una vivienda de 80m2 por ciudades</w:t>
      </w:r>
    </w:p>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76" w:lineRule="auto"/>
        <w:jc w:val="both"/>
        <w:rPr>
          <w:rFonts w:ascii="Open Sans" w:cs="Open Sans" w:eastAsia="Open Sans" w:hAnsi="Open Sans"/>
        </w:rPr>
      </w:pPr>
      <w:r w:rsidDel="00000000" w:rsidR="00000000" w:rsidRPr="00000000">
        <w:rPr>
          <w:rtl w:val="0"/>
        </w:rPr>
      </w:r>
    </w:p>
    <w:tbl>
      <w:tblPr>
        <w:tblStyle w:val="Table5"/>
        <w:tblW w:w="107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417"/>
        <w:gridCol w:w="1559"/>
        <w:gridCol w:w="1560"/>
        <w:gridCol w:w="1559"/>
        <w:gridCol w:w="1559"/>
        <w:gridCol w:w="1559"/>
        <w:tblGridChange w:id="0">
          <w:tblGrid>
            <w:gridCol w:w="1555"/>
            <w:gridCol w:w="1417"/>
            <w:gridCol w:w="1559"/>
            <w:gridCol w:w="1560"/>
            <w:gridCol w:w="1559"/>
            <w:gridCol w:w="1559"/>
            <w:gridCol w:w="1559"/>
          </w:tblGrid>
        </w:tblGridChange>
      </w:tblGrid>
      <w:tr>
        <w:trPr>
          <w:cantSplit w:val="0"/>
          <w:trHeight w:val="624" w:hRule="atLeast"/>
          <w:tblHeader w:val="0"/>
        </w:trPr>
        <w:tc>
          <w:tcPr>
            <w:shd w:fill="d9e1f2" w:val="clear"/>
            <w:vAlign w:val="center"/>
          </w:tcPr>
          <w:p w:rsidR="00000000" w:rsidDel="00000000" w:rsidP="00000000" w:rsidRDefault="00000000" w:rsidRPr="00000000" w14:paraId="000003B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Municipio</w:t>
            </w:r>
          </w:p>
        </w:tc>
        <w:tc>
          <w:tcPr>
            <w:shd w:fill="d9e1f2" w:val="clear"/>
            <w:vAlign w:val="center"/>
          </w:tcPr>
          <w:p w:rsidR="00000000" w:rsidDel="00000000" w:rsidP="00000000" w:rsidRDefault="00000000" w:rsidRPr="00000000" w14:paraId="000003C0">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2005</w:t>
            </w:r>
          </w:p>
        </w:tc>
        <w:tc>
          <w:tcPr>
            <w:shd w:fill="d9e1f2" w:val="clear"/>
            <w:vAlign w:val="center"/>
          </w:tcPr>
          <w:p w:rsidR="00000000" w:rsidDel="00000000" w:rsidP="00000000" w:rsidRDefault="00000000" w:rsidRPr="00000000" w14:paraId="000003C1">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2010</w:t>
            </w:r>
          </w:p>
        </w:tc>
        <w:tc>
          <w:tcPr>
            <w:shd w:fill="d9e1f2" w:val="clear"/>
            <w:vAlign w:val="center"/>
          </w:tcPr>
          <w:p w:rsidR="00000000" w:rsidDel="00000000" w:rsidP="00000000" w:rsidRDefault="00000000" w:rsidRPr="00000000" w14:paraId="000003C2">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2015</w:t>
            </w:r>
          </w:p>
        </w:tc>
        <w:tc>
          <w:tcPr>
            <w:shd w:fill="d9e1f2" w:val="clear"/>
            <w:vAlign w:val="center"/>
          </w:tcPr>
          <w:p w:rsidR="00000000" w:rsidDel="00000000" w:rsidP="00000000" w:rsidRDefault="00000000" w:rsidRPr="00000000" w14:paraId="000003C3">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2020</w:t>
            </w:r>
          </w:p>
        </w:tc>
        <w:tc>
          <w:tcPr>
            <w:shd w:fill="d9e1f2" w:val="clear"/>
            <w:vAlign w:val="center"/>
          </w:tcPr>
          <w:p w:rsidR="00000000" w:rsidDel="00000000" w:rsidP="00000000" w:rsidRDefault="00000000" w:rsidRPr="00000000" w14:paraId="000003C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2024</w:t>
            </w:r>
          </w:p>
        </w:tc>
        <w:tc>
          <w:tcPr>
            <w:shd w:fill="d9e1f2" w:val="clear"/>
            <w:vAlign w:val="center"/>
          </w:tcPr>
          <w:p w:rsidR="00000000" w:rsidDel="00000000" w:rsidP="00000000" w:rsidRDefault="00000000" w:rsidRPr="00000000" w14:paraId="000003C5">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2025</w:t>
            </w:r>
          </w:p>
        </w:tc>
      </w:tr>
      <w:tr>
        <w:trPr>
          <w:cantSplit w:val="0"/>
          <w:trHeight w:val="330" w:hRule="atLeast"/>
          <w:tblHeader w:val="0"/>
        </w:trPr>
        <w:tc>
          <w:tcPr>
            <w:shd w:fill="auto" w:val="clear"/>
            <w:vAlign w:val="bottom"/>
          </w:tcPr>
          <w:p w:rsidR="00000000" w:rsidDel="00000000" w:rsidP="00000000" w:rsidRDefault="00000000" w:rsidRPr="00000000" w14:paraId="000003C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 Coruña </w:t>
            </w:r>
          </w:p>
        </w:tc>
        <w:tc>
          <w:tcPr>
            <w:shd w:fill="auto" w:val="clear"/>
            <w:vAlign w:val="bottom"/>
          </w:tcPr>
          <w:p w:rsidR="00000000" w:rsidDel="00000000" w:rsidP="00000000" w:rsidRDefault="00000000" w:rsidRPr="00000000" w14:paraId="000003C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161.362 € </w:t>
            </w:r>
          </w:p>
        </w:tc>
        <w:tc>
          <w:tcPr>
            <w:shd w:fill="auto" w:val="clear"/>
            <w:vAlign w:val="bottom"/>
          </w:tcPr>
          <w:p w:rsidR="00000000" w:rsidDel="00000000" w:rsidP="00000000" w:rsidRDefault="00000000" w:rsidRPr="00000000" w14:paraId="000003C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223.628 € </w:t>
            </w:r>
          </w:p>
        </w:tc>
        <w:tc>
          <w:tcPr>
            <w:shd w:fill="auto" w:val="clear"/>
            <w:vAlign w:val="bottom"/>
          </w:tcPr>
          <w:p w:rsidR="00000000" w:rsidDel="00000000" w:rsidP="00000000" w:rsidRDefault="00000000" w:rsidRPr="00000000" w14:paraId="000003C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168.187 € </w:t>
            </w:r>
          </w:p>
        </w:tc>
        <w:tc>
          <w:tcPr>
            <w:shd w:fill="auto" w:val="clear"/>
            <w:vAlign w:val="bottom"/>
          </w:tcPr>
          <w:p w:rsidR="00000000" w:rsidDel="00000000" w:rsidP="00000000" w:rsidRDefault="00000000" w:rsidRPr="00000000" w14:paraId="000003C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186.103 € </w:t>
            </w:r>
          </w:p>
        </w:tc>
        <w:tc>
          <w:tcPr>
            <w:shd w:fill="auto" w:val="clear"/>
            <w:vAlign w:val="bottom"/>
          </w:tcPr>
          <w:p w:rsidR="00000000" w:rsidDel="00000000" w:rsidP="00000000" w:rsidRDefault="00000000" w:rsidRPr="00000000" w14:paraId="000003C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218.973 € </w:t>
            </w:r>
          </w:p>
        </w:tc>
        <w:tc>
          <w:tcPr>
            <w:shd w:fill="auto" w:val="clear"/>
            <w:vAlign w:val="bottom"/>
          </w:tcPr>
          <w:p w:rsidR="00000000" w:rsidDel="00000000" w:rsidP="00000000" w:rsidRDefault="00000000" w:rsidRPr="00000000" w14:paraId="000003C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229.264 € </w:t>
            </w:r>
          </w:p>
        </w:tc>
      </w:tr>
      <w:tr>
        <w:trPr>
          <w:cantSplit w:val="0"/>
          <w:trHeight w:val="330" w:hRule="atLeast"/>
          <w:tblHeader w:val="0"/>
        </w:trPr>
        <w:tc>
          <w:tcPr>
            <w:shd w:fill="auto" w:val="clear"/>
            <w:vAlign w:val="bottom"/>
          </w:tcPr>
          <w:p w:rsidR="00000000" w:rsidDel="00000000" w:rsidP="00000000" w:rsidRDefault="00000000" w:rsidRPr="00000000" w14:paraId="000003C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Albacete </w:t>
            </w:r>
          </w:p>
        </w:tc>
        <w:tc>
          <w:tcPr>
            <w:shd w:fill="auto" w:val="clear"/>
            <w:vAlign w:val="bottom"/>
          </w:tcPr>
          <w:p w:rsidR="00000000" w:rsidDel="00000000" w:rsidP="00000000" w:rsidRDefault="00000000" w:rsidRPr="00000000" w14:paraId="000003C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C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D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111.824 € </w:t>
            </w:r>
          </w:p>
        </w:tc>
        <w:tc>
          <w:tcPr>
            <w:shd w:fill="auto" w:val="clear"/>
            <w:vAlign w:val="bottom"/>
          </w:tcPr>
          <w:p w:rsidR="00000000" w:rsidDel="00000000" w:rsidP="00000000" w:rsidRDefault="00000000" w:rsidRPr="00000000" w14:paraId="000003D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115.272 € </w:t>
            </w:r>
          </w:p>
        </w:tc>
        <w:tc>
          <w:tcPr>
            <w:shd w:fill="auto" w:val="clear"/>
            <w:vAlign w:val="bottom"/>
          </w:tcPr>
          <w:p w:rsidR="00000000" w:rsidDel="00000000" w:rsidP="00000000" w:rsidRDefault="00000000" w:rsidRPr="00000000" w14:paraId="000003D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133.998 € </w:t>
            </w:r>
          </w:p>
        </w:tc>
        <w:tc>
          <w:tcPr>
            <w:shd w:fill="auto" w:val="clear"/>
            <w:vAlign w:val="bottom"/>
          </w:tcPr>
          <w:p w:rsidR="00000000" w:rsidDel="00000000" w:rsidP="00000000" w:rsidRDefault="00000000" w:rsidRPr="00000000" w14:paraId="000003D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151.970 € </w:t>
            </w:r>
          </w:p>
        </w:tc>
      </w:tr>
      <w:tr>
        <w:trPr>
          <w:cantSplit w:val="0"/>
          <w:trHeight w:val="330" w:hRule="atLeast"/>
          <w:tblHeader w:val="0"/>
        </w:trPr>
        <w:tc>
          <w:tcPr>
            <w:shd w:fill="auto" w:val="clear"/>
            <w:vAlign w:val="bottom"/>
          </w:tcPr>
          <w:p w:rsidR="00000000" w:rsidDel="00000000" w:rsidP="00000000" w:rsidRDefault="00000000" w:rsidRPr="00000000" w14:paraId="000003D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Alicante / Alacant</w:t>
            </w:r>
          </w:p>
        </w:tc>
        <w:tc>
          <w:tcPr>
            <w:shd w:fill="auto" w:val="clear"/>
            <w:vAlign w:val="bottom"/>
          </w:tcPr>
          <w:p w:rsidR="00000000" w:rsidDel="00000000" w:rsidP="00000000" w:rsidRDefault="00000000" w:rsidRPr="00000000" w14:paraId="000003D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154.319 € </w:t>
            </w:r>
          </w:p>
        </w:tc>
        <w:tc>
          <w:tcPr>
            <w:shd w:fill="auto" w:val="clear"/>
            <w:vAlign w:val="bottom"/>
          </w:tcPr>
          <w:p w:rsidR="00000000" w:rsidDel="00000000" w:rsidP="00000000" w:rsidRDefault="00000000" w:rsidRPr="00000000" w14:paraId="000003D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156.793 € </w:t>
            </w:r>
          </w:p>
        </w:tc>
        <w:tc>
          <w:tcPr>
            <w:shd w:fill="auto" w:val="clear"/>
            <w:vAlign w:val="bottom"/>
          </w:tcPr>
          <w:p w:rsidR="00000000" w:rsidDel="00000000" w:rsidP="00000000" w:rsidRDefault="00000000" w:rsidRPr="00000000" w14:paraId="000003D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114.902 € </w:t>
            </w:r>
          </w:p>
        </w:tc>
        <w:tc>
          <w:tcPr>
            <w:shd w:fill="auto" w:val="clear"/>
            <w:vAlign w:val="bottom"/>
          </w:tcPr>
          <w:p w:rsidR="00000000" w:rsidDel="00000000" w:rsidP="00000000" w:rsidRDefault="00000000" w:rsidRPr="00000000" w14:paraId="000003D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136.094 € </w:t>
            </w:r>
          </w:p>
        </w:tc>
        <w:tc>
          <w:tcPr>
            <w:shd w:fill="auto" w:val="clear"/>
            <w:vAlign w:val="bottom"/>
          </w:tcPr>
          <w:p w:rsidR="00000000" w:rsidDel="00000000" w:rsidP="00000000" w:rsidRDefault="00000000" w:rsidRPr="00000000" w14:paraId="000003D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187.786 € </w:t>
            </w:r>
          </w:p>
        </w:tc>
        <w:tc>
          <w:tcPr>
            <w:shd w:fill="auto" w:val="clear"/>
            <w:vAlign w:val="bottom"/>
          </w:tcPr>
          <w:p w:rsidR="00000000" w:rsidDel="00000000" w:rsidP="00000000" w:rsidRDefault="00000000" w:rsidRPr="00000000" w14:paraId="000003D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219.629 € </w:t>
            </w:r>
          </w:p>
        </w:tc>
      </w:tr>
      <w:tr>
        <w:trPr>
          <w:cantSplit w:val="0"/>
          <w:trHeight w:val="330" w:hRule="atLeast"/>
          <w:tblHeader w:val="0"/>
        </w:trPr>
        <w:tc>
          <w:tcPr>
            <w:shd w:fill="auto" w:val="clear"/>
            <w:vAlign w:val="bottom"/>
          </w:tcPr>
          <w:p w:rsidR="00000000" w:rsidDel="00000000" w:rsidP="00000000" w:rsidRDefault="00000000" w:rsidRPr="00000000" w14:paraId="000003D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Almería </w:t>
            </w:r>
          </w:p>
        </w:tc>
        <w:tc>
          <w:tcPr>
            <w:shd w:fill="auto" w:val="clear"/>
            <w:vAlign w:val="bottom"/>
          </w:tcPr>
          <w:p w:rsidR="00000000" w:rsidDel="00000000" w:rsidP="00000000" w:rsidRDefault="00000000" w:rsidRPr="00000000" w14:paraId="000003D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D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169.518 € </w:t>
            </w:r>
          </w:p>
        </w:tc>
        <w:tc>
          <w:tcPr>
            <w:shd w:fill="auto" w:val="clear"/>
            <w:vAlign w:val="bottom"/>
          </w:tcPr>
          <w:p w:rsidR="00000000" w:rsidDel="00000000" w:rsidP="00000000" w:rsidRDefault="00000000" w:rsidRPr="00000000" w14:paraId="000003D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110.059 € </w:t>
            </w:r>
          </w:p>
        </w:tc>
        <w:tc>
          <w:tcPr>
            <w:shd w:fill="auto" w:val="clear"/>
            <w:vAlign w:val="bottom"/>
          </w:tcPr>
          <w:p w:rsidR="00000000" w:rsidDel="00000000" w:rsidP="00000000" w:rsidRDefault="00000000" w:rsidRPr="00000000" w14:paraId="000003D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105.981 € </w:t>
            </w:r>
          </w:p>
        </w:tc>
        <w:tc>
          <w:tcPr>
            <w:shd w:fill="auto" w:val="clear"/>
            <w:vAlign w:val="bottom"/>
          </w:tcPr>
          <w:p w:rsidR="00000000" w:rsidDel="00000000" w:rsidP="00000000" w:rsidRDefault="00000000" w:rsidRPr="00000000" w14:paraId="000003E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124.982 € </w:t>
            </w:r>
          </w:p>
        </w:tc>
        <w:tc>
          <w:tcPr>
            <w:shd w:fill="auto" w:val="clear"/>
            <w:vAlign w:val="bottom"/>
          </w:tcPr>
          <w:p w:rsidR="00000000" w:rsidDel="00000000" w:rsidP="00000000" w:rsidRDefault="00000000" w:rsidRPr="00000000" w14:paraId="000003E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133.278 € </w:t>
            </w:r>
          </w:p>
        </w:tc>
      </w:tr>
      <w:tr>
        <w:trPr>
          <w:cantSplit w:val="0"/>
          <w:trHeight w:val="330" w:hRule="atLeast"/>
          <w:tblHeader w:val="0"/>
        </w:trPr>
        <w:tc>
          <w:tcPr>
            <w:shd w:fill="auto" w:val="clear"/>
            <w:vAlign w:val="bottom"/>
          </w:tcPr>
          <w:p w:rsidR="00000000" w:rsidDel="00000000" w:rsidP="00000000" w:rsidRDefault="00000000" w:rsidRPr="00000000" w14:paraId="000003E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Ávila </w:t>
            </w:r>
          </w:p>
        </w:tc>
        <w:tc>
          <w:tcPr>
            <w:shd w:fill="auto" w:val="clear"/>
            <w:vAlign w:val="bottom"/>
          </w:tcPr>
          <w:p w:rsidR="00000000" w:rsidDel="00000000" w:rsidP="00000000" w:rsidRDefault="00000000" w:rsidRPr="00000000" w14:paraId="000003E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E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E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100.149 € </w:t>
            </w:r>
          </w:p>
        </w:tc>
        <w:tc>
          <w:tcPr>
            <w:shd w:fill="auto" w:val="clear"/>
            <w:vAlign w:val="bottom"/>
          </w:tcPr>
          <w:p w:rsidR="00000000" w:rsidDel="00000000" w:rsidP="00000000" w:rsidRDefault="00000000" w:rsidRPr="00000000" w14:paraId="000003E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95.622 € </w:t>
            </w:r>
          </w:p>
        </w:tc>
        <w:tc>
          <w:tcPr>
            <w:shd w:fill="auto" w:val="clear"/>
            <w:vAlign w:val="bottom"/>
          </w:tcPr>
          <w:p w:rsidR="00000000" w:rsidDel="00000000" w:rsidP="00000000" w:rsidRDefault="00000000" w:rsidRPr="00000000" w14:paraId="000003E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105.983 € </w:t>
            </w:r>
          </w:p>
        </w:tc>
        <w:tc>
          <w:tcPr>
            <w:shd w:fill="auto" w:val="clear"/>
            <w:vAlign w:val="bottom"/>
          </w:tcPr>
          <w:p w:rsidR="00000000" w:rsidDel="00000000" w:rsidP="00000000" w:rsidRDefault="00000000" w:rsidRPr="00000000" w14:paraId="000003E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108.401 € </w:t>
            </w:r>
          </w:p>
        </w:tc>
      </w:tr>
      <w:tr>
        <w:trPr>
          <w:cantSplit w:val="0"/>
          <w:trHeight w:val="330" w:hRule="atLeast"/>
          <w:tblHeader w:val="0"/>
        </w:trPr>
        <w:tc>
          <w:tcPr>
            <w:shd w:fill="auto" w:val="clear"/>
            <w:vAlign w:val="bottom"/>
          </w:tcPr>
          <w:p w:rsidR="00000000" w:rsidDel="00000000" w:rsidP="00000000" w:rsidRDefault="00000000" w:rsidRPr="00000000" w14:paraId="000003E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Badajoz </w:t>
            </w:r>
          </w:p>
        </w:tc>
        <w:tc>
          <w:tcPr>
            <w:shd w:fill="auto" w:val="clear"/>
            <w:vAlign w:val="bottom"/>
          </w:tcPr>
          <w:p w:rsidR="00000000" w:rsidDel="00000000" w:rsidP="00000000" w:rsidRDefault="00000000" w:rsidRPr="00000000" w14:paraId="000003E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E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3E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103.061 € </w:t>
            </w:r>
          </w:p>
        </w:tc>
        <w:tc>
          <w:tcPr>
            <w:shd w:fill="auto" w:val="clear"/>
            <w:vAlign w:val="bottom"/>
          </w:tcPr>
          <w:p w:rsidR="00000000" w:rsidDel="00000000" w:rsidP="00000000" w:rsidRDefault="00000000" w:rsidRPr="00000000" w14:paraId="000003E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104.941 € </w:t>
            </w:r>
          </w:p>
        </w:tc>
        <w:tc>
          <w:tcPr>
            <w:shd w:fill="auto" w:val="clear"/>
            <w:vAlign w:val="bottom"/>
          </w:tcPr>
          <w:p w:rsidR="00000000" w:rsidDel="00000000" w:rsidP="00000000" w:rsidRDefault="00000000" w:rsidRPr="00000000" w14:paraId="000003E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126.723 € </w:t>
            </w:r>
          </w:p>
        </w:tc>
        <w:tc>
          <w:tcPr>
            <w:shd w:fill="auto" w:val="clear"/>
            <w:vAlign w:val="bottom"/>
          </w:tcPr>
          <w:p w:rsidR="00000000" w:rsidDel="00000000" w:rsidP="00000000" w:rsidRDefault="00000000" w:rsidRPr="00000000" w14:paraId="000003E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137.530 € </w:t>
            </w:r>
          </w:p>
        </w:tc>
      </w:tr>
      <w:tr>
        <w:trPr>
          <w:cantSplit w:val="0"/>
          <w:trHeight w:val="330" w:hRule="atLeast"/>
          <w:tblHeader w:val="0"/>
        </w:trPr>
        <w:tc>
          <w:tcPr>
            <w:shd w:fill="auto" w:val="clear"/>
            <w:vAlign w:val="bottom"/>
          </w:tcPr>
          <w:p w:rsidR="00000000" w:rsidDel="00000000" w:rsidP="00000000" w:rsidRDefault="00000000" w:rsidRPr="00000000" w14:paraId="000003F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Barcelona </w:t>
            </w:r>
          </w:p>
        </w:tc>
        <w:tc>
          <w:tcPr>
            <w:shd w:fill="auto" w:val="clear"/>
            <w:vAlign w:val="bottom"/>
          </w:tcPr>
          <w:p w:rsidR="00000000" w:rsidDel="00000000" w:rsidP="00000000" w:rsidRDefault="00000000" w:rsidRPr="00000000" w14:paraId="000003F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326.398 €   </w:t>
            </w:r>
          </w:p>
        </w:tc>
        <w:tc>
          <w:tcPr>
            <w:shd w:fill="auto" w:val="clear"/>
            <w:vAlign w:val="bottom"/>
          </w:tcPr>
          <w:p w:rsidR="00000000" w:rsidDel="00000000" w:rsidP="00000000" w:rsidRDefault="00000000" w:rsidRPr="00000000" w14:paraId="000003F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335.742 € </w:t>
            </w:r>
          </w:p>
        </w:tc>
        <w:tc>
          <w:tcPr>
            <w:shd w:fill="auto" w:val="clear"/>
            <w:vAlign w:val="bottom"/>
          </w:tcPr>
          <w:p w:rsidR="00000000" w:rsidDel="00000000" w:rsidP="00000000" w:rsidRDefault="00000000" w:rsidRPr="00000000" w14:paraId="000003F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263.327 € </w:t>
            </w:r>
          </w:p>
        </w:tc>
        <w:tc>
          <w:tcPr>
            <w:shd w:fill="auto" w:val="clear"/>
            <w:vAlign w:val="bottom"/>
          </w:tcPr>
          <w:p w:rsidR="00000000" w:rsidDel="00000000" w:rsidP="00000000" w:rsidRDefault="00000000" w:rsidRPr="00000000" w14:paraId="000003F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366.858 € </w:t>
            </w:r>
          </w:p>
        </w:tc>
        <w:tc>
          <w:tcPr>
            <w:shd w:fill="auto" w:val="clear"/>
            <w:vAlign w:val="bottom"/>
          </w:tcPr>
          <w:p w:rsidR="00000000" w:rsidDel="00000000" w:rsidP="00000000" w:rsidRDefault="00000000" w:rsidRPr="00000000" w14:paraId="000003F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371.518 € </w:t>
            </w:r>
          </w:p>
        </w:tc>
        <w:tc>
          <w:tcPr>
            <w:shd w:fill="auto" w:val="clear"/>
            <w:vAlign w:val="bottom"/>
          </w:tcPr>
          <w:p w:rsidR="00000000" w:rsidDel="00000000" w:rsidP="00000000" w:rsidRDefault="00000000" w:rsidRPr="00000000" w14:paraId="000003F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400.804 € </w:t>
            </w:r>
          </w:p>
        </w:tc>
      </w:tr>
      <w:tr>
        <w:trPr>
          <w:cantSplit w:val="0"/>
          <w:trHeight w:val="330" w:hRule="atLeast"/>
          <w:tblHeader w:val="0"/>
        </w:trPr>
        <w:tc>
          <w:tcPr>
            <w:shd w:fill="auto" w:val="clear"/>
            <w:vAlign w:val="bottom"/>
          </w:tcPr>
          <w:p w:rsidR="00000000" w:rsidDel="00000000" w:rsidP="00000000" w:rsidRDefault="00000000" w:rsidRPr="00000000" w14:paraId="000003F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Bilbao</w:t>
            </w:r>
          </w:p>
        </w:tc>
        <w:tc>
          <w:tcPr>
            <w:shd w:fill="auto" w:val="clear"/>
            <w:vAlign w:val="bottom"/>
          </w:tcPr>
          <w:p w:rsidR="00000000" w:rsidDel="00000000" w:rsidP="00000000" w:rsidRDefault="00000000" w:rsidRPr="00000000" w14:paraId="000003F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303.178 € </w:t>
            </w:r>
          </w:p>
        </w:tc>
        <w:tc>
          <w:tcPr>
            <w:shd w:fill="auto" w:val="clear"/>
            <w:vAlign w:val="bottom"/>
          </w:tcPr>
          <w:p w:rsidR="00000000" w:rsidDel="00000000" w:rsidP="00000000" w:rsidRDefault="00000000" w:rsidRPr="00000000" w14:paraId="000003F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312.912 € </w:t>
            </w:r>
          </w:p>
        </w:tc>
        <w:tc>
          <w:tcPr>
            <w:shd w:fill="auto" w:val="clear"/>
            <w:vAlign w:val="bottom"/>
          </w:tcPr>
          <w:p w:rsidR="00000000" w:rsidDel="00000000" w:rsidP="00000000" w:rsidRDefault="00000000" w:rsidRPr="00000000" w14:paraId="000003F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242.183 € </w:t>
            </w:r>
          </w:p>
        </w:tc>
        <w:tc>
          <w:tcPr>
            <w:shd w:fill="auto" w:val="clear"/>
            <w:vAlign w:val="bottom"/>
          </w:tcPr>
          <w:p w:rsidR="00000000" w:rsidDel="00000000" w:rsidP="00000000" w:rsidRDefault="00000000" w:rsidRPr="00000000" w14:paraId="000003F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264.278 € </w:t>
            </w:r>
          </w:p>
        </w:tc>
        <w:tc>
          <w:tcPr>
            <w:shd w:fill="auto" w:val="clear"/>
            <w:vAlign w:val="bottom"/>
          </w:tcPr>
          <w:p w:rsidR="00000000" w:rsidDel="00000000" w:rsidP="00000000" w:rsidRDefault="00000000" w:rsidRPr="00000000" w14:paraId="000003F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291.221 € </w:t>
            </w:r>
          </w:p>
        </w:tc>
        <w:tc>
          <w:tcPr>
            <w:shd w:fill="auto" w:val="clear"/>
            <w:vAlign w:val="bottom"/>
          </w:tcPr>
          <w:p w:rsidR="00000000" w:rsidDel="00000000" w:rsidP="00000000" w:rsidRDefault="00000000" w:rsidRPr="00000000" w14:paraId="000003F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306.363 € </w:t>
            </w:r>
          </w:p>
        </w:tc>
      </w:tr>
      <w:tr>
        <w:trPr>
          <w:cantSplit w:val="0"/>
          <w:trHeight w:val="330" w:hRule="atLeast"/>
          <w:tblHeader w:val="0"/>
        </w:trPr>
        <w:tc>
          <w:tcPr>
            <w:shd w:fill="auto" w:val="clear"/>
            <w:vAlign w:val="bottom"/>
          </w:tcPr>
          <w:p w:rsidR="00000000" w:rsidDel="00000000" w:rsidP="00000000" w:rsidRDefault="00000000" w:rsidRPr="00000000" w14:paraId="000003F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Burgos </w:t>
            </w:r>
          </w:p>
        </w:tc>
        <w:tc>
          <w:tcPr>
            <w:shd w:fill="auto" w:val="clear"/>
            <w:vAlign w:val="bottom"/>
          </w:tcPr>
          <w:p w:rsidR="00000000" w:rsidDel="00000000" w:rsidP="00000000" w:rsidRDefault="00000000" w:rsidRPr="00000000" w14:paraId="000003F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0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197.077 € </w:t>
            </w:r>
          </w:p>
        </w:tc>
        <w:tc>
          <w:tcPr>
            <w:shd w:fill="auto" w:val="clear"/>
            <w:vAlign w:val="bottom"/>
          </w:tcPr>
          <w:p w:rsidR="00000000" w:rsidDel="00000000" w:rsidP="00000000" w:rsidRDefault="00000000" w:rsidRPr="00000000" w14:paraId="0000040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127.163 € </w:t>
            </w:r>
          </w:p>
        </w:tc>
        <w:tc>
          <w:tcPr>
            <w:shd w:fill="auto" w:val="clear"/>
            <w:vAlign w:val="bottom"/>
          </w:tcPr>
          <w:p w:rsidR="00000000" w:rsidDel="00000000" w:rsidP="00000000" w:rsidRDefault="00000000" w:rsidRPr="00000000" w14:paraId="0000040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140.145 € </w:t>
            </w:r>
          </w:p>
        </w:tc>
        <w:tc>
          <w:tcPr>
            <w:shd w:fill="auto" w:val="clear"/>
            <w:vAlign w:val="bottom"/>
          </w:tcPr>
          <w:p w:rsidR="00000000" w:rsidDel="00000000" w:rsidP="00000000" w:rsidRDefault="00000000" w:rsidRPr="00000000" w14:paraId="0000040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151.287 € </w:t>
            </w:r>
          </w:p>
        </w:tc>
        <w:tc>
          <w:tcPr>
            <w:shd w:fill="auto" w:val="clear"/>
            <w:vAlign w:val="bottom"/>
          </w:tcPr>
          <w:p w:rsidR="00000000" w:rsidDel="00000000" w:rsidP="00000000" w:rsidRDefault="00000000" w:rsidRPr="00000000" w14:paraId="0000040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178.474 € </w:t>
            </w:r>
          </w:p>
        </w:tc>
      </w:tr>
      <w:tr>
        <w:trPr>
          <w:cantSplit w:val="0"/>
          <w:trHeight w:val="330" w:hRule="atLeast"/>
          <w:tblHeader w:val="0"/>
        </w:trPr>
        <w:tc>
          <w:tcPr>
            <w:shd w:fill="auto" w:val="clear"/>
            <w:vAlign w:val="bottom"/>
          </w:tcPr>
          <w:p w:rsidR="00000000" w:rsidDel="00000000" w:rsidP="00000000" w:rsidRDefault="00000000" w:rsidRPr="00000000" w14:paraId="0000040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Cáceres </w:t>
            </w:r>
          </w:p>
        </w:tc>
        <w:tc>
          <w:tcPr>
            <w:shd w:fill="auto" w:val="clear"/>
            <w:vAlign w:val="bottom"/>
          </w:tcPr>
          <w:p w:rsidR="00000000" w:rsidDel="00000000" w:rsidP="00000000" w:rsidRDefault="00000000" w:rsidRPr="00000000" w14:paraId="0000040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0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148.149 € </w:t>
            </w:r>
          </w:p>
        </w:tc>
        <w:tc>
          <w:tcPr>
            <w:shd w:fill="auto" w:val="clear"/>
            <w:vAlign w:val="bottom"/>
          </w:tcPr>
          <w:p w:rsidR="00000000" w:rsidDel="00000000" w:rsidP="00000000" w:rsidRDefault="00000000" w:rsidRPr="00000000" w14:paraId="0000040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107.048 € </w:t>
            </w:r>
          </w:p>
        </w:tc>
        <w:tc>
          <w:tcPr>
            <w:shd w:fill="auto" w:val="clear"/>
            <w:vAlign w:val="bottom"/>
          </w:tcPr>
          <w:p w:rsidR="00000000" w:rsidDel="00000000" w:rsidP="00000000" w:rsidRDefault="00000000" w:rsidRPr="00000000" w14:paraId="0000040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102.635 € </w:t>
            </w:r>
          </w:p>
        </w:tc>
        <w:tc>
          <w:tcPr>
            <w:shd w:fill="auto" w:val="clear"/>
            <w:vAlign w:val="bottom"/>
          </w:tcPr>
          <w:p w:rsidR="00000000" w:rsidDel="00000000" w:rsidP="00000000" w:rsidRDefault="00000000" w:rsidRPr="00000000" w14:paraId="0000040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112.654 € </w:t>
            </w:r>
          </w:p>
        </w:tc>
        <w:tc>
          <w:tcPr>
            <w:shd w:fill="auto" w:val="clear"/>
            <w:vAlign w:val="bottom"/>
          </w:tcPr>
          <w:p w:rsidR="00000000" w:rsidDel="00000000" w:rsidP="00000000" w:rsidRDefault="00000000" w:rsidRPr="00000000" w14:paraId="0000040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122.761 € </w:t>
            </w:r>
          </w:p>
        </w:tc>
      </w:tr>
      <w:tr>
        <w:trPr>
          <w:cantSplit w:val="0"/>
          <w:trHeight w:val="330" w:hRule="atLeast"/>
          <w:tblHeader w:val="0"/>
        </w:trPr>
        <w:tc>
          <w:tcPr>
            <w:shd w:fill="auto" w:val="clear"/>
            <w:vAlign w:val="bottom"/>
          </w:tcPr>
          <w:p w:rsidR="00000000" w:rsidDel="00000000" w:rsidP="00000000" w:rsidRDefault="00000000" w:rsidRPr="00000000" w14:paraId="0000040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Cádiz </w:t>
            </w:r>
          </w:p>
        </w:tc>
        <w:tc>
          <w:tcPr>
            <w:shd w:fill="auto" w:val="clear"/>
            <w:vAlign w:val="bottom"/>
          </w:tcPr>
          <w:p w:rsidR="00000000" w:rsidDel="00000000" w:rsidP="00000000" w:rsidRDefault="00000000" w:rsidRPr="00000000" w14:paraId="0000040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0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228.762 € </w:t>
            </w:r>
          </w:p>
        </w:tc>
        <w:tc>
          <w:tcPr>
            <w:shd w:fill="auto" w:val="clear"/>
            <w:vAlign w:val="bottom"/>
          </w:tcPr>
          <w:p w:rsidR="00000000" w:rsidDel="00000000" w:rsidP="00000000" w:rsidRDefault="00000000" w:rsidRPr="00000000" w14:paraId="0000040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160.915 € </w:t>
            </w:r>
          </w:p>
        </w:tc>
        <w:tc>
          <w:tcPr>
            <w:shd w:fill="auto" w:val="clear"/>
            <w:vAlign w:val="bottom"/>
          </w:tcPr>
          <w:p w:rsidR="00000000" w:rsidDel="00000000" w:rsidP="00000000" w:rsidRDefault="00000000" w:rsidRPr="00000000" w14:paraId="0000041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198.121 € </w:t>
            </w:r>
          </w:p>
        </w:tc>
        <w:tc>
          <w:tcPr>
            <w:shd w:fill="auto" w:val="clear"/>
            <w:vAlign w:val="bottom"/>
          </w:tcPr>
          <w:p w:rsidR="00000000" w:rsidDel="00000000" w:rsidP="00000000" w:rsidRDefault="00000000" w:rsidRPr="00000000" w14:paraId="0000041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234.074 € </w:t>
            </w:r>
          </w:p>
        </w:tc>
        <w:tc>
          <w:tcPr>
            <w:shd w:fill="auto" w:val="clear"/>
            <w:vAlign w:val="bottom"/>
          </w:tcPr>
          <w:p w:rsidR="00000000" w:rsidDel="00000000" w:rsidP="00000000" w:rsidRDefault="00000000" w:rsidRPr="00000000" w14:paraId="0000041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254.708 € </w:t>
            </w:r>
          </w:p>
        </w:tc>
      </w:tr>
      <w:tr>
        <w:trPr>
          <w:cantSplit w:val="0"/>
          <w:trHeight w:val="330" w:hRule="atLeast"/>
          <w:tblHeader w:val="0"/>
        </w:trPr>
        <w:tc>
          <w:tcPr>
            <w:shd w:fill="auto" w:val="clear"/>
            <w:vAlign w:val="bottom"/>
          </w:tcPr>
          <w:p w:rsidR="00000000" w:rsidDel="00000000" w:rsidP="00000000" w:rsidRDefault="00000000" w:rsidRPr="00000000" w14:paraId="0000041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Castelló/n de la Plana</w:t>
            </w:r>
          </w:p>
        </w:tc>
        <w:tc>
          <w:tcPr>
            <w:shd w:fill="auto" w:val="clear"/>
            <w:vAlign w:val="bottom"/>
          </w:tcPr>
          <w:p w:rsidR="00000000" w:rsidDel="00000000" w:rsidP="00000000" w:rsidRDefault="00000000" w:rsidRPr="00000000" w14:paraId="0000041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149.807 € </w:t>
            </w:r>
          </w:p>
        </w:tc>
        <w:tc>
          <w:tcPr>
            <w:shd w:fill="auto" w:val="clear"/>
            <w:vAlign w:val="bottom"/>
          </w:tcPr>
          <w:p w:rsidR="00000000" w:rsidDel="00000000" w:rsidP="00000000" w:rsidRDefault="00000000" w:rsidRPr="00000000" w14:paraId="0000041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157.464 € </w:t>
            </w:r>
          </w:p>
        </w:tc>
        <w:tc>
          <w:tcPr>
            <w:shd w:fill="auto" w:val="clear"/>
            <w:vAlign w:val="bottom"/>
          </w:tcPr>
          <w:p w:rsidR="00000000" w:rsidDel="00000000" w:rsidP="00000000" w:rsidRDefault="00000000" w:rsidRPr="00000000" w14:paraId="0000041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94.226 € </w:t>
            </w:r>
          </w:p>
        </w:tc>
        <w:tc>
          <w:tcPr>
            <w:shd w:fill="auto" w:val="clear"/>
            <w:vAlign w:val="bottom"/>
          </w:tcPr>
          <w:p w:rsidR="00000000" w:rsidDel="00000000" w:rsidP="00000000" w:rsidRDefault="00000000" w:rsidRPr="00000000" w14:paraId="0000041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98.132 € </w:t>
            </w:r>
          </w:p>
        </w:tc>
        <w:tc>
          <w:tcPr>
            <w:shd w:fill="auto" w:val="clear"/>
            <w:vAlign w:val="bottom"/>
          </w:tcPr>
          <w:p w:rsidR="00000000" w:rsidDel="00000000" w:rsidP="00000000" w:rsidRDefault="00000000" w:rsidRPr="00000000" w14:paraId="0000041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114.283 € </w:t>
            </w:r>
          </w:p>
        </w:tc>
        <w:tc>
          <w:tcPr>
            <w:shd w:fill="auto" w:val="clear"/>
            <w:vAlign w:val="bottom"/>
          </w:tcPr>
          <w:p w:rsidR="00000000" w:rsidDel="00000000" w:rsidP="00000000" w:rsidRDefault="00000000" w:rsidRPr="00000000" w14:paraId="0000041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137.431 € </w:t>
            </w:r>
          </w:p>
        </w:tc>
      </w:tr>
      <w:tr>
        <w:trPr>
          <w:cantSplit w:val="0"/>
          <w:trHeight w:val="330" w:hRule="atLeast"/>
          <w:tblHeader w:val="0"/>
        </w:trPr>
        <w:tc>
          <w:tcPr>
            <w:shd w:fill="auto" w:val="clear"/>
            <w:vAlign w:val="bottom"/>
          </w:tcPr>
          <w:p w:rsidR="00000000" w:rsidDel="00000000" w:rsidP="00000000" w:rsidRDefault="00000000" w:rsidRPr="00000000" w14:paraId="0000041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Ciudad Real </w:t>
            </w:r>
          </w:p>
        </w:tc>
        <w:tc>
          <w:tcPr>
            <w:shd w:fill="auto" w:val="clear"/>
            <w:vAlign w:val="bottom"/>
          </w:tcPr>
          <w:p w:rsidR="00000000" w:rsidDel="00000000" w:rsidP="00000000" w:rsidRDefault="00000000" w:rsidRPr="00000000" w14:paraId="0000041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1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157.735 € </w:t>
            </w:r>
          </w:p>
        </w:tc>
        <w:tc>
          <w:tcPr>
            <w:shd w:fill="auto" w:val="clear"/>
            <w:vAlign w:val="bottom"/>
          </w:tcPr>
          <w:p w:rsidR="00000000" w:rsidDel="00000000" w:rsidP="00000000" w:rsidRDefault="00000000" w:rsidRPr="00000000" w14:paraId="0000041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98.176 € </w:t>
            </w:r>
          </w:p>
        </w:tc>
        <w:tc>
          <w:tcPr>
            <w:shd w:fill="auto" w:val="clear"/>
            <w:vAlign w:val="bottom"/>
          </w:tcPr>
          <w:p w:rsidR="00000000" w:rsidDel="00000000" w:rsidP="00000000" w:rsidRDefault="00000000" w:rsidRPr="00000000" w14:paraId="0000041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100.407 € </w:t>
            </w:r>
          </w:p>
        </w:tc>
        <w:tc>
          <w:tcPr>
            <w:shd w:fill="auto" w:val="clear"/>
            <w:vAlign w:val="bottom"/>
          </w:tcPr>
          <w:p w:rsidR="00000000" w:rsidDel="00000000" w:rsidP="00000000" w:rsidRDefault="00000000" w:rsidRPr="00000000" w14:paraId="0000041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110.933 € </w:t>
            </w:r>
          </w:p>
        </w:tc>
        <w:tc>
          <w:tcPr>
            <w:shd w:fill="auto" w:val="clear"/>
            <w:vAlign w:val="bottom"/>
          </w:tcPr>
          <w:p w:rsidR="00000000" w:rsidDel="00000000" w:rsidP="00000000" w:rsidRDefault="00000000" w:rsidRPr="00000000" w14:paraId="0000042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115.781 € </w:t>
            </w:r>
          </w:p>
        </w:tc>
      </w:tr>
      <w:tr>
        <w:trPr>
          <w:cantSplit w:val="0"/>
          <w:trHeight w:val="330" w:hRule="atLeast"/>
          <w:tblHeader w:val="0"/>
        </w:trPr>
        <w:tc>
          <w:tcPr>
            <w:shd w:fill="auto" w:val="clear"/>
            <w:vAlign w:val="bottom"/>
          </w:tcPr>
          <w:p w:rsidR="00000000" w:rsidDel="00000000" w:rsidP="00000000" w:rsidRDefault="00000000" w:rsidRPr="00000000" w14:paraId="0000042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Córdoba </w:t>
            </w:r>
          </w:p>
        </w:tc>
        <w:tc>
          <w:tcPr>
            <w:shd w:fill="auto" w:val="clear"/>
            <w:vAlign w:val="bottom"/>
          </w:tcPr>
          <w:p w:rsidR="00000000" w:rsidDel="00000000" w:rsidP="00000000" w:rsidRDefault="00000000" w:rsidRPr="00000000" w14:paraId="0000042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160.552 € </w:t>
            </w:r>
          </w:p>
        </w:tc>
        <w:tc>
          <w:tcPr>
            <w:shd w:fill="auto" w:val="clear"/>
            <w:vAlign w:val="bottom"/>
          </w:tcPr>
          <w:p w:rsidR="00000000" w:rsidDel="00000000" w:rsidP="00000000" w:rsidRDefault="00000000" w:rsidRPr="00000000" w14:paraId="0000042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177.490 € </w:t>
            </w:r>
          </w:p>
        </w:tc>
        <w:tc>
          <w:tcPr>
            <w:shd w:fill="auto" w:val="clear"/>
            <w:vAlign w:val="bottom"/>
          </w:tcPr>
          <w:p w:rsidR="00000000" w:rsidDel="00000000" w:rsidP="00000000" w:rsidRDefault="00000000" w:rsidRPr="00000000" w14:paraId="0000042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113.232 € </w:t>
            </w:r>
          </w:p>
        </w:tc>
        <w:tc>
          <w:tcPr>
            <w:shd w:fill="auto" w:val="clear"/>
            <w:vAlign w:val="bottom"/>
          </w:tcPr>
          <w:p w:rsidR="00000000" w:rsidDel="00000000" w:rsidP="00000000" w:rsidRDefault="00000000" w:rsidRPr="00000000" w14:paraId="0000042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120.818 € </w:t>
            </w:r>
          </w:p>
        </w:tc>
        <w:tc>
          <w:tcPr>
            <w:shd w:fill="auto" w:val="clear"/>
            <w:vAlign w:val="bottom"/>
          </w:tcPr>
          <w:p w:rsidR="00000000" w:rsidDel="00000000" w:rsidP="00000000" w:rsidRDefault="00000000" w:rsidRPr="00000000" w14:paraId="0000042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134.437 € </w:t>
            </w:r>
          </w:p>
        </w:tc>
        <w:tc>
          <w:tcPr>
            <w:shd w:fill="auto" w:val="clear"/>
            <w:vAlign w:val="bottom"/>
          </w:tcPr>
          <w:p w:rsidR="00000000" w:rsidDel="00000000" w:rsidP="00000000" w:rsidRDefault="00000000" w:rsidRPr="00000000" w14:paraId="0000042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141.899 € </w:t>
            </w:r>
          </w:p>
        </w:tc>
      </w:tr>
      <w:tr>
        <w:trPr>
          <w:cantSplit w:val="0"/>
          <w:trHeight w:val="330" w:hRule="atLeast"/>
          <w:tblHeader w:val="0"/>
        </w:trPr>
        <w:tc>
          <w:tcPr>
            <w:shd w:fill="auto" w:val="clear"/>
            <w:vAlign w:val="bottom"/>
          </w:tcPr>
          <w:p w:rsidR="00000000" w:rsidDel="00000000" w:rsidP="00000000" w:rsidRDefault="00000000" w:rsidRPr="00000000" w14:paraId="0000042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Cuenca </w:t>
            </w:r>
          </w:p>
        </w:tc>
        <w:tc>
          <w:tcPr>
            <w:shd w:fill="auto" w:val="clear"/>
            <w:vAlign w:val="bottom"/>
          </w:tcPr>
          <w:p w:rsidR="00000000" w:rsidDel="00000000" w:rsidP="00000000" w:rsidRDefault="00000000" w:rsidRPr="00000000" w14:paraId="0000042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2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2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95.317 € </w:t>
            </w:r>
          </w:p>
        </w:tc>
        <w:tc>
          <w:tcPr>
            <w:shd w:fill="auto" w:val="clear"/>
            <w:vAlign w:val="bottom"/>
          </w:tcPr>
          <w:p w:rsidR="00000000" w:rsidDel="00000000" w:rsidP="00000000" w:rsidRDefault="00000000" w:rsidRPr="00000000" w14:paraId="0000042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101.010 € </w:t>
            </w:r>
          </w:p>
        </w:tc>
        <w:tc>
          <w:tcPr>
            <w:shd w:fill="auto" w:val="clear"/>
            <w:vAlign w:val="bottom"/>
          </w:tcPr>
          <w:p w:rsidR="00000000" w:rsidDel="00000000" w:rsidP="00000000" w:rsidRDefault="00000000" w:rsidRPr="00000000" w14:paraId="0000042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118.553 € </w:t>
            </w:r>
          </w:p>
        </w:tc>
        <w:tc>
          <w:tcPr>
            <w:shd w:fill="auto" w:val="clear"/>
            <w:vAlign w:val="bottom"/>
          </w:tcPr>
          <w:p w:rsidR="00000000" w:rsidDel="00000000" w:rsidP="00000000" w:rsidRDefault="00000000" w:rsidRPr="00000000" w14:paraId="0000042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137.922 € </w:t>
            </w:r>
          </w:p>
        </w:tc>
      </w:tr>
      <w:tr>
        <w:trPr>
          <w:cantSplit w:val="0"/>
          <w:trHeight w:val="330" w:hRule="atLeast"/>
          <w:tblHeader w:val="0"/>
        </w:trPr>
        <w:tc>
          <w:tcPr>
            <w:shd w:fill="auto" w:val="clear"/>
            <w:vAlign w:val="bottom"/>
          </w:tcPr>
          <w:p w:rsidR="00000000" w:rsidDel="00000000" w:rsidP="00000000" w:rsidRDefault="00000000" w:rsidRPr="00000000" w14:paraId="0000042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Donostia - San Sebastián</w:t>
            </w:r>
          </w:p>
        </w:tc>
        <w:tc>
          <w:tcPr>
            <w:shd w:fill="auto" w:val="clear"/>
            <w:vAlign w:val="bottom"/>
          </w:tcPr>
          <w:p w:rsidR="00000000" w:rsidDel="00000000" w:rsidP="00000000" w:rsidRDefault="00000000" w:rsidRPr="00000000" w14:paraId="0000043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3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444.608 € </w:t>
            </w:r>
          </w:p>
        </w:tc>
        <w:tc>
          <w:tcPr>
            <w:shd w:fill="auto" w:val="clear"/>
            <w:vAlign w:val="bottom"/>
          </w:tcPr>
          <w:p w:rsidR="00000000" w:rsidDel="00000000" w:rsidP="00000000" w:rsidRDefault="00000000" w:rsidRPr="00000000" w14:paraId="0000043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322.353 € </w:t>
            </w:r>
          </w:p>
        </w:tc>
        <w:tc>
          <w:tcPr>
            <w:shd w:fill="auto" w:val="clear"/>
            <w:vAlign w:val="bottom"/>
          </w:tcPr>
          <w:p w:rsidR="00000000" w:rsidDel="00000000" w:rsidP="00000000" w:rsidRDefault="00000000" w:rsidRPr="00000000" w14:paraId="0000043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433.287 € </w:t>
            </w:r>
          </w:p>
        </w:tc>
        <w:tc>
          <w:tcPr>
            <w:shd w:fill="auto" w:val="clear"/>
            <w:vAlign w:val="bottom"/>
          </w:tcPr>
          <w:p w:rsidR="00000000" w:rsidDel="00000000" w:rsidP="00000000" w:rsidRDefault="00000000" w:rsidRPr="00000000" w14:paraId="0000043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501.019 € </w:t>
            </w:r>
          </w:p>
        </w:tc>
        <w:tc>
          <w:tcPr>
            <w:shd w:fill="auto" w:val="clear"/>
            <w:vAlign w:val="bottom"/>
          </w:tcPr>
          <w:p w:rsidR="00000000" w:rsidDel="00000000" w:rsidP="00000000" w:rsidRDefault="00000000" w:rsidRPr="00000000" w14:paraId="0000043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536.964 € </w:t>
            </w:r>
          </w:p>
        </w:tc>
      </w:tr>
      <w:tr>
        <w:trPr>
          <w:cantSplit w:val="0"/>
          <w:trHeight w:val="330" w:hRule="atLeast"/>
          <w:tblHeader w:val="0"/>
        </w:trPr>
        <w:tc>
          <w:tcPr>
            <w:shd w:fill="ffffff" w:val="clear"/>
            <w:vAlign w:val="bottom"/>
          </w:tcPr>
          <w:p w:rsidR="00000000" w:rsidDel="00000000" w:rsidP="00000000" w:rsidRDefault="00000000" w:rsidRPr="00000000" w14:paraId="0000043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Girona </w:t>
            </w:r>
          </w:p>
        </w:tc>
        <w:tc>
          <w:tcPr>
            <w:shd w:fill="auto" w:val="clear"/>
            <w:vAlign w:val="bottom"/>
          </w:tcPr>
          <w:p w:rsidR="00000000" w:rsidDel="00000000" w:rsidP="00000000" w:rsidRDefault="00000000" w:rsidRPr="00000000" w14:paraId="0000043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209.415 € </w:t>
            </w:r>
          </w:p>
        </w:tc>
        <w:tc>
          <w:tcPr>
            <w:shd w:fill="auto" w:val="clear"/>
            <w:vAlign w:val="bottom"/>
          </w:tcPr>
          <w:p w:rsidR="00000000" w:rsidDel="00000000" w:rsidP="00000000" w:rsidRDefault="00000000" w:rsidRPr="00000000" w14:paraId="0000043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234.179 € </w:t>
            </w:r>
          </w:p>
        </w:tc>
        <w:tc>
          <w:tcPr>
            <w:shd w:fill="auto" w:val="clear"/>
            <w:vAlign w:val="bottom"/>
          </w:tcPr>
          <w:p w:rsidR="00000000" w:rsidDel="00000000" w:rsidP="00000000" w:rsidRDefault="00000000" w:rsidRPr="00000000" w14:paraId="0000043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145.034 € </w:t>
            </w:r>
          </w:p>
        </w:tc>
        <w:tc>
          <w:tcPr>
            <w:shd w:fill="auto" w:val="clear"/>
            <w:vAlign w:val="bottom"/>
          </w:tcPr>
          <w:p w:rsidR="00000000" w:rsidDel="00000000" w:rsidP="00000000" w:rsidRDefault="00000000" w:rsidRPr="00000000" w14:paraId="0000043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191.702 € </w:t>
            </w:r>
          </w:p>
        </w:tc>
        <w:tc>
          <w:tcPr>
            <w:shd w:fill="auto" w:val="clear"/>
            <w:vAlign w:val="bottom"/>
          </w:tcPr>
          <w:p w:rsidR="00000000" w:rsidDel="00000000" w:rsidP="00000000" w:rsidRDefault="00000000" w:rsidRPr="00000000" w14:paraId="0000043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216.014 € </w:t>
            </w:r>
          </w:p>
        </w:tc>
        <w:tc>
          <w:tcPr>
            <w:shd w:fill="auto" w:val="clear"/>
            <w:vAlign w:val="bottom"/>
          </w:tcPr>
          <w:p w:rsidR="00000000" w:rsidDel="00000000" w:rsidP="00000000" w:rsidRDefault="00000000" w:rsidRPr="00000000" w14:paraId="0000043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219.584 € </w:t>
            </w:r>
          </w:p>
        </w:tc>
      </w:tr>
      <w:tr>
        <w:trPr>
          <w:cantSplit w:val="0"/>
          <w:trHeight w:val="330" w:hRule="atLeast"/>
          <w:tblHeader w:val="0"/>
        </w:trPr>
        <w:tc>
          <w:tcPr>
            <w:shd w:fill="auto" w:val="clear"/>
            <w:vAlign w:val="bottom"/>
          </w:tcPr>
          <w:p w:rsidR="00000000" w:rsidDel="00000000" w:rsidP="00000000" w:rsidRDefault="00000000" w:rsidRPr="00000000" w14:paraId="0000043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Granada </w:t>
            </w:r>
          </w:p>
        </w:tc>
        <w:tc>
          <w:tcPr>
            <w:shd w:fill="auto" w:val="clear"/>
            <w:vAlign w:val="bottom"/>
          </w:tcPr>
          <w:p w:rsidR="00000000" w:rsidDel="00000000" w:rsidP="00000000" w:rsidRDefault="00000000" w:rsidRPr="00000000" w14:paraId="0000043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180.751 € </w:t>
            </w:r>
          </w:p>
        </w:tc>
        <w:tc>
          <w:tcPr>
            <w:shd w:fill="auto" w:val="clear"/>
            <w:vAlign w:val="bottom"/>
          </w:tcPr>
          <w:p w:rsidR="00000000" w:rsidDel="00000000" w:rsidP="00000000" w:rsidRDefault="00000000" w:rsidRPr="00000000" w14:paraId="0000043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187.658 € </w:t>
            </w:r>
          </w:p>
        </w:tc>
        <w:tc>
          <w:tcPr>
            <w:shd w:fill="auto" w:val="clear"/>
            <w:vAlign w:val="bottom"/>
          </w:tcPr>
          <w:p w:rsidR="00000000" w:rsidDel="00000000" w:rsidP="00000000" w:rsidRDefault="00000000" w:rsidRPr="00000000" w14:paraId="0000044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130.469 € </w:t>
            </w:r>
          </w:p>
        </w:tc>
        <w:tc>
          <w:tcPr>
            <w:shd w:fill="auto" w:val="clear"/>
            <w:vAlign w:val="bottom"/>
          </w:tcPr>
          <w:p w:rsidR="00000000" w:rsidDel="00000000" w:rsidP="00000000" w:rsidRDefault="00000000" w:rsidRPr="00000000" w14:paraId="0000044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156.687 € </w:t>
            </w:r>
          </w:p>
        </w:tc>
        <w:tc>
          <w:tcPr>
            <w:shd w:fill="auto" w:val="clear"/>
            <w:vAlign w:val="bottom"/>
          </w:tcPr>
          <w:p w:rsidR="00000000" w:rsidDel="00000000" w:rsidP="00000000" w:rsidRDefault="00000000" w:rsidRPr="00000000" w14:paraId="0000044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192.632 € </w:t>
            </w:r>
          </w:p>
        </w:tc>
        <w:tc>
          <w:tcPr>
            <w:shd w:fill="auto" w:val="clear"/>
            <w:vAlign w:val="bottom"/>
          </w:tcPr>
          <w:p w:rsidR="00000000" w:rsidDel="00000000" w:rsidP="00000000" w:rsidRDefault="00000000" w:rsidRPr="00000000" w14:paraId="0000044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218.270 € </w:t>
            </w:r>
          </w:p>
        </w:tc>
      </w:tr>
      <w:tr>
        <w:trPr>
          <w:cantSplit w:val="0"/>
          <w:trHeight w:val="330" w:hRule="atLeast"/>
          <w:tblHeader w:val="0"/>
        </w:trPr>
        <w:tc>
          <w:tcPr>
            <w:shd w:fill="auto" w:val="clear"/>
            <w:vAlign w:val="bottom"/>
          </w:tcPr>
          <w:p w:rsidR="00000000" w:rsidDel="00000000" w:rsidP="00000000" w:rsidRDefault="00000000" w:rsidRPr="00000000" w14:paraId="0000044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Guadalajara </w:t>
            </w:r>
          </w:p>
        </w:tc>
        <w:tc>
          <w:tcPr>
            <w:shd w:fill="auto" w:val="clear"/>
            <w:vAlign w:val="bottom"/>
          </w:tcPr>
          <w:p w:rsidR="00000000" w:rsidDel="00000000" w:rsidP="00000000" w:rsidRDefault="00000000" w:rsidRPr="00000000" w14:paraId="0000044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195.885 € </w:t>
            </w:r>
          </w:p>
        </w:tc>
        <w:tc>
          <w:tcPr>
            <w:shd w:fill="auto" w:val="clear"/>
            <w:vAlign w:val="bottom"/>
          </w:tcPr>
          <w:p w:rsidR="00000000" w:rsidDel="00000000" w:rsidP="00000000" w:rsidRDefault="00000000" w:rsidRPr="00000000" w14:paraId="0000044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172.929 € </w:t>
            </w:r>
          </w:p>
        </w:tc>
        <w:tc>
          <w:tcPr>
            <w:shd w:fill="auto" w:val="clear"/>
            <w:vAlign w:val="bottom"/>
          </w:tcPr>
          <w:p w:rsidR="00000000" w:rsidDel="00000000" w:rsidP="00000000" w:rsidRDefault="00000000" w:rsidRPr="00000000" w14:paraId="0000044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106.450 € </w:t>
            </w:r>
          </w:p>
        </w:tc>
        <w:tc>
          <w:tcPr>
            <w:shd w:fill="auto" w:val="clear"/>
            <w:vAlign w:val="bottom"/>
          </w:tcPr>
          <w:p w:rsidR="00000000" w:rsidDel="00000000" w:rsidP="00000000" w:rsidRDefault="00000000" w:rsidRPr="00000000" w14:paraId="0000044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118.092 € </w:t>
            </w:r>
          </w:p>
        </w:tc>
        <w:tc>
          <w:tcPr>
            <w:shd w:fill="auto" w:val="clear"/>
            <w:vAlign w:val="bottom"/>
          </w:tcPr>
          <w:p w:rsidR="00000000" w:rsidDel="00000000" w:rsidP="00000000" w:rsidRDefault="00000000" w:rsidRPr="00000000" w14:paraId="0000044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145.975 € </w:t>
            </w:r>
          </w:p>
        </w:tc>
        <w:tc>
          <w:tcPr>
            <w:shd w:fill="auto" w:val="clear"/>
            <w:vAlign w:val="bottom"/>
          </w:tcPr>
          <w:p w:rsidR="00000000" w:rsidDel="00000000" w:rsidP="00000000" w:rsidRDefault="00000000" w:rsidRPr="00000000" w14:paraId="0000044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166.622 € </w:t>
            </w:r>
          </w:p>
        </w:tc>
      </w:tr>
      <w:tr>
        <w:trPr>
          <w:cantSplit w:val="0"/>
          <w:trHeight w:val="330" w:hRule="atLeast"/>
          <w:tblHeader w:val="0"/>
        </w:trPr>
        <w:tc>
          <w:tcPr>
            <w:shd w:fill="auto" w:val="clear"/>
            <w:vAlign w:val="bottom"/>
          </w:tcPr>
          <w:p w:rsidR="00000000" w:rsidDel="00000000" w:rsidP="00000000" w:rsidRDefault="00000000" w:rsidRPr="00000000" w14:paraId="0000044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Huelva </w:t>
            </w:r>
          </w:p>
        </w:tc>
        <w:tc>
          <w:tcPr>
            <w:shd w:fill="auto" w:val="clear"/>
            <w:vAlign w:val="bottom"/>
          </w:tcPr>
          <w:p w:rsidR="00000000" w:rsidDel="00000000" w:rsidP="00000000" w:rsidRDefault="00000000" w:rsidRPr="00000000" w14:paraId="0000044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145.153 € </w:t>
            </w:r>
          </w:p>
        </w:tc>
        <w:tc>
          <w:tcPr>
            <w:shd w:fill="auto" w:val="clear"/>
            <w:vAlign w:val="bottom"/>
          </w:tcPr>
          <w:p w:rsidR="00000000" w:rsidDel="00000000" w:rsidP="00000000" w:rsidRDefault="00000000" w:rsidRPr="00000000" w14:paraId="0000044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145.238 € </w:t>
            </w:r>
          </w:p>
        </w:tc>
        <w:tc>
          <w:tcPr>
            <w:shd w:fill="auto" w:val="clear"/>
            <w:vAlign w:val="bottom"/>
          </w:tcPr>
          <w:p w:rsidR="00000000" w:rsidDel="00000000" w:rsidP="00000000" w:rsidRDefault="00000000" w:rsidRPr="00000000" w14:paraId="0000044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99.009 € </w:t>
            </w:r>
          </w:p>
        </w:tc>
        <w:tc>
          <w:tcPr>
            <w:shd w:fill="auto" w:val="clear"/>
            <w:vAlign w:val="bottom"/>
          </w:tcPr>
          <w:p w:rsidR="00000000" w:rsidDel="00000000" w:rsidP="00000000" w:rsidRDefault="00000000" w:rsidRPr="00000000" w14:paraId="0000044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98.537 € </w:t>
            </w:r>
          </w:p>
        </w:tc>
        <w:tc>
          <w:tcPr>
            <w:shd w:fill="auto" w:val="clear"/>
            <w:vAlign w:val="bottom"/>
          </w:tcPr>
          <w:p w:rsidR="00000000" w:rsidDel="00000000" w:rsidP="00000000" w:rsidRDefault="00000000" w:rsidRPr="00000000" w14:paraId="0000045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114.333 € </w:t>
            </w:r>
          </w:p>
        </w:tc>
        <w:tc>
          <w:tcPr>
            <w:shd w:fill="auto" w:val="clear"/>
            <w:vAlign w:val="bottom"/>
          </w:tcPr>
          <w:p w:rsidR="00000000" w:rsidDel="00000000" w:rsidP="00000000" w:rsidRDefault="00000000" w:rsidRPr="00000000" w14:paraId="0000045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126.123 € </w:t>
            </w:r>
          </w:p>
        </w:tc>
      </w:tr>
      <w:tr>
        <w:trPr>
          <w:cantSplit w:val="0"/>
          <w:trHeight w:val="330" w:hRule="atLeast"/>
          <w:tblHeader w:val="0"/>
        </w:trPr>
        <w:tc>
          <w:tcPr>
            <w:shd w:fill="auto" w:val="clear"/>
            <w:vAlign w:val="bottom"/>
          </w:tcPr>
          <w:p w:rsidR="00000000" w:rsidDel="00000000" w:rsidP="00000000" w:rsidRDefault="00000000" w:rsidRPr="00000000" w14:paraId="0000045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Huesca </w:t>
            </w:r>
          </w:p>
        </w:tc>
        <w:tc>
          <w:tcPr>
            <w:shd w:fill="auto" w:val="clear"/>
            <w:vAlign w:val="bottom"/>
          </w:tcPr>
          <w:p w:rsidR="00000000" w:rsidDel="00000000" w:rsidP="00000000" w:rsidRDefault="00000000" w:rsidRPr="00000000" w14:paraId="0000045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5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172.005 € </w:t>
            </w:r>
          </w:p>
        </w:tc>
        <w:tc>
          <w:tcPr>
            <w:shd w:fill="auto" w:val="clear"/>
            <w:vAlign w:val="bottom"/>
          </w:tcPr>
          <w:p w:rsidR="00000000" w:rsidDel="00000000" w:rsidP="00000000" w:rsidRDefault="00000000" w:rsidRPr="00000000" w14:paraId="0000045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103.495 € </w:t>
            </w:r>
          </w:p>
        </w:tc>
        <w:tc>
          <w:tcPr>
            <w:shd w:fill="auto" w:val="clear"/>
            <w:vAlign w:val="bottom"/>
          </w:tcPr>
          <w:p w:rsidR="00000000" w:rsidDel="00000000" w:rsidP="00000000" w:rsidRDefault="00000000" w:rsidRPr="00000000" w14:paraId="0000045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122.746 € </w:t>
            </w:r>
          </w:p>
        </w:tc>
        <w:tc>
          <w:tcPr>
            <w:shd w:fill="auto" w:val="clear"/>
            <w:vAlign w:val="bottom"/>
          </w:tcPr>
          <w:p w:rsidR="00000000" w:rsidDel="00000000" w:rsidP="00000000" w:rsidRDefault="00000000" w:rsidRPr="00000000" w14:paraId="0000045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135.656 € </w:t>
            </w:r>
          </w:p>
        </w:tc>
        <w:tc>
          <w:tcPr>
            <w:shd w:fill="auto" w:val="clear"/>
            <w:vAlign w:val="bottom"/>
          </w:tcPr>
          <w:p w:rsidR="00000000" w:rsidDel="00000000" w:rsidP="00000000" w:rsidRDefault="00000000" w:rsidRPr="00000000" w14:paraId="0000045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126.249 € </w:t>
            </w:r>
          </w:p>
        </w:tc>
      </w:tr>
      <w:tr>
        <w:trPr>
          <w:cantSplit w:val="0"/>
          <w:trHeight w:val="330" w:hRule="atLeast"/>
          <w:tblHeader w:val="0"/>
        </w:trPr>
        <w:tc>
          <w:tcPr>
            <w:shd w:fill="auto" w:val="clear"/>
            <w:vAlign w:val="bottom"/>
          </w:tcPr>
          <w:p w:rsidR="00000000" w:rsidDel="00000000" w:rsidP="00000000" w:rsidRDefault="00000000" w:rsidRPr="00000000" w14:paraId="0000045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Jaén </w:t>
            </w:r>
          </w:p>
        </w:tc>
        <w:tc>
          <w:tcPr>
            <w:shd w:fill="auto" w:val="clear"/>
            <w:vAlign w:val="bottom"/>
          </w:tcPr>
          <w:p w:rsidR="00000000" w:rsidDel="00000000" w:rsidP="00000000" w:rsidRDefault="00000000" w:rsidRPr="00000000" w14:paraId="0000045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5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161.899 € </w:t>
            </w:r>
          </w:p>
        </w:tc>
        <w:tc>
          <w:tcPr>
            <w:shd w:fill="auto" w:val="clear"/>
            <w:vAlign w:val="bottom"/>
          </w:tcPr>
          <w:p w:rsidR="00000000" w:rsidDel="00000000" w:rsidP="00000000" w:rsidRDefault="00000000" w:rsidRPr="00000000" w14:paraId="0000045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111.837 € </w:t>
            </w:r>
          </w:p>
        </w:tc>
        <w:tc>
          <w:tcPr>
            <w:shd w:fill="auto" w:val="clear"/>
            <w:vAlign w:val="bottom"/>
          </w:tcPr>
          <w:p w:rsidR="00000000" w:rsidDel="00000000" w:rsidP="00000000" w:rsidRDefault="00000000" w:rsidRPr="00000000" w14:paraId="0000045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109.032 € </w:t>
            </w:r>
          </w:p>
        </w:tc>
        <w:tc>
          <w:tcPr>
            <w:shd w:fill="auto" w:val="clear"/>
            <w:vAlign w:val="bottom"/>
          </w:tcPr>
          <w:p w:rsidR="00000000" w:rsidDel="00000000" w:rsidP="00000000" w:rsidRDefault="00000000" w:rsidRPr="00000000" w14:paraId="0000045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108.603 € </w:t>
            </w:r>
          </w:p>
        </w:tc>
        <w:tc>
          <w:tcPr>
            <w:shd w:fill="auto" w:val="clear"/>
            <w:vAlign w:val="bottom"/>
          </w:tcPr>
          <w:p w:rsidR="00000000" w:rsidDel="00000000" w:rsidP="00000000" w:rsidRDefault="00000000" w:rsidRPr="00000000" w14:paraId="0000045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115.759 € </w:t>
            </w:r>
          </w:p>
        </w:tc>
      </w:tr>
      <w:tr>
        <w:trPr>
          <w:cantSplit w:val="0"/>
          <w:trHeight w:val="330" w:hRule="atLeast"/>
          <w:tblHeader w:val="0"/>
        </w:trPr>
        <w:tc>
          <w:tcPr>
            <w:shd w:fill="auto" w:val="clear"/>
            <w:vAlign w:val="bottom"/>
          </w:tcPr>
          <w:p w:rsidR="00000000" w:rsidDel="00000000" w:rsidP="00000000" w:rsidRDefault="00000000" w:rsidRPr="00000000" w14:paraId="0000046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Las Palmas de Gran Canaria</w:t>
            </w:r>
          </w:p>
        </w:tc>
        <w:tc>
          <w:tcPr>
            <w:shd w:fill="auto" w:val="clear"/>
            <w:vAlign w:val="bottom"/>
          </w:tcPr>
          <w:p w:rsidR="00000000" w:rsidDel="00000000" w:rsidP="00000000" w:rsidRDefault="00000000" w:rsidRPr="00000000" w14:paraId="0000046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6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162.446 € </w:t>
            </w:r>
          </w:p>
        </w:tc>
        <w:tc>
          <w:tcPr>
            <w:shd w:fill="auto" w:val="clear"/>
            <w:vAlign w:val="bottom"/>
          </w:tcPr>
          <w:p w:rsidR="00000000" w:rsidDel="00000000" w:rsidP="00000000" w:rsidRDefault="00000000" w:rsidRPr="00000000" w14:paraId="0000046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125.756 € </w:t>
            </w:r>
          </w:p>
        </w:tc>
        <w:tc>
          <w:tcPr>
            <w:shd w:fill="auto" w:val="clear"/>
            <w:vAlign w:val="bottom"/>
          </w:tcPr>
          <w:p w:rsidR="00000000" w:rsidDel="00000000" w:rsidP="00000000" w:rsidRDefault="00000000" w:rsidRPr="00000000" w14:paraId="0000046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164.090 € </w:t>
            </w:r>
          </w:p>
        </w:tc>
        <w:tc>
          <w:tcPr>
            <w:shd w:fill="auto" w:val="clear"/>
            <w:vAlign w:val="bottom"/>
          </w:tcPr>
          <w:p w:rsidR="00000000" w:rsidDel="00000000" w:rsidP="00000000" w:rsidRDefault="00000000" w:rsidRPr="00000000" w14:paraId="0000046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200.026 € </w:t>
            </w:r>
          </w:p>
        </w:tc>
        <w:tc>
          <w:tcPr>
            <w:shd w:fill="auto" w:val="clear"/>
            <w:vAlign w:val="bottom"/>
          </w:tcPr>
          <w:p w:rsidR="00000000" w:rsidDel="00000000" w:rsidP="00000000" w:rsidRDefault="00000000" w:rsidRPr="00000000" w14:paraId="0000046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218.302 € </w:t>
            </w:r>
          </w:p>
        </w:tc>
      </w:tr>
      <w:tr>
        <w:trPr>
          <w:cantSplit w:val="0"/>
          <w:trHeight w:val="330" w:hRule="atLeast"/>
          <w:tblHeader w:val="0"/>
        </w:trPr>
        <w:tc>
          <w:tcPr>
            <w:shd w:fill="auto" w:val="clear"/>
            <w:vAlign w:val="bottom"/>
          </w:tcPr>
          <w:p w:rsidR="00000000" w:rsidDel="00000000" w:rsidP="00000000" w:rsidRDefault="00000000" w:rsidRPr="00000000" w14:paraId="0000046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León </w:t>
            </w:r>
          </w:p>
        </w:tc>
        <w:tc>
          <w:tcPr>
            <w:shd w:fill="auto" w:val="clear"/>
            <w:vAlign w:val="bottom"/>
          </w:tcPr>
          <w:p w:rsidR="00000000" w:rsidDel="00000000" w:rsidP="00000000" w:rsidRDefault="00000000" w:rsidRPr="00000000" w14:paraId="0000046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6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162.128 € </w:t>
            </w:r>
          </w:p>
        </w:tc>
        <w:tc>
          <w:tcPr>
            <w:shd w:fill="auto" w:val="clear"/>
            <w:vAlign w:val="bottom"/>
          </w:tcPr>
          <w:p w:rsidR="00000000" w:rsidDel="00000000" w:rsidP="00000000" w:rsidRDefault="00000000" w:rsidRPr="00000000" w14:paraId="0000046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114.062 € </w:t>
            </w:r>
          </w:p>
        </w:tc>
        <w:tc>
          <w:tcPr>
            <w:shd w:fill="auto" w:val="clear"/>
            <w:vAlign w:val="bottom"/>
          </w:tcPr>
          <w:p w:rsidR="00000000" w:rsidDel="00000000" w:rsidP="00000000" w:rsidRDefault="00000000" w:rsidRPr="00000000" w14:paraId="0000046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119.393 € </w:t>
            </w:r>
          </w:p>
        </w:tc>
        <w:tc>
          <w:tcPr>
            <w:shd w:fill="auto" w:val="clear"/>
            <w:vAlign w:val="bottom"/>
          </w:tcPr>
          <w:p w:rsidR="00000000" w:rsidDel="00000000" w:rsidP="00000000" w:rsidRDefault="00000000" w:rsidRPr="00000000" w14:paraId="0000046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126.818 € </w:t>
            </w:r>
          </w:p>
        </w:tc>
        <w:tc>
          <w:tcPr>
            <w:shd w:fill="auto" w:val="clear"/>
            <w:vAlign w:val="bottom"/>
          </w:tcPr>
          <w:p w:rsidR="00000000" w:rsidDel="00000000" w:rsidP="00000000" w:rsidRDefault="00000000" w:rsidRPr="00000000" w14:paraId="0000046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148.868 € </w:t>
            </w:r>
          </w:p>
        </w:tc>
      </w:tr>
      <w:tr>
        <w:trPr>
          <w:cantSplit w:val="0"/>
          <w:trHeight w:val="330" w:hRule="atLeast"/>
          <w:tblHeader w:val="0"/>
        </w:trPr>
        <w:tc>
          <w:tcPr>
            <w:shd w:fill="auto" w:val="clear"/>
            <w:vAlign w:val="bottom"/>
          </w:tcPr>
          <w:p w:rsidR="00000000" w:rsidDel="00000000" w:rsidP="00000000" w:rsidRDefault="00000000" w:rsidRPr="00000000" w14:paraId="0000046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Lleida </w:t>
            </w:r>
          </w:p>
        </w:tc>
        <w:tc>
          <w:tcPr>
            <w:shd w:fill="auto" w:val="clear"/>
            <w:vAlign w:val="bottom"/>
          </w:tcPr>
          <w:p w:rsidR="00000000" w:rsidDel="00000000" w:rsidP="00000000" w:rsidRDefault="00000000" w:rsidRPr="00000000" w14:paraId="0000046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136.112 € </w:t>
            </w:r>
          </w:p>
        </w:tc>
        <w:tc>
          <w:tcPr>
            <w:shd w:fill="auto" w:val="clear"/>
            <w:vAlign w:val="bottom"/>
          </w:tcPr>
          <w:p w:rsidR="00000000" w:rsidDel="00000000" w:rsidP="00000000" w:rsidRDefault="00000000" w:rsidRPr="00000000" w14:paraId="0000047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148.725 € </w:t>
            </w:r>
          </w:p>
        </w:tc>
        <w:tc>
          <w:tcPr>
            <w:shd w:fill="auto" w:val="clear"/>
            <w:vAlign w:val="bottom"/>
          </w:tcPr>
          <w:p w:rsidR="00000000" w:rsidDel="00000000" w:rsidP="00000000" w:rsidRDefault="00000000" w:rsidRPr="00000000" w14:paraId="0000047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90.386 € </w:t>
            </w:r>
          </w:p>
        </w:tc>
        <w:tc>
          <w:tcPr>
            <w:shd w:fill="auto" w:val="clear"/>
            <w:vAlign w:val="bottom"/>
          </w:tcPr>
          <w:p w:rsidR="00000000" w:rsidDel="00000000" w:rsidP="00000000" w:rsidRDefault="00000000" w:rsidRPr="00000000" w14:paraId="0000047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99.046 € </w:t>
            </w:r>
          </w:p>
        </w:tc>
        <w:tc>
          <w:tcPr>
            <w:shd w:fill="auto" w:val="clear"/>
            <w:vAlign w:val="bottom"/>
          </w:tcPr>
          <w:p w:rsidR="00000000" w:rsidDel="00000000" w:rsidP="00000000" w:rsidRDefault="00000000" w:rsidRPr="00000000" w14:paraId="0000047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114.808 € </w:t>
            </w:r>
          </w:p>
        </w:tc>
        <w:tc>
          <w:tcPr>
            <w:shd w:fill="auto" w:val="clear"/>
            <w:vAlign w:val="bottom"/>
          </w:tcPr>
          <w:p w:rsidR="00000000" w:rsidDel="00000000" w:rsidP="00000000" w:rsidRDefault="00000000" w:rsidRPr="00000000" w14:paraId="0000047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126.907 € </w:t>
            </w:r>
          </w:p>
        </w:tc>
      </w:tr>
      <w:tr>
        <w:trPr>
          <w:cantSplit w:val="0"/>
          <w:trHeight w:val="330" w:hRule="atLeast"/>
          <w:tblHeader w:val="0"/>
        </w:trPr>
        <w:tc>
          <w:tcPr>
            <w:shd w:fill="auto" w:val="clear"/>
            <w:vAlign w:val="bottom"/>
          </w:tcPr>
          <w:p w:rsidR="00000000" w:rsidDel="00000000" w:rsidP="00000000" w:rsidRDefault="00000000" w:rsidRPr="00000000" w14:paraId="0000047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Logroño</w:t>
            </w:r>
          </w:p>
        </w:tc>
        <w:tc>
          <w:tcPr>
            <w:shd w:fill="auto" w:val="clear"/>
            <w:vAlign w:val="bottom"/>
          </w:tcPr>
          <w:p w:rsidR="00000000" w:rsidDel="00000000" w:rsidP="00000000" w:rsidRDefault="00000000" w:rsidRPr="00000000" w14:paraId="0000047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7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186.766 € </w:t>
            </w:r>
          </w:p>
        </w:tc>
        <w:tc>
          <w:tcPr>
            <w:shd w:fill="auto" w:val="clear"/>
            <w:vAlign w:val="bottom"/>
          </w:tcPr>
          <w:p w:rsidR="00000000" w:rsidDel="00000000" w:rsidP="00000000" w:rsidRDefault="00000000" w:rsidRPr="00000000" w14:paraId="0000047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118.389 € </w:t>
            </w:r>
          </w:p>
        </w:tc>
        <w:tc>
          <w:tcPr>
            <w:shd w:fill="auto" w:val="clear"/>
            <w:vAlign w:val="bottom"/>
          </w:tcPr>
          <w:p w:rsidR="00000000" w:rsidDel="00000000" w:rsidP="00000000" w:rsidRDefault="00000000" w:rsidRPr="00000000" w14:paraId="0000047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135.638 € </w:t>
            </w:r>
          </w:p>
        </w:tc>
        <w:tc>
          <w:tcPr>
            <w:shd w:fill="auto" w:val="clear"/>
            <w:vAlign w:val="bottom"/>
          </w:tcPr>
          <w:p w:rsidR="00000000" w:rsidDel="00000000" w:rsidP="00000000" w:rsidRDefault="00000000" w:rsidRPr="00000000" w14:paraId="0000047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157.057 € </w:t>
            </w:r>
          </w:p>
        </w:tc>
        <w:tc>
          <w:tcPr>
            <w:shd w:fill="auto" w:val="clear"/>
            <w:vAlign w:val="bottom"/>
          </w:tcPr>
          <w:p w:rsidR="00000000" w:rsidDel="00000000" w:rsidP="00000000" w:rsidRDefault="00000000" w:rsidRPr="00000000" w14:paraId="0000047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166.372 € </w:t>
            </w:r>
          </w:p>
        </w:tc>
      </w:tr>
      <w:tr>
        <w:trPr>
          <w:cantSplit w:val="0"/>
          <w:trHeight w:val="330" w:hRule="atLeast"/>
          <w:tblHeader w:val="0"/>
        </w:trPr>
        <w:tc>
          <w:tcPr>
            <w:shd w:fill="auto" w:val="clear"/>
            <w:vAlign w:val="bottom"/>
          </w:tcPr>
          <w:p w:rsidR="00000000" w:rsidDel="00000000" w:rsidP="00000000" w:rsidRDefault="00000000" w:rsidRPr="00000000" w14:paraId="0000047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Lugo </w:t>
            </w:r>
          </w:p>
        </w:tc>
        <w:tc>
          <w:tcPr>
            <w:shd w:fill="auto" w:val="clear"/>
            <w:vAlign w:val="bottom"/>
          </w:tcPr>
          <w:p w:rsidR="00000000" w:rsidDel="00000000" w:rsidP="00000000" w:rsidRDefault="00000000" w:rsidRPr="00000000" w14:paraId="0000047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7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 </w:t>
            </w:r>
          </w:p>
        </w:tc>
        <w:tc>
          <w:tcPr>
            <w:shd w:fill="auto" w:val="clear"/>
            <w:vAlign w:val="bottom"/>
          </w:tcPr>
          <w:p w:rsidR="00000000" w:rsidDel="00000000" w:rsidP="00000000" w:rsidRDefault="00000000" w:rsidRPr="00000000" w14:paraId="0000047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102.394 € </w:t>
            </w:r>
          </w:p>
        </w:tc>
        <w:tc>
          <w:tcPr>
            <w:shd w:fill="auto" w:val="clear"/>
            <w:vAlign w:val="bottom"/>
          </w:tcPr>
          <w:p w:rsidR="00000000" w:rsidDel="00000000" w:rsidP="00000000" w:rsidRDefault="00000000" w:rsidRPr="00000000" w14:paraId="0000048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105.138 € </w:t>
            </w:r>
          </w:p>
        </w:tc>
        <w:tc>
          <w:tcPr>
            <w:shd w:fill="auto" w:val="clear"/>
            <w:vAlign w:val="bottom"/>
          </w:tcPr>
          <w:p w:rsidR="00000000" w:rsidDel="00000000" w:rsidP="00000000" w:rsidRDefault="00000000" w:rsidRPr="00000000" w14:paraId="0000048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110.083 € </w:t>
            </w:r>
          </w:p>
        </w:tc>
        <w:tc>
          <w:tcPr>
            <w:shd w:fill="auto" w:val="clear"/>
            <w:vAlign w:val="bottom"/>
          </w:tcPr>
          <w:p w:rsidR="00000000" w:rsidDel="00000000" w:rsidP="00000000" w:rsidRDefault="00000000" w:rsidRPr="00000000" w14:paraId="0000048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130.218 € </w:t>
            </w:r>
          </w:p>
        </w:tc>
      </w:tr>
      <w:tr>
        <w:trPr>
          <w:cantSplit w:val="0"/>
          <w:trHeight w:val="330" w:hRule="atLeast"/>
          <w:tblHeader w:val="0"/>
        </w:trPr>
        <w:tc>
          <w:tcPr>
            <w:shd w:fill="auto" w:val="clear"/>
            <w:vAlign w:val="bottom"/>
          </w:tcPr>
          <w:p w:rsidR="00000000" w:rsidDel="00000000" w:rsidP="00000000" w:rsidRDefault="00000000" w:rsidRPr="00000000" w14:paraId="0000048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Madrid </w:t>
            </w:r>
          </w:p>
        </w:tc>
        <w:tc>
          <w:tcPr>
            <w:shd w:fill="auto" w:val="clear"/>
            <w:vAlign w:val="bottom"/>
          </w:tcPr>
          <w:p w:rsidR="00000000" w:rsidDel="00000000" w:rsidP="00000000" w:rsidRDefault="00000000" w:rsidRPr="00000000" w14:paraId="00000484">
            <w:pPr>
              <w:jc w:val="cente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319.504 € </w:t>
            </w:r>
          </w:p>
        </w:tc>
        <w:tc>
          <w:tcPr>
            <w:shd w:fill="auto" w:val="clear"/>
            <w:vAlign w:val="bottom"/>
          </w:tcPr>
          <w:p w:rsidR="00000000" w:rsidDel="00000000" w:rsidP="00000000" w:rsidRDefault="00000000" w:rsidRPr="00000000" w14:paraId="0000048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292.495 € </w:t>
            </w:r>
          </w:p>
        </w:tc>
        <w:tc>
          <w:tcPr>
            <w:shd w:fill="auto" w:val="clear"/>
            <w:vAlign w:val="bottom"/>
          </w:tcPr>
          <w:p w:rsidR="00000000" w:rsidDel="00000000" w:rsidP="00000000" w:rsidRDefault="00000000" w:rsidRPr="00000000" w14:paraId="0000048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214.076 € </w:t>
            </w:r>
          </w:p>
        </w:tc>
        <w:tc>
          <w:tcPr>
            <w:shd w:fill="auto" w:val="clear"/>
            <w:vAlign w:val="bottom"/>
          </w:tcPr>
          <w:p w:rsidR="00000000" w:rsidDel="00000000" w:rsidP="00000000" w:rsidRDefault="00000000" w:rsidRPr="00000000" w14:paraId="0000048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317.136 € </w:t>
            </w:r>
          </w:p>
        </w:tc>
        <w:tc>
          <w:tcPr>
            <w:shd w:fill="auto" w:val="clear"/>
            <w:vAlign w:val="bottom"/>
          </w:tcPr>
          <w:p w:rsidR="00000000" w:rsidDel="00000000" w:rsidP="00000000" w:rsidRDefault="00000000" w:rsidRPr="00000000" w14:paraId="0000048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411.680 € </w:t>
            </w:r>
          </w:p>
        </w:tc>
        <w:tc>
          <w:tcPr>
            <w:shd w:fill="auto" w:val="clear"/>
            <w:vAlign w:val="bottom"/>
          </w:tcPr>
          <w:p w:rsidR="00000000" w:rsidDel="00000000" w:rsidP="00000000" w:rsidRDefault="00000000" w:rsidRPr="00000000" w14:paraId="0000048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468.255 € </w:t>
            </w:r>
          </w:p>
        </w:tc>
      </w:tr>
      <w:tr>
        <w:trPr>
          <w:cantSplit w:val="0"/>
          <w:trHeight w:val="330" w:hRule="atLeast"/>
          <w:tblHeader w:val="0"/>
        </w:trPr>
        <w:tc>
          <w:tcPr>
            <w:shd w:fill="auto" w:val="clear"/>
            <w:vAlign w:val="bottom"/>
          </w:tcPr>
          <w:p w:rsidR="00000000" w:rsidDel="00000000" w:rsidP="00000000" w:rsidRDefault="00000000" w:rsidRPr="00000000" w14:paraId="0000048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Málaga </w:t>
            </w:r>
          </w:p>
        </w:tc>
        <w:tc>
          <w:tcPr>
            <w:shd w:fill="auto" w:val="clear"/>
            <w:vAlign w:val="bottom"/>
          </w:tcPr>
          <w:p w:rsidR="00000000" w:rsidDel="00000000" w:rsidP="00000000" w:rsidRDefault="00000000" w:rsidRPr="00000000" w14:paraId="0000048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181.400 € </w:t>
            </w:r>
          </w:p>
        </w:tc>
        <w:tc>
          <w:tcPr>
            <w:shd w:fill="auto" w:val="clear"/>
            <w:vAlign w:val="bottom"/>
          </w:tcPr>
          <w:p w:rsidR="00000000" w:rsidDel="00000000" w:rsidP="00000000" w:rsidRDefault="00000000" w:rsidRPr="00000000" w14:paraId="0000048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180.247 € </w:t>
            </w:r>
          </w:p>
        </w:tc>
        <w:tc>
          <w:tcPr>
            <w:shd w:fill="auto" w:val="clear"/>
            <w:vAlign w:val="bottom"/>
          </w:tcPr>
          <w:p w:rsidR="00000000" w:rsidDel="00000000" w:rsidP="00000000" w:rsidRDefault="00000000" w:rsidRPr="00000000" w14:paraId="0000048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124.606 € </w:t>
            </w:r>
          </w:p>
        </w:tc>
        <w:tc>
          <w:tcPr>
            <w:shd w:fill="auto" w:val="clear"/>
            <w:vAlign w:val="bottom"/>
          </w:tcPr>
          <w:p w:rsidR="00000000" w:rsidDel="00000000" w:rsidP="00000000" w:rsidRDefault="00000000" w:rsidRPr="00000000" w14:paraId="0000048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189.869 € </w:t>
            </w:r>
          </w:p>
        </w:tc>
        <w:tc>
          <w:tcPr>
            <w:shd w:fill="auto" w:val="clear"/>
            <w:vAlign w:val="bottom"/>
          </w:tcPr>
          <w:p w:rsidR="00000000" w:rsidDel="00000000" w:rsidP="00000000" w:rsidRDefault="00000000" w:rsidRPr="00000000" w14:paraId="0000048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294.636 € </w:t>
            </w:r>
          </w:p>
        </w:tc>
        <w:tc>
          <w:tcPr>
            <w:shd w:fill="auto" w:val="clear"/>
            <w:vAlign w:val="bottom"/>
          </w:tcPr>
          <w:p w:rsidR="00000000" w:rsidDel="00000000" w:rsidP="00000000" w:rsidRDefault="00000000" w:rsidRPr="00000000" w14:paraId="0000049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315.302 € </w:t>
            </w:r>
          </w:p>
        </w:tc>
      </w:tr>
      <w:tr>
        <w:trPr>
          <w:cantSplit w:val="0"/>
          <w:trHeight w:val="330" w:hRule="atLeast"/>
          <w:tblHeader w:val="0"/>
        </w:trPr>
        <w:tc>
          <w:tcPr>
            <w:shd w:fill="auto" w:val="clear"/>
            <w:vAlign w:val="bottom"/>
          </w:tcPr>
          <w:p w:rsidR="00000000" w:rsidDel="00000000" w:rsidP="00000000" w:rsidRDefault="00000000" w:rsidRPr="00000000" w14:paraId="0000049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Murcia </w:t>
            </w:r>
          </w:p>
        </w:tc>
        <w:tc>
          <w:tcPr>
            <w:shd w:fill="auto" w:val="clear"/>
            <w:vAlign w:val="bottom"/>
          </w:tcPr>
          <w:p w:rsidR="00000000" w:rsidDel="00000000" w:rsidP="00000000" w:rsidRDefault="00000000" w:rsidRPr="00000000" w14:paraId="0000049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168.086 € </w:t>
            </w:r>
          </w:p>
        </w:tc>
        <w:tc>
          <w:tcPr>
            <w:shd w:fill="auto" w:val="clear"/>
            <w:vAlign w:val="bottom"/>
          </w:tcPr>
          <w:p w:rsidR="00000000" w:rsidDel="00000000" w:rsidP="00000000" w:rsidRDefault="00000000" w:rsidRPr="00000000" w14:paraId="0000049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150.997 € </w:t>
            </w:r>
          </w:p>
        </w:tc>
        <w:tc>
          <w:tcPr>
            <w:shd w:fill="auto" w:val="clear"/>
            <w:vAlign w:val="bottom"/>
          </w:tcPr>
          <w:p w:rsidR="00000000" w:rsidDel="00000000" w:rsidP="00000000" w:rsidRDefault="00000000" w:rsidRPr="00000000" w14:paraId="0000049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104.387 € </w:t>
            </w:r>
          </w:p>
        </w:tc>
        <w:tc>
          <w:tcPr>
            <w:shd w:fill="auto" w:val="clear"/>
            <w:vAlign w:val="bottom"/>
          </w:tcPr>
          <w:p w:rsidR="00000000" w:rsidDel="00000000" w:rsidP="00000000" w:rsidRDefault="00000000" w:rsidRPr="00000000" w14:paraId="0000049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111.537 € </w:t>
            </w:r>
          </w:p>
        </w:tc>
        <w:tc>
          <w:tcPr>
            <w:shd w:fill="auto" w:val="clear"/>
            <w:vAlign w:val="bottom"/>
          </w:tcPr>
          <w:p w:rsidR="00000000" w:rsidDel="00000000" w:rsidP="00000000" w:rsidRDefault="00000000" w:rsidRPr="00000000" w14:paraId="0000049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130.045 € </w:t>
            </w:r>
          </w:p>
        </w:tc>
        <w:tc>
          <w:tcPr>
            <w:shd w:fill="auto" w:val="clear"/>
            <w:vAlign w:val="bottom"/>
          </w:tcPr>
          <w:p w:rsidR="00000000" w:rsidDel="00000000" w:rsidP="00000000" w:rsidRDefault="00000000" w:rsidRPr="00000000" w14:paraId="0000049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140.838 € </w:t>
            </w:r>
          </w:p>
        </w:tc>
      </w:tr>
      <w:tr>
        <w:trPr>
          <w:cantSplit w:val="0"/>
          <w:trHeight w:val="330" w:hRule="atLeast"/>
          <w:tblHeader w:val="0"/>
        </w:trPr>
        <w:tc>
          <w:tcPr>
            <w:shd w:fill="auto" w:val="clear"/>
            <w:vAlign w:val="bottom"/>
          </w:tcPr>
          <w:p w:rsidR="00000000" w:rsidDel="00000000" w:rsidP="00000000" w:rsidRDefault="00000000" w:rsidRPr="00000000" w14:paraId="0000049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Ourense </w:t>
            </w:r>
          </w:p>
        </w:tc>
        <w:tc>
          <w:tcPr>
            <w:shd w:fill="auto" w:val="clear"/>
            <w:vAlign w:val="bottom"/>
          </w:tcPr>
          <w:p w:rsidR="00000000" w:rsidDel="00000000" w:rsidP="00000000" w:rsidRDefault="00000000" w:rsidRPr="00000000" w14:paraId="0000049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9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159.332 € </w:t>
            </w:r>
          </w:p>
        </w:tc>
        <w:tc>
          <w:tcPr>
            <w:shd w:fill="auto" w:val="clear"/>
            <w:vAlign w:val="bottom"/>
          </w:tcPr>
          <w:p w:rsidR="00000000" w:rsidDel="00000000" w:rsidP="00000000" w:rsidRDefault="00000000" w:rsidRPr="00000000" w14:paraId="0000049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122.236 € </w:t>
            </w:r>
          </w:p>
        </w:tc>
        <w:tc>
          <w:tcPr>
            <w:shd w:fill="auto" w:val="clear"/>
            <w:vAlign w:val="bottom"/>
          </w:tcPr>
          <w:p w:rsidR="00000000" w:rsidDel="00000000" w:rsidP="00000000" w:rsidRDefault="00000000" w:rsidRPr="00000000" w14:paraId="0000049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119.883 € </w:t>
            </w:r>
          </w:p>
        </w:tc>
        <w:tc>
          <w:tcPr>
            <w:shd w:fill="auto" w:val="clear"/>
            <w:vAlign w:val="bottom"/>
          </w:tcPr>
          <w:p w:rsidR="00000000" w:rsidDel="00000000" w:rsidP="00000000" w:rsidRDefault="00000000" w:rsidRPr="00000000" w14:paraId="0000049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126.488 € </w:t>
            </w:r>
          </w:p>
        </w:tc>
        <w:tc>
          <w:tcPr>
            <w:shd w:fill="auto" w:val="clear"/>
            <w:vAlign w:val="bottom"/>
          </w:tcPr>
          <w:p w:rsidR="00000000" w:rsidDel="00000000" w:rsidP="00000000" w:rsidRDefault="00000000" w:rsidRPr="00000000" w14:paraId="0000049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137.737 € </w:t>
            </w:r>
          </w:p>
        </w:tc>
      </w:tr>
      <w:tr>
        <w:trPr>
          <w:cantSplit w:val="0"/>
          <w:trHeight w:val="330" w:hRule="atLeast"/>
          <w:tblHeader w:val="0"/>
        </w:trPr>
        <w:tc>
          <w:tcPr>
            <w:shd w:fill="auto" w:val="clear"/>
            <w:vAlign w:val="bottom"/>
          </w:tcPr>
          <w:p w:rsidR="00000000" w:rsidDel="00000000" w:rsidP="00000000" w:rsidRDefault="00000000" w:rsidRPr="00000000" w14:paraId="0000049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Oviedo</w:t>
            </w:r>
          </w:p>
        </w:tc>
        <w:tc>
          <w:tcPr>
            <w:shd w:fill="auto" w:val="clear"/>
            <w:vAlign w:val="bottom"/>
          </w:tcPr>
          <w:p w:rsidR="00000000" w:rsidDel="00000000" w:rsidP="00000000" w:rsidRDefault="00000000" w:rsidRPr="00000000" w14:paraId="000004A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169.074 € </w:t>
            </w:r>
          </w:p>
        </w:tc>
        <w:tc>
          <w:tcPr>
            <w:shd w:fill="auto" w:val="clear"/>
            <w:vAlign w:val="bottom"/>
          </w:tcPr>
          <w:p w:rsidR="00000000" w:rsidDel="00000000" w:rsidP="00000000" w:rsidRDefault="00000000" w:rsidRPr="00000000" w14:paraId="000004A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190.956 € </w:t>
            </w:r>
          </w:p>
        </w:tc>
        <w:tc>
          <w:tcPr>
            <w:shd w:fill="auto" w:val="clear"/>
            <w:vAlign w:val="bottom"/>
          </w:tcPr>
          <w:p w:rsidR="00000000" w:rsidDel="00000000" w:rsidP="00000000" w:rsidRDefault="00000000" w:rsidRPr="00000000" w14:paraId="000004A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134.381 € </w:t>
            </w:r>
          </w:p>
        </w:tc>
        <w:tc>
          <w:tcPr>
            <w:shd w:fill="auto" w:val="clear"/>
            <w:vAlign w:val="bottom"/>
          </w:tcPr>
          <w:p w:rsidR="00000000" w:rsidDel="00000000" w:rsidP="00000000" w:rsidRDefault="00000000" w:rsidRPr="00000000" w14:paraId="000004A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133.042 € </w:t>
            </w:r>
          </w:p>
        </w:tc>
        <w:tc>
          <w:tcPr>
            <w:shd w:fill="auto" w:val="clear"/>
            <w:vAlign w:val="bottom"/>
          </w:tcPr>
          <w:p w:rsidR="00000000" w:rsidDel="00000000" w:rsidP="00000000" w:rsidRDefault="00000000" w:rsidRPr="00000000" w14:paraId="000004A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152.491 € </w:t>
            </w:r>
          </w:p>
        </w:tc>
        <w:tc>
          <w:tcPr>
            <w:shd w:fill="auto" w:val="clear"/>
            <w:vAlign w:val="bottom"/>
          </w:tcPr>
          <w:p w:rsidR="00000000" w:rsidDel="00000000" w:rsidP="00000000" w:rsidRDefault="00000000" w:rsidRPr="00000000" w14:paraId="000004A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180.618 € </w:t>
            </w:r>
          </w:p>
        </w:tc>
      </w:tr>
      <w:tr>
        <w:trPr>
          <w:cantSplit w:val="0"/>
          <w:trHeight w:val="330" w:hRule="atLeast"/>
          <w:tblHeader w:val="0"/>
        </w:trPr>
        <w:tc>
          <w:tcPr>
            <w:shd w:fill="auto" w:val="clear"/>
            <w:vAlign w:val="bottom"/>
          </w:tcPr>
          <w:p w:rsidR="00000000" w:rsidDel="00000000" w:rsidP="00000000" w:rsidRDefault="00000000" w:rsidRPr="00000000" w14:paraId="000004A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Palencia </w:t>
            </w:r>
          </w:p>
        </w:tc>
        <w:tc>
          <w:tcPr>
            <w:shd w:fill="auto" w:val="clear"/>
            <w:vAlign w:val="bottom"/>
          </w:tcPr>
          <w:p w:rsidR="00000000" w:rsidDel="00000000" w:rsidP="00000000" w:rsidRDefault="00000000" w:rsidRPr="00000000" w14:paraId="000004A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A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163.830 € </w:t>
            </w:r>
          </w:p>
        </w:tc>
        <w:tc>
          <w:tcPr>
            <w:shd w:fill="auto" w:val="clear"/>
            <w:vAlign w:val="bottom"/>
          </w:tcPr>
          <w:p w:rsidR="00000000" w:rsidDel="00000000" w:rsidP="00000000" w:rsidRDefault="00000000" w:rsidRPr="00000000" w14:paraId="000004A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123.158 € </w:t>
            </w:r>
          </w:p>
        </w:tc>
        <w:tc>
          <w:tcPr>
            <w:shd w:fill="auto" w:val="clear"/>
            <w:vAlign w:val="bottom"/>
          </w:tcPr>
          <w:p w:rsidR="00000000" w:rsidDel="00000000" w:rsidP="00000000" w:rsidRDefault="00000000" w:rsidRPr="00000000" w14:paraId="000004A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118.856 € </w:t>
            </w:r>
          </w:p>
        </w:tc>
        <w:tc>
          <w:tcPr>
            <w:shd w:fill="auto" w:val="clear"/>
            <w:vAlign w:val="bottom"/>
          </w:tcPr>
          <w:p w:rsidR="00000000" w:rsidDel="00000000" w:rsidP="00000000" w:rsidRDefault="00000000" w:rsidRPr="00000000" w14:paraId="000004A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118.423 € </w:t>
            </w:r>
          </w:p>
        </w:tc>
        <w:tc>
          <w:tcPr>
            <w:shd w:fill="auto" w:val="clear"/>
            <w:vAlign w:val="bottom"/>
          </w:tcPr>
          <w:p w:rsidR="00000000" w:rsidDel="00000000" w:rsidP="00000000" w:rsidRDefault="00000000" w:rsidRPr="00000000" w14:paraId="000004A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132.168 € </w:t>
            </w:r>
          </w:p>
        </w:tc>
      </w:tr>
      <w:tr>
        <w:trPr>
          <w:cantSplit w:val="0"/>
          <w:trHeight w:val="330" w:hRule="atLeast"/>
          <w:tblHeader w:val="0"/>
        </w:trPr>
        <w:tc>
          <w:tcPr>
            <w:shd w:fill="auto" w:val="clear"/>
            <w:vAlign w:val="bottom"/>
          </w:tcPr>
          <w:p w:rsidR="00000000" w:rsidDel="00000000" w:rsidP="00000000" w:rsidRDefault="00000000" w:rsidRPr="00000000" w14:paraId="000004A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Palma de Mallorca</w:t>
            </w:r>
          </w:p>
        </w:tc>
        <w:tc>
          <w:tcPr>
            <w:shd w:fill="auto" w:val="clear"/>
            <w:vAlign w:val="bottom"/>
          </w:tcPr>
          <w:p w:rsidR="00000000" w:rsidDel="00000000" w:rsidP="00000000" w:rsidRDefault="00000000" w:rsidRPr="00000000" w14:paraId="000004A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168.151 € </w:t>
            </w:r>
          </w:p>
        </w:tc>
        <w:tc>
          <w:tcPr>
            <w:shd w:fill="auto" w:val="clear"/>
            <w:vAlign w:val="bottom"/>
          </w:tcPr>
          <w:p w:rsidR="00000000" w:rsidDel="00000000" w:rsidP="00000000" w:rsidRDefault="00000000" w:rsidRPr="00000000" w14:paraId="000004A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184.090 € </w:t>
            </w:r>
          </w:p>
        </w:tc>
        <w:tc>
          <w:tcPr>
            <w:shd w:fill="auto" w:val="clear"/>
            <w:vAlign w:val="bottom"/>
          </w:tcPr>
          <w:p w:rsidR="00000000" w:rsidDel="00000000" w:rsidP="00000000" w:rsidRDefault="00000000" w:rsidRPr="00000000" w14:paraId="000004B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145.740 € </w:t>
            </w:r>
          </w:p>
        </w:tc>
        <w:tc>
          <w:tcPr>
            <w:shd w:fill="auto" w:val="clear"/>
            <w:vAlign w:val="bottom"/>
          </w:tcPr>
          <w:p w:rsidR="00000000" w:rsidDel="00000000" w:rsidP="00000000" w:rsidRDefault="00000000" w:rsidRPr="00000000" w14:paraId="000004B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241.768 € </w:t>
            </w:r>
          </w:p>
        </w:tc>
        <w:tc>
          <w:tcPr>
            <w:shd w:fill="auto" w:val="clear"/>
            <w:vAlign w:val="bottom"/>
          </w:tcPr>
          <w:p w:rsidR="00000000" w:rsidDel="00000000" w:rsidP="00000000" w:rsidRDefault="00000000" w:rsidRPr="00000000" w14:paraId="000004B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331.792 € </w:t>
            </w:r>
          </w:p>
        </w:tc>
        <w:tc>
          <w:tcPr>
            <w:shd w:fill="auto" w:val="clear"/>
            <w:vAlign w:val="bottom"/>
          </w:tcPr>
          <w:p w:rsidR="00000000" w:rsidDel="00000000" w:rsidP="00000000" w:rsidRDefault="00000000" w:rsidRPr="00000000" w14:paraId="000004B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397.702 € </w:t>
            </w:r>
          </w:p>
        </w:tc>
      </w:tr>
      <w:tr>
        <w:trPr>
          <w:cantSplit w:val="0"/>
          <w:trHeight w:val="330" w:hRule="atLeast"/>
          <w:tblHeader w:val="0"/>
        </w:trPr>
        <w:tc>
          <w:tcPr>
            <w:shd w:fill="auto" w:val="clear"/>
            <w:vAlign w:val="bottom"/>
          </w:tcPr>
          <w:p w:rsidR="00000000" w:rsidDel="00000000" w:rsidP="00000000" w:rsidRDefault="00000000" w:rsidRPr="00000000" w14:paraId="000004B4">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Pamplona / Iruña</w:t>
            </w:r>
          </w:p>
        </w:tc>
        <w:tc>
          <w:tcPr>
            <w:shd w:fill="auto" w:val="clear"/>
            <w:vAlign w:val="bottom"/>
          </w:tcPr>
          <w:p w:rsidR="00000000" w:rsidDel="00000000" w:rsidP="00000000" w:rsidRDefault="00000000" w:rsidRPr="00000000" w14:paraId="000004B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B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248.208 € </w:t>
            </w:r>
          </w:p>
        </w:tc>
        <w:tc>
          <w:tcPr>
            <w:shd w:fill="auto" w:val="clear"/>
            <w:vAlign w:val="bottom"/>
          </w:tcPr>
          <w:p w:rsidR="00000000" w:rsidDel="00000000" w:rsidP="00000000" w:rsidRDefault="00000000" w:rsidRPr="00000000" w14:paraId="000004B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161.137 € </w:t>
            </w:r>
          </w:p>
        </w:tc>
        <w:tc>
          <w:tcPr>
            <w:shd w:fill="auto" w:val="clear"/>
            <w:vAlign w:val="bottom"/>
          </w:tcPr>
          <w:p w:rsidR="00000000" w:rsidDel="00000000" w:rsidP="00000000" w:rsidRDefault="00000000" w:rsidRPr="00000000" w14:paraId="000004B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192.897 € </w:t>
            </w:r>
          </w:p>
        </w:tc>
        <w:tc>
          <w:tcPr>
            <w:shd w:fill="auto" w:val="clear"/>
            <w:vAlign w:val="bottom"/>
          </w:tcPr>
          <w:p w:rsidR="00000000" w:rsidDel="00000000" w:rsidP="00000000" w:rsidRDefault="00000000" w:rsidRPr="00000000" w14:paraId="000004B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240.863 € </w:t>
            </w:r>
          </w:p>
        </w:tc>
        <w:tc>
          <w:tcPr>
            <w:shd w:fill="auto" w:val="clear"/>
            <w:vAlign w:val="bottom"/>
          </w:tcPr>
          <w:p w:rsidR="00000000" w:rsidDel="00000000" w:rsidP="00000000" w:rsidRDefault="00000000" w:rsidRPr="00000000" w14:paraId="000004B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243.694 € </w:t>
            </w:r>
          </w:p>
        </w:tc>
      </w:tr>
      <w:tr>
        <w:trPr>
          <w:cantSplit w:val="0"/>
          <w:trHeight w:val="330" w:hRule="atLeast"/>
          <w:tblHeader w:val="0"/>
        </w:trPr>
        <w:tc>
          <w:tcPr>
            <w:shd w:fill="auto" w:val="clear"/>
            <w:vAlign w:val="bottom"/>
          </w:tcPr>
          <w:p w:rsidR="00000000" w:rsidDel="00000000" w:rsidP="00000000" w:rsidRDefault="00000000" w:rsidRPr="00000000" w14:paraId="000004BB">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Pontevedra </w:t>
            </w:r>
          </w:p>
        </w:tc>
        <w:tc>
          <w:tcPr>
            <w:shd w:fill="auto" w:val="clear"/>
            <w:vAlign w:val="bottom"/>
          </w:tcPr>
          <w:p w:rsidR="00000000" w:rsidDel="00000000" w:rsidP="00000000" w:rsidRDefault="00000000" w:rsidRPr="00000000" w14:paraId="000004B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B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162.761 € </w:t>
            </w:r>
          </w:p>
        </w:tc>
        <w:tc>
          <w:tcPr>
            <w:shd w:fill="auto" w:val="clear"/>
            <w:vAlign w:val="bottom"/>
          </w:tcPr>
          <w:p w:rsidR="00000000" w:rsidDel="00000000" w:rsidP="00000000" w:rsidRDefault="00000000" w:rsidRPr="00000000" w14:paraId="000004B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119.248 € </w:t>
            </w:r>
          </w:p>
        </w:tc>
        <w:tc>
          <w:tcPr>
            <w:shd w:fill="auto" w:val="clear"/>
            <w:vAlign w:val="bottom"/>
          </w:tcPr>
          <w:p w:rsidR="00000000" w:rsidDel="00000000" w:rsidP="00000000" w:rsidRDefault="00000000" w:rsidRPr="00000000" w14:paraId="000004B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139.063 € </w:t>
            </w:r>
          </w:p>
        </w:tc>
        <w:tc>
          <w:tcPr>
            <w:shd w:fill="auto" w:val="clear"/>
            <w:vAlign w:val="bottom"/>
          </w:tcPr>
          <w:p w:rsidR="00000000" w:rsidDel="00000000" w:rsidP="00000000" w:rsidRDefault="00000000" w:rsidRPr="00000000" w14:paraId="000004C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176.799 € </w:t>
            </w:r>
          </w:p>
        </w:tc>
        <w:tc>
          <w:tcPr>
            <w:shd w:fill="auto" w:val="clear"/>
            <w:vAlign w:val="bottom"/>
          </w:tcPr>
          <w:p w:rsidR="00000000" w:rsidDel="00000000" w:rsidP="00000000" w:rsidRDefault="00000000" w:rsidRPr="00000000" w14:paraId="000004C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189.807 € </w:t>
            </w:r>
          </w:p>
        </w:tc>
      </w:tr>
      <w:tr>
        <w:trPr>
          <w:cantSplit w:val="0"/>
          <w:trHeight w:val="330" w:hRule="atLeast"/>
          <w:tblHeader w:val="0"/>
        </w:trPr>
        <w:tc>
          <w:tcPr>
            <w:shd w:fill="auto" w:val="clear"/>
            <w:vAlign w:val="bottom"/>
          </w:tcPr>
          <w:p w:rsidR="00000000" w:rsidDel="00000000" w:rsidP="00000000" w:rsidRDefault="00000000" w:rsidRPr="00000000" w14:paraId="000004C2">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Salamanca </w:t>
            </w:r>
          </w:p>
        </w:tc>
        <w:tc>
          <w:tcPr>
            <w:shd w:fill="auto" w:val="clear"/>
            <w:vAlign w:val="bottom"/>
          </w:tcPr>
          <w:p w:rsidR="00000000" w:rsidDel="00000000" w:rsidP="00000000" w:rsidRDefault="00000000" w:rsidRPr="00000000" w14:paraId="000004C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C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215.223 € </w:t>
            </w:r>
          </w:p>
        </w:tc>
        <w:tc>
          <w:tcPr>
            <w:shd w:fill="auto" w:val="clear"/>
            <w:vAlign w:val="bottom"/>
          </w:tcPr>
          <w:p w:rsidR="00000000" w:rsidDel="00000000" w:rsidP="00000000" w:rsidRDefault="00000000" w:rsidRPr="00000000" w14:paraId="000004C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152.603 € </w:t>
            </w:r>
          </w:p>
        </w:tc>
        <w:tc>
          <w:tcPr>
            <w:shd w:fill="auto" w:val="clear"/>
            <w:vAlign w:val="bottom"/>
          </w:tcPr>
          <w:p w:rsidR="00000000" w:rsidDel="00000000" w:rsidP="00000000" w:rsidRDefault="00000000" w:rsidRPr="00000000" w14:paraId="000004C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155.292 € </w:t>
            </w:r>
          </w:p>
        </w:tc>
        <w:tc>
          <w:tcPr>
            <w:shd w:fill="auto" w:val="clear"/>
            <w:vAlign w:val="bottom"/>
          </w:tcPr>
          <w:p w:rsidR="00000000" w:rsidDel="00000000" w:rsidP="00000000" w:rsidRDefault="00000000" w:rsidRPr="00000000" w14:paraId="000004C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162.089 € </w:t>
            </w:r>
          </w:p>
        </w:tc>
        <w:tc>
          <w:tcPr>
            <w:shd w:fill="auto" w:val="clear"/>
            <w:vAlign w:val="bottom"/>
          </w:tcPr>
          <w:p w:rsidR="00000000" w:rsidDel="00000000" w:rsidP="00000000" w:rsidRDefault="00000000" w:rsidRPr="00000000" w14:paraId="000004C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183.556 € </w:t>
            </w:r>
          </w:p>
        </w:tc>
      </w:tr>
      <w:tr>
        <w:trPr>
          <w:cantSplit w:val="0"/>
          <w:trHeight w:val="330" w:hRule="atLeast"/>
          <w:tblHeader w:val="0"/>
        </w:trPr>
        <w:tc>
          <w:tcPr>
            <w:shd w:fill="auto" w:val="clear"/>
            <w:vAlign w:val="bottom"/>
          </w:tcPr>
          <w:p w:rsidR="00000000" w:rsidDel="00000000" w:rsidP="00000000" w:rsidRDefault="00000000" w:rsidRPr="00000000" w14:paraId="000004C9">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Santa Cruz de Tenerife </w:t>
            </w:r>
          </w:p>
        </w:tc>
        <w:tc>
          <w:tcPr>
            <w:shd w:fill="auto" w:val="clear"/>
            <w:vAlign w:val="bottom"/>
          </w:tcPr>
          <w:p w:rsidR="00000000" w:rsidDel="00000000" w:rsidP="00000000" w:rsidRDefault="00000000" w:rsidRPr="00000000" w14:paraId="000004C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134.290 € </w:t>
            </w:r>
          </w:p>
        </w:tc>
        <w:tc>
          <w:tcPr>
            <w:shd w:fill="auto" w:val="clear"/>
            <w:vAlign w:val="bottom"/>
          </w:tcPr>
          <w:p w:rsidR="00000000" w:rsidDel="00000000" w:rsidP="00000000" w:rsidRDefault="00000000" w:rsidRPr="00000000" w14:paraId="000004C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160.676 € </w:t>
            </w:r>
          </w:p>
        </w:tc>
        <w:tc>
          <w:tcPr>
            <w:shd w:fill="auto" w:val="clear"/>
            <w:vAlign w:val="bottom"/>
          </w:tcPr>
          <w:p w:rsidR="00000000" w:rsidDel="00000000" w:rsidP="00000000" w:rsidRDefault="00000000" w:rsidRPr="00000000" w14:paraId="000004C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113.580 € </w:t>
            </w:r>
          </w:p>
        </w:tc>
        <w:tc>
          <w:tcPr>
            <w:shd w:fill="auto" w:val="clear"/>
            <w:vAlign w:val="bottom"/>
          </w:tcPr>
          <w:p w:rsidR="00000000" w:rsidDel="00000000" w:rsidP="00000000" w:rsidRDefault="00000000" w:rsidRPr="00000000" w14:paraId="000004C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128.770 € </w:t>
            </w:r>
          </w:p>
        </w:tc>
        <w:tc>
          <w:tcPr>
            <w:shd w:fill="auto" w:val="clear"/>
            <w:vAlign w:val="bottom"/>
          </w:tcPr>
          <w:p w:rsidR="00000000" w:rsidDel="00000000" w:rsidP="00000000" w:rsidRDefault="00000000" w:rsidRPr="00000000" w14:paraId="000004C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186.833 € </w:t>
            </w:r>
          </w:p>
        </w:tc>
        <w:tc>
          <w:tcPr>
            <w:shd w:fill="auto" w:val="clear"/>
            <w:vAlign w:val="bottom"/>
          </w:tcPr>
          <w:p w:rsidR="00000000" w:rsidDel="00000000" w:rsidP="00000000" w:rsidRDefault="00000000" w:rsidRPr="00000000" w14:paraId="000004C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191.518 € </w:t>
            </w:r>
          </w:p>
        </w:tc>
      </w:tr>
      <w:tr>
        <w:trPr>
          <w:cantSplit w:val="0"/>
          <w:trHeight w:val="330" w:hRule="atLeast"/>
          <w:tblHeader w:val="0"/>
        </w:trPr>
        <w:tc>
          <w:tcPr>
            <w:shd w:fill="auto" w:val="clear"/>
            <w:vAlign w:val="bottom"/>
          </w:tcPr>
          <w:p w:rsidR="00000000" w:rsidDel="00000000" w:rsidP="00000000" w:rsidRDefault="00000000" w:rsidRPr="00000000" w14:paraId="000004D0">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Santander</w:t>
            </w:r>
          </w:p>
        </w:tc>
        <w:tc>
          <w:tcPr>
            <w:shd w:fill="auto" w:val="clear"/>
            <w:vAlign w:val="bottom"/>
          </w:tcPr>
          <w:p w:rsidR="00000000" w:rsidDel="00000000" w:rsidP="00000000" w:rsidRDefault="00000000" w:rsidRPr="00000000" w14:paraId="000004D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212.294 € </w:t>
            </w:r>
          </w:p>
        </w:tc>
        <w:tc>
          <w:tcPr>
            <w:shd w:fill="auto" w:val="clear"/>
            <w:vAlign w:val="bottom"/>
          </w:tcPr>
          <w:p w:rsidR="00000000" w:rsidDel="00000000" w:rsidP="00000000" w:rsidRDefault="00000000" w:rsidRPr="00000000" w14:paraId="000004D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245.043 € </w:t>
            </w:r>
          </w:p>
        </w:tc>
        <w:tc>
          <w:tcPr>
            <w:shd w:fill="auto" w:val="clear"/>
            <w:vAlign w:val="bottom"/>
          </w:tcPr>
          <w:p w:rsidR="00000000" w:rsidDel="00000000" w:rsidP="00000000" w:rsidRDefault="00000000" w:rsidRPr="00000000" w14:paraId="000004D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162.385 € </w:t>
            </w:r>
          </w:p>
        </w:tc>
        <w:tc>
          <w:tcPr>
            <w:shd w:fill="auto" w:val="clear"/>
            <w:vAlign w:val="bottom"/>
          </w:tcPr>
          <w:p w:rsidR="00000000" w:rsidDel="00000000" w:rsidP="00000000" w:rsidRDefault="00000000" w:rsidRPr="00000000" w14:paraId="000004D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170.776 € </w:t>
            </w:r>
          </w:p>
        </w:tc>
        <w:tc>
          <w:tcPr>
            <w:shd w:fill="auto" w:val="clear"/>
            <w:vAlign w:val="bottom"/>
          </w:tcPr>
          <w:p w:rsidR="00000000" w:rsidDel="00000000" w:rsidP="00000000" w:rsidRDefault="00000000" w:rsidRPr="00000000" w14:paraId="000004D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209.962 € </w:t>
            </w:r>
          </w:p>
        </w:tc>
        <w:tc>
          <w:tcPr>
            <w:shd w:fill="auto" w:val="clear"/>
            <w:vAlign w:val="bottom"/>
          </w:tcPr>
          <w:p w:rsidR="00000000" w:rsidDel="00000000" w:rsidP="00000000" w:rsidRDefault="00000000" w:rsidRPr="00000000" w14:paraId="000004D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211.859 € </w:t>
            </w:r>
          </w:p>
        </w:tc>
      </w:tr>
      <w:tr>
        <w:trPr>
          <w:cantSplit w:val="0"/>
          <w:trHeight w:val="330" w:hRule="atLeast"/>
          <w:tblHeader w:val="0"/>
        </w:trPr>
        <w:tc>
          <w:tcPr>
            <w:shd w:fill="auto" w:val="clear"/>
            <w:vAlign w:val="bottom"/>
          </w:tcPr>
          <w:p w:rsidR="00000000" w:rsidDel="00000000" w:rsidP="00000000" w:rsidRDefault="00000000" w:rsidRPr="00000000" w14:paraId="000004D7">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Segovia </w:t>
            </w:r>
          </w:p>
        </w:tc>
        <w:tc>
          <w:tcPr>
            <w:shd w:fill="auto" w:val="clear"/>
            <w:vAlign w:val="bottom"/>
          </w:tcPr>
          <w:p w:rsidR="00000000" w:rsidDel="00000000" w:rsidP="00000000" w:rsidRDefault="00000000" w:rsidRPr="00000000" w14:paraId="000004D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D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D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122.540 € </w:t>
            </w:r>
          </w:p>
        </w:tc>
        <w:tc>
          <w:tcPr>
            <w:shd w:fill="auto" w:val="clear"/>
            <w:vAlign w:val="bottom"/>
          </w:tcPr>
          <w:p w:rsidR="00000000" w:rsidDel="00000000" w:rsidP="00000000" w:rsidRDefault="00000000" w:rsidRPr="00000000" w14:paraId="000004D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133.343 € </w:t>
            </w:r>
          </w:p>
        </w:tc>
        <w:tc>
          <w:tcPr>
            <w:shd w:fill="auto" w:val="clear"/>
            <w:vAlign w:val="bottom"/>
          </w:tcPr>
          <w:p w:rsidR="00000000" w:rsidDel="00000000" w:rsidP="00000000" w:rsidRDefault="00000000" w:rsidRPr="00000000" w14:paraId="000004D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150.483 € </w:t>
            </w:r>
          </w:p>
        </w:tc>
        <w:tc>
          <w:tcPr>
            <w:shd w:fill="auto" w:val="clear"/>
            <w:vAlign w:val="bottom"/>
          </w:tcPr>
          <w:p w:rsidR="00000000" w:rsidDel="00000000" w:rsidP="00000000" w:rsidRDefault="00000000" w:rsidRPr="00000000" w14:paraId="000004D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170.486 € </w:t>
            </w:r>
          </w:p>
        </w:tc>
      </w:tr>
      <w:tr>
        <w:trPr>
          <w:cantSplit w:val="0"/>
          <w:trHeight w:val="330" w:hRule="atLeast"/>
          <w:tblHeader w:val="0"/>
        </w:trPr>
        <w:tc>
          <w:tcPr>
            <w:shd w:fill="auto" w:val="clear"/>
            <w:vAlign w:val="bottom"/>
          </w:tcPr>
          <w:p w:rsidR="00000000" w:rsidDel="00000000" w:rsidP="00000000" w:rsidRDefault="00000000" w:rsidRPr="00000000" w14:paraId="000004DE">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Sevilla </w:t>
            </w:r>
          </w:p>
        </w:tc>
        <w:tc>
          <w:tcPr>
            <w:shd w:fill="auto" w:val="clear"/>
            <w:vAlign w:val="bottom"/>
          </w:tcPr>
          <w:p w:rsidR="00000000" w:rsidDel="00000000" w:rsidP="00000000" w:rsidRDefault="00000000" w:rsidRPr="00000000" w14:paraId="000004D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191.782 € </w:t>
            </w:r>
          </w:p>
        </w:tc>
        <w:tc>
          <w:tcPr>
            <w:shd w:fill="auto" w:val="clear"/>
            <w:vAlign w:val="bottom"/>
          </w:tcPr>
          <w:p w:rsidR="00000000" w:rsidDel="00000000" w:rsidP="00000000" w:rsidRDefault="00000000" w:rsidRPr="00000000" w14:paraId="000004E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210.398 € </w:t>
            </w:r>
          </w:p>
        </w:tc>
        <w:tc>
          <w:tcPr>
            <w:shd w:fill="auto" w:val="clear"/>
            <w:vAlign w:val="bottom"/>
          </w:tcPr>
          <w:p w:rsidR="00000000" w:rsidDel="00000000" w:rsidP="00000000" w:rsidRDefault="00000000" w:rsidRPr="00000000" w14:paraId="000004E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140.619 € </w:t>
            </w:r>
          </w:p>
        </w:tc>
        <w:tc>
          <w:tcPr>
            <w:shd w:fill="auto" w:val="clear"/>
            <w:vAlign w:val="bottom"/>
          </w:tcPr>
          <w:p w:rsidR="00000000" w:rsidDel="00000000" w:rsidP="00000000" w:rsidRDefault="00000000" w:rsidRPr="00000000" w14:paraId="000004E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170.963 € </w:t>
            </w:r>
          </w:p>
        </w:tc>
        <w:tc>
          <w:tcPr>
            <w:shd w:fill="auto" w:val="clear"/>
            <w:vAlign w:val="bottom"/>
          </w:tcPr>
          <w:p w:rsidR="00000000" w:rsidDel="00000000" w:rsidP="00000000" w:rsidRDefault="00000000" w:rsidRPr="00000000" w14:paraId="000004E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197.455 € </w:t>
            </w:r>
          </w:p>
        </w:tc>
        <w:tc>
          <w:tcPr>
            <w:shd w:fill="auto" w:val="clear"/>
            <w:vAlign w:val="bottom"/>
          </w:tcPr>
          <w:p w:rsidR="00000000" w:rsidDel="00000000" w:rsidP="00000000" w:rsidRDefault="00000000" w:rsidRPr="00000000" w14:paraId="000004E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206.098 € </w:t>
            </w:r>
          </w:p>
        </w:tc>
      </w:tr>
      <w:tr>
        <w:trPr>
          <w:cantSplit w:val="0"/>
          <w:trHeight w:val="330" w:hRule="atLeast"/>
          <w:tblHeader w:val="0"/>
        </w:trPr>
        <w:tc>
          <w:tcPr>
            <w:shd w:fill="auto" w:val="clear"/>
            <w:vAlign w:val="bottom"/>
          </w:tcPr>
          <w:p w:rsidR="00000000" w:rsidDel="00000000" w:rsidP="00000000" w:rsidRDefault="00000000" w:rsidRPr="00000000" w14:paraId="000004E5">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Soria </w:t>
            </w:r>
          </w:p>
        </w:tc>
        <w:tc>
          <w:tcPr>
            <w:shd w:fill="auto" w:val="clear"/>
            <w:vAlign w:val="bottom"/>
          </w:tcPr>
          <w:p w:rsidR="00000000" w:rsidDel="00000000" w:rsidP="00000000" w:rsidRDefault="00000000" w:rsidRPr="00000000" w14:paraId="000004E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E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E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111.215 € </w:t>
            </w:r>
          </w:p>
        </w:tc>
        <w:tc>
          <w:tcPr>
            <w:shd w:fill="auto" w:val="clear"/>
            <w:vAlign w:val="bottom"/>
          </w:tcPr>
          <w:p w:rsidR="00000000" w:rsidDel="00000000" w:rsidP="00000000" w:rsidRDefault="00000000" w:rsidRPr="00000000" w14:paraId="000004E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111.443 € </w:t>
            </w:r>
          </w:p>
        </w:tc>
        <w:tc>
          <w:tcPr>
            <w:shd w:fill="auto" w:val="clear"/>
            <w:vAlign w:val="bottom"/>
          </w:tcPr>
          <w:p w:rsidR="00000000" w:rsidDel="00000000" w:rsidP="00000000" w:rsidRDefault="00000000" w:rsidRPr="00000000" w14:paraId="000004E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146.165 € </w:t>
            </w:r>
          </w:p>
        </w:tc>
        <w:tc>
          <w:tcPr>
            <w:shd w:fill="auto" w:val="clear"/>
            <w:vAlign w:val="bottom"/>
          </w:tcPr>
          <w:p w:rsidR="00000000" w:rsidDel="00000000" w:rsidP="00000000" w:rsidRDefault="00000000" w:rsidRPr="00000000" w14:paraId="000004E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159.827 € </w:t>
            </w:r>
          </w:p>
        </w:tc>
      </w:tr>
      <w:tr>
        <w:trPr>
          <w:cantSplit w:val="0"/>
          <w:trHeight w:val="330" w:hRule="atLeast"/>
          <w:tblHeader w:val="0"/>
        </w:trPr>
        <w:tc>
          <w:tcPr>
            <w:shd w:fill="auto" w:val="clear"/>
            <w:vAlign w:val="bottom"/>
          </w:tcPr>
          <w:p w:rsidR="00000000" w:rsidDel="00000000" w:rsidP="00000000" w:rsidRDefault="00000000" w:rsidRPr="00000000" w14:paraId="000004EC">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Tarragona </w:t>
            </w:r>
          </w:p>
        </w:tc>
        <w:tc>
          <w:tcPr>
            <w:shd w:fill="auto" w:val="clear"/>
            <w:vAlign w:val="bottom"/>
          </w:tcPr>
          <w:p w:rsidR="00000000" w:rsidDel="00000000" w:rsidP="00000000" w:rsidRDefault="00000000" w:rsidRPr="00000000" w14:paraId="000004E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154.713 € </w:t>
            </w:r>
          </w:p>
        </w:tc>
        <w:tc>
          <w:tcPr>
            <w:shd w:fill="auto" w:val="clear"/>
            <w:vAlign w:val="bottom"/>
          </w:tcPr>
          <w:p w:rsidR="00000000" w:rsidDel="00000000" w:rsidP="00000000" w:rsidRDefault="00000000" w:rsidRPr="00000000" w14:paraId="000004E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205.853 € </w:t>
            </w:r>
          </w:p>
        </w:tc>
        <w:tc>
          <w:tcPr>
            <w:shd w:fill="auto" w:val="clear"/>
            <w:vAlign w:val="bottom"/>
          </w:tcPr>
          <w:p w:rsidR="00000000" w:rsidDel="00000000" w:rsidP="00000000" w:rsidRDefault="00000000" w:rsidRPr="00000000" w14:paraId="000004E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115.037 € </w:t>
            </w:r>
          </w:p>
        </w:tc>
        <w:tc>
          <w:tcPr>
            <w:shd w:fill="auto" w:val="clear"/>
            <w:vAlign w:val="bottom"/>
          </w:tcPr>
          <w:p w:rsidR="00000000" w:rsidDel="00000000" w:rsidP="00000000" w:rsidRDefault="00000000" w:rsidRPr="00000000" w14:paraId="000004F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135.311 € </w:t>
            </w:r>
          </w:p>
        </w:tc>
        <w:tc>
          <w:tcPr>
            <w:shd w:fill="auto" w:val="clear"/>
            <w:vAlign w:val="bottom"/>
          </w:tcPr>
          <w:p w:rsidR="00000000" w:rsidDel="00000000" w:rsidP="00000000" w:rsidRDefault="00000000" w:rsidRPr="00000000" w14:paraId="000004F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137.720 € </w:t>
            </w:r>
          </w:p>
        </w:tc>
        <w:tc>
          <w:tcPr>
            <w:shd w:fill="auto" w:val="clear"/>
            <w:vAlign w:val="bottom"/>
          </w:tcPr>
          <w:p w:rsidR="00000000" w:rsidDel="00000000" w:rsidP="00000000" w:rsidRDefault="00000000" w:rsidRPr="00000000" w14:paraId="000004F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141.018 € </w:t>
            </w:r>
          </w:p>
        </w:tc>
      </w:tr>
      <w:tr>
        <w:trPr>
          <w:cantSplit w:val="0"/>
          <w:trHeight w:val="330" w:hRule="atLeast"/>
          <w:tblHeader w:val="0"/>
        </w:trPr>
        <w:tc>
          <w:tcPr>
            <w:shd w:fill="auto" w:val="clear"/>
            <w:vAlign w:val="bottom"/>
          </w:tcPr>
          <w:p w:rsidR="00000000" w:rsidDel="00000000" w:rsidP="00000000" w:rsidRDefault="00000000" w:rsidRPr="00000000" w14:paraId="000004F3">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Teruel </w:t>
            </w:r>
          </w:p>
        </w:tc>
        <w:tc>
          <w:tcPr>
            <w:shd w:fill="auto" w:val="clear"/>
            <w:vAlign w:val="bottom"/>
          </w:tcPr>
          <w:p w:rsidR="00000000" w:rsidDel="00000000" w:rsidP="00000000" w:rsidRDefault="00000000" w:rsidRPr="00000000" w14:paraId="000004F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F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F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115.680 € </w:t>
            </w:r>
          </w:p>
        </w:tc>
        <w:tc>
          <w:tcPr>
            <w:shd w:fill="auto" w:val="clear"/>
            <w:vAlign w:val="bottom"/>
          </w:tcPr>
          <w:p w:rsidR="00000000" w:rsidDel="00000000" w:rsidP="00000000" w:rsidRDefault="00000000" w:rsidRPr="00000000" w14:paraId="000004F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109.022 € </w:t>
            </w:r>
          </w:p>
        </w:tc>
        <w:tc>
          <w:tcPr>
            <w:shd w:fill="auto" w:val="clear"/>
            <w:vAlign w:val="bottom"/>
          </w:tcPr>
          <w:p w:rsidR="00000000" w:rsidDel="00000000" w:rsidP="00000000" w:rsidRDefault="00000000" w:rsidRPr="00000000" w14:paraId="000004F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120.905 € </w:t>
            </w:r>
          </w:p>
        </w:tc>
        <w:tc>
          <w:tcPr>
            <w:shd w:fill="auto" w:val="clear"/>
            <w:vAlign w:val="bottom"/>
          </w:tcPr>
          <w:p w:rsidR="00000000" w:rsidDel="00000000" w:rsidP="00000000" w:rsidRDefault="00000000" w:rsidRPr="00000000" w14:paraId="000004F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152.023 € </w:t>
            </w:r>
          </w:p>
        </w:tc>
      </w:tr>
      <w:tr>
        <w:trPr>
          <w:cantSplit w:val="0"/>
          <w:trHeight w:val="330" w:hRule="atLeast"/>
          <w:tblHeader w:val="0"/>
        </w:trPr>
        <w:tc>
          <w:tcPr>
            <w:shd w:fill="auto" w:val="clear"/>
            <w:vAlign w:val="bottom"/>
          </w:tcPr>
          <w:p w:rsidR="00000000" w:rsidDel="00000000" w:rsidP="00000000" w:rsidRDefault="00000000" w:rsidRPr="00000000" w14:paraId="000004FA">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Toledo </w:t>
            </w:r>
          </w:p>
        </w:tc>
        <w:tc>
          <w:tcPr>
            <w:shd w:fill="auto" w:val="clear"/>
            <w:vAlign w:val="bottom"/>
          </w:tcPr>
          <w:p w:rsidR="00000000" w:rsidDel="00000000" w:rsidP="00000000" w:rsidRDefault="00000000" w:rsidRPr="00000000" w14:paraId="000004F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4F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187.510 € </w:t>
            </w:r>
          </w:p>
        </w:tc>
        <w:tc>
          <w:tcPr>
            <w:shd w:fill="auto" w:val="clear"/>
            <w:vAlign w:val="bottom"/>
          </w:tcPr>
          <w:p w:rsidR="00000000" w:rsidDel="00000000" w:rsidP="00000000" w:rsidRDefault="00000000" w:rsidRPr="00000000" w14:paraId="000004F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105.348 € </w:t>
            </w:r>
          </w:p>
        </w:tc>
        <w:tc>
          <w:tcPr>
            <w:shd w:fill="auto" w:val="clear"/>
            <w:vAlign w:val="bottom"/>
          </w:tcPr>
          <w:p w:rsidR="00000000" w:rsidDel="00000000" w:rsidP="00000000" w:rsidRDefault="00000000" w:rsidRPr="00000000" w14:paraId="000004F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120.730 € </w:t>
            </w:r>
          </w:p>
        </w:tc>
        <w:tc>
          <w:tcPr>
            <w:shd w:fill="auto" w:val="clear"/>
            <w:vAlign w:val="bottom"/>
          </w:tcPr>
          <w:p w:rsidR="00000000" w:rsidDel="00000000" w:rsidP="00000000" w:rsidRDefault="00000000" w:rsidRPr="00000000" w14:paraId="000004F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136.663 € </w:t>
            </w:r>
          </w:p>
        </w:tc>
        <w:tc>
          <w:tcPr>
            <w:shd w:fill="auto" w:val="clear"/>
            <w:vAlign w:val="bottom"/>
          </w:tcPr>
          <w:p w:rsidR="00000000" w:rsidDel="00000000" w:rsidP="00000000" w:rsidRDefault="00000000" w:rsidRPr="00000000" w14:paraId="0000050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144.069 € </w:t>
            </w:r>
          </w:p>
        </w:tc>
      </w:tr>
      <w:tr>
        <w:trPr>
          <w:cantSplit w:val="0"/>
          <w:trHeight w:val="330" w:hRule="atLeast"/>
          <w:tblHeader w:val="0"/>
        </w:trPr>
        <w:tc>
          <w:tcPr>
            <w:shd w:fill="auto" w:val="clear"/>
            <w:vAlign w:val="bottom"/>
          </w:tcPr>
          <w:p w:rsidR="00000000" w:rsidDel="00000000" w:rsidP="00000000" w:rsidRDefault="00000000" w:rsidRPr="00000000" w14:paraId="00000501">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Valencia </w:t>
            </w:r>
          </w:p>
        </w:tc>
        <w:tc>
          <w:tcPr>
            <w:shd w:fill="auto" w:val="clear"/>
            <w:vAlign w:val="bottom"/>
          </w:tcPr>
          <w:p w:rsidR="00000000" w:rsidDel="00000000" w:rsidP="00000000" w:rsidRDefault="00000000" w:rsidRPr="00000000" w14:paraId="0000050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176.646 € </w:t>
            </w:r>
          </w:p>
        </w:tc>
        <w:tc>
          <w:tcPr>
            <w:shd w:fill="auto" w:val="clear"/>
            <w:vAlign w:val="bottom"/>
          </w:tcPr>
          <w:p w:rsidR="00000000" w:rsidDel="00000000" w:rsidP="00000000" w:rsidRDefault="00000000" w:rsidRPr="00000000" w14:paraId="0000050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182.823 € </w:t>
            </w:r>
          </w:p>
        </w:tc>
        <w:tc>
          <w:tcPr>
            <w:shd w:fill="auto" w:val="clear"/>
            <w:vAlign w:val="bottom"/>
          </w:tcPr>
          <w:p w:rsidR="00000000" w:rsidDel="00000000" w:rsidP="00000000" w:rsidRDefault="00000000" w:rsidRPr="00000000" w14:paraId="0000050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125.076 € </w:t>
            </w:r>
          </w:p>
        </w:tc>
        <w:tc>
          <w:tcPr>
            <w:shd w:fill="auto" w:val="clear"/>
            <w:vAlign w:val="bottom"/>
          </w:tcPr>
          <w:p w:rsidR="00000000" w:rsidDel="00000000" w:rsidP="00000000" w:rsidRDefault="00000000" w:rsidRPr="00000000" w14:paraId="0000050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166.191 € </w:t>
            </w:r>
          </w:p>
        </w:tc>
        <w:tc>
          <w:tcPr>
            <w:shd w:fill="auto" w:val="clear"/>
            <w:vAlign w:val="bottom"/>
          </w:tcPr>
          <w:p w:rsidR="00000000" w:rsidDel="00000000" w:rsidP="00000000" w:rsidRDefault="00000000" w:rsidRPr="00000000" w14:paraId="00000506">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221.658 € </w:t>
            </w:r>
          </w:p>
        </w:tc>
        <w:tc>
          <w:tcPr>
            <w:shd w:fill="auto" w:val="clear"/>
            <w:vAlign w:val="bottom"/>
          </w:tcPr>
          <w:p w:rsidR="00000000" w:rsidDel="00000000" w:rsidP="00000000" w:rsidRDefault="00000000" w:rsidRPr="00000000" w14:paraId="0000050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253.784 € </w:t>
            </w:r>
          </w:p>
        </w:tc>
      </w:tr>
      <w:tr>
        <w:trPr>
          <w:cantSplit w:val="0"/>
          <w:trHeight w:val="330" w:hRule="atLeast"/>
          <w:tblHeader w:val="0"/>
        </w:trPr>
        <w:tc>
          <w:tcPr>
            <w:shd w:fill="auto" w:val="clear"/>
            <w:vAlign w:val="bottom"/>
          </w:tcPr>
          <w:p w:rsidR="00000000" w:rsidDel="00000000" w:rsidP="00000000" w:rsidRDefault="00000000" w:rsidRPr="00000000" w14:paraId="00000508">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Valladolid </w:t>
            </w:r>
          </w:p>
        </w:tc>
        <w:tc>
          <w:tcPr>
            <w:shd w:fill="auto" w:val="clear"/>
            <w:vAlign w:val="bottom"/>
          </w:tcPr>
          <w:p w:rsidR="00000000" w:rsidDel="00000000" w:rsidP="00000000" w:rsidRDefault="00000000" w:rsidRPr="00000000" w14:paraId="0000050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201.860 € </w:t>
            </w:r>
          </w:p>
        </w:tc>
        <w:tc>
          <w:tcPr>
            <w:shd w:fill="auto" w:val="clear"/>
            <w:vAlign w:val="bottom"/>
          </w:tcPr>
          <w:p w:rsidR="00000000" w:rsidDel="00000000" w:rsidP="00000000" w:rsidRDefault="00000000" w:rsidRPr="00000000" w14:paraId="0000050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176.327 € </w:t>
            </w:r>
          </w:p>
        </w:tc>
        <w:tc>
          <w:tcPr>
            <w:shd w:fill="auto" w:val="clear"/>
            <w:vAlign w:val="bottom"/>
          </w:tcPr>
          <w:p w:rsidR="00000000" w:rsidDel="00000000" w:rsidP="00000000" w:rsidRDefault="00000000" w:rsidRPr="00000000" w14:paraId="0000050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122.672 € </w:t>
            </w:r>
          </w:p>
        </w:tc>
        <w:tc>
          <w:tcPr>
            <w:shd w:fill="auto" w:val="clear"/>
            <w:vAlign w:val="bottom"/>
          </w:tcPr>
          <w:p w:rsidR="00000000" w:rsidDel="00000000" w:rsidP="00000000" w:rsidRDefault="00000000" w:rsidRPr="00000000" w14:paraId="0000050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139.234 € </w:t>
            </w:r>
          </w:p>
        </w:tc>
        <w:tc>
          <w:tcPr>
            <w:shd w:fill="auto" w:val="clear"/>
            <w:vAlign w:val="bottom"/>
          </w:tcPr>
          <w:p w:rsidR="00000000" w:rsidDel="00000000" w:rsidP="00000000" w:rsidRDefault="00000000" w:rsidRPr="00000000" w14:paraId="0000050D">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153.430 € </w:t>
            </w:r>
          </w:p>
        </w:tc>
        <w:tc>
          <w:tcPr>
            <w:shd w:fill="auto" w:val="clear"/>
            <w:vAlign w:val="bottom"/>
          </w:tcPr>
          <w:p w:rsidR="00000000" w:rsidDel="00000000" w:rsidP="00000000" w:rsidRDefault="00000000" w:rsidRPr="00000000" w14:paraId="0000050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175.740 € </w:t>
            </w:r>
          </w:p>
        </w:tc>
      </w:tr>
      <w:tr>
        <w:trPr>
          <w:cantSplit w:val="0"/>
          <w:trHeight w:val="330" w:hRule="atLeast"/>
          <w:tblHeader w:val="0"/>
        </w:trPr>
        <w:tc>
          <w:tcPr>
            <w:shd w:fill="auto" w:val="clear"/>
            <w:vAlign w:val="bottom"/>
          </w:tcPr>
          <w:p w:rsidR="00000000" w:rsidDel="00000000" w:rsidP="00000000" w:rsidRDefault="00000000" w:rsidRPr="00000000" w14:paraId="0000050F">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Vitoria - Gasteiz</w:t>
            </w:r>
          </w:p>
        </w:tc>
        <w:tc>
          <w:tcPr>
            <w:shd w:fill="auto" w:val="clear"/>
            <w:vAlign w:val="bottom"/>
          </w:tcPr>
          <w:p w:rsidR="00000000" w:rsidDel="00000000" w:rsidP="00000000" w:rsidRDefault="00000000" w:rsidRPr="00000000" w14:paraId="0000051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51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258.559 € </w:t>
            </w:r>
          </w:p>
        </w:tc>
        <w:tc>
          <w:tcPr>
            <w:shd w:fill="auto" w:val="clear"/>
            <w:vAlign w:val="bottom"/>
          </w:tcPr>
          <w:p w:rsidR="00000000" w:rsidDel="00000000" w:rsidP="00000000" w:rsidRDefault="00000000" w:rsidRPr="00000000" w14:paraId="0000051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168.719 € </w:t>
            </w:r>
          </w:p>
        </w:tc>
        <w:tc>
          <w:tcPr>
            <w:shd w:fill="auto" w:val="clear"/>
            <w:vAlign w:val="bottom"/>
          </w:tcPr>
          <w:p w:rsidR="00000000" w:rsidDel="00000000" w:rsidP="00000000" w:rsidRDefault="00000000" w:rsidRPr="00000000" w14:paraId="0000051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202.604 € </w:t>
            </w:r>
          </w:p>
        </w:tc>
        <w:tc>
          <w:tcPr>
            <w:shd w:fill="auto" w:val="clear"/>
            <w:vAlign w:val="bottom"/>
          </w:tcPr>
          <w:p w:rsidR="00000000" w:rsidDel="00000000" w:rsidP="00000000" w:rsidRDefault="00000000" w:rsidRPr="00000000" w14:paraId="00000514">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222.754 € </w:t>
            </w:r>
          </w:p>
        </w:tc>
        <w:tc>
          <w:tcPr>
            <w:shd w:fill="auto" w:val="clear"/>
            <w:vAlign w:val="bottom"/>
          </w:tcPr>
          <w:p w:rsidR="00000000" w:rsidDel="00000000" w:rsidP="00000000" w:rsidRDefault="00000000" w:rsidRPr="00000000" w14:paraId="00000515">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237.042 € </w:t>
            </w:r>
          </w:p>
        </w:tc>
      </w:tr>
      <w:tr>
        <w:trPr>
          <w:cantSplit w:val="0"/>
          <w:trHeight w:val="330" w:hRule="atLeast"/>
          <w:tblHeader w:val="0"/>
        </w:trPr>
        <w:tc>
          <w:tcPr>
            <w:shd w:fill="auto" w:val="clear"/>
            <w:vAlign w:val="bottom"/>
          </w:tcPr>
          <w:p w:rsidR="00000000" w:rsidDel="00000000" w:rsidP="00000000" w:rsidRDefault="00000000" w:rsidRPr="00000000" w14:paraId="00000516">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Zamora </w:t>
            </w:r>
          </w:p>
        </w:tc>
        <w:tc>
          <w:tcPr>
            <w:shd w:fill="auto" w:val="clear"/>
            <w:vAlign w:val="bottom"/>
          </w:tcPr>
          <w:p w:rsidR="00000000" w:rsidDel="00000000" w:rsidP="00000000" w:rsidRDefault="00000000" w:rsidRPr="00000000" w14:paraId="00000517">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   </w:t>
            </w:r>
          </w:p>
        </w:tc>
        <w:tc>
          <w:tcPr>
            <w:shd w:fill="auto" w:val="clear"/>
            <w:vAlign w:val="bottom"/>
          </w:tcPr>
          <w:p w:rsidR="00000000" w:rsidDel="00000000" w:rsidP="00000000" w:rsidRDefault="00000000" w:rsidRPr="00000000" w14:paraId="00000518">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159.901 € </w:t>
            </w:r>
          </w:p>
        </w:tc>
        <w:tc>
          <w:tcPr>
            <w:shd w:fill="auto" w:val="clear"/>
            <w:vAlign w:val="bottom"/>
          </w:tcPr>
          <w:p w:rsidR="00000000" w:rsidDel="00000000" w:rsidP="00000000" w:rsidRDefault="00000000" w:rsidRPr="00000000" w14:paraId="00000519">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114.300 € </w:t>
            </w:r>
          </w:p>
        </w:tc>
        <w:tc>
          <w:tcPr>
            <w:shd w:fill="auto" w:val="clear"/>
            <w:vAlign w:val="bottom"/>
          </w:tcPr>
          <w:p w:rsidR="00000000" w:rsidDel="00000000" w:rsidP="00000000" w:rsidRDefault="00000000" w:rsidRPr="00000000" w14:paraId="0000051A">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104.853 € </w:t>
            </w:r>
          </w:p>
        </w:tc>
        <w:tc>
          <w:tcPr>
            <w:shd w:fill="auto" w:val="clear"/>
            <w:vAlign w:val="bottom"/>
          </w:tcPr>
          <w:p w:rsidR="00000000" w:rsidDel="00000000" w:rsidP="00000000" w:rsidRDefault="00000000" w:rsidRPr="00000000" w14:paraId="0000051B">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103.374 € </w:t>
            </w:r>
          </w:p>
        </w:tc>
        <w:tc>
          <w:tcPr>
            <w:shd w:fill="auto" w:val="clear"/>
            <w:vAlign w:val="bottom"/>
          </w:tcPr>
          <w:p w:rsidR="00000000" w:rsidDel="00000000" w:rsidP="00000000" w:rsidRDefault="00000000" w:rsidRPr="00000000" w14:paraId="0000051C">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109.776 € </w:t>
            </w:r>
          </w:p>
        </w:tc>
      </w:tr>
      <w:tr>
        <w:trPr>
          <w:cantSplit w:val="0"/>
          <w:trHeight w:val="330" w:hRule="atLeast"/>
          <w:tblHeader w:val="0"/>
        </w:trPr>
        <w:tc>
          <w:tcPr>
            <w:shd w:fill="auto" w:val="clear"/>
            <w:vAlign w:val="bottom"/>
          </w:tcPr>
          <w:p w:rsidR="00000000" w:rsidDel="00000000" w:rsidP="00000000" w:rsidRDefault="00000000" w:rsidRPr="00000000" w14:paraId="0000051D">
            <w:pPr>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Zaragoza </w:t>
            </w:r>
          </w:p>
        </w:tc>
        <w:tc>
          <w:tcPr>
            <w:shd w:fill="auto" w:val="clear"/>
            <w:vAlign w:val="bottom"/>
          </w:tcPr>
          <w:p w:rsidR="00000000" w:rsidDel="00000000" w:rsidP="00000000" w:rsidRDefault="00000000" w:rsidRPr="00000000" w14:paraId="0000051E">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232.118 € </w:t>
            </w:r>
          </w:p>
        </w:tc>
        <w:tc>
          <w:tcPr>
            <w:shd w:fill="auto" w:val="clear"/>
            <w:vAlign w:val="bottom"/>
          </w:tcPr>
          <w:p w:rsidR="00000000" w:rsidDel="00000000" w:rsidP="00000000" w:rsidRDefault="00000000" w:rsidRPr="00000000" w14:paraId="0000051F">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221.335 € </w:t>
            </w:r>
          </w:p>
        </w:tc>
        <w:tc>
          <w:tcPr>
            <w:shd w:fill="auto" w:val="clear"/>
            <w:vAlign w:val="bottom"/>
          </w:tcPr>
          <w:p w:rsidR="00000000" w:rsidDel="00000000" w:rsidP="00000000" w:rsidRDefault="00000000" w:rsidRPr="00000000" w14:paraId="00000520">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132.724 € </w:t>
            </w:r>
          </w:p>
        </w:tc>
        <w:tc>
          <w:tcPr>
            <w:shd w:fill="auto" w:val="clear"/>
            <w:vAlign w:val="bottom"/>
          </w:tcPr>
          <w:p w:rsidR="00000000" w:rsidDel="00000000" w:rsidP="00000000" w:rsidRDefault="00000000" w:rsidRPr="00000000" w14:paraId="00000521">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145.899 € </w:t>
            </w:r>
          </w:p>
        </w:tc>
        <w:tc>
          <w:tcPr>
            <w:shd w:fill="auto" w:val="clear"/>
            <w:vAlign w:val="bottom"/>
          </w:tcPr>
          <w:p w:rsidR="00000000" w:rsidDel="00000000" w:rsidP="00000000" w:rsidRDefault="00000000" w:rsidRPr="00000000" w14:paraId="00000522">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163.263 € </w:t>
            </w:r>
          </w:p>
        </w:tc>
        <w:tc>
          <w:tcPr>
            <w:shd w:fill="auto" w:val="clear"/>
            <w:vAlign w:val="bottom"/>
          </w:tcPr>
          <w:p w:rsidR="00000000" w:rsidDel="00000000" w:rsidP="00000000" w:rsidRDefault="00000000" w:rsidRPr="00000000" w14:paraId="00000523">
            <w:pPr>
              <w:jc w:val="right"/>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       180.626 € </w:t>
            </w:r>
          </w:p>
        </w:tc>
      </w:tr>
    </w:tbl>
    <w:p w:rsidR="00000000" w:rsidDel="00000000" w:rsidP="00000000" w:rsidRDefault="00000000" w:rsidRPr="00000000" w14:paraId="00000524">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525">
      <w:pPr>
        <w:spacing w:line="276" w:lineRule="auto"/>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526">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527">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Portal inmobiliario que cuenta con inmuebles de segunda mano, promociones de obra nueva y viviendas de alquiler. Cada mes genera un tráfico de 34 millones de visitas (75% a través de dispositivos móviles). Mensualmente elabora el </w:t>
      </w:r>
      <w:hyperlink r:id="rId12">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sz w:val="22"/>
          <w:szCs w:val="22"/>
          <w:rtl w:val="0"/>
        </w:rPr>
        <w:t xml:space="preserve">, un informe de referencia sobre la evolución del precio medio de la vivienda en España, tanto en venta como en alquiler. </w:t>
      </w:r>
    </w:p>
    <w:p w:rsidR="00000000" w:rsidDel="00000000" w:rsidP="00000000" w:rsidRDefault="00000000" w:rsidRPr="00000000" w14:paraId="00000528">
      <w:pPr>
        <w:shd w:fill="ffffff" w:val="clear"/>
        <w:spacing w:after="280" w:before="280" w:line="276"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Toda nuestra información la puedes encontrar en nuestra </w:t>
      </w:r>
      <w:hyperlink r:id="rId13">
        <w:r w:rsidDel="00000000" w:rsidR="00000000" w:rsidRPr="00000000">
          <w:rPr>
            <w:rFonts w:ascii="Open Sans" w:cs="Open Sans" w:eastAsia="Open Sans" w:hAnsi="Open Sans"/>
            <w:color w:val="0000ff"/>
            <w:sz w:val="22"/>
            <w:szCs w:val="22"/>
            <w:u w:val="single"/>
            <w:rtl w:val="0"/>
          </w:rPr>
          <w:t xml:space="preserve">Sala de Prensa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529">
      <w:pPr>
        <w:shd w:fill="ffffff" w:val="clear"/>
        <w:spacing w:after="280" w:before="280" w:line="276" w:lineRule="auto"/>
        <w:jc w:val="both"/>
        <w:rPr>
          <w:rFonts w:ascii="Open Sans" w:cs="Open Sans" w:eastAsia="Open Sans" w:hAnsi="Open Sans"/>
          <w:sz w:val="22"/>
          <w:szCs w:val="22"/>
        </w:rPr>
      </w:pPr>
      <w:bookmarkStart w:colFirst="0" w:colLast="0" w:name="_heading=h.2s8eyo1" w:id="0"/>
      <w:bookmarkEnd w:id="0"/>
      <w:hyperlink r:id="rId14">
        <w:r w:rsidDel="00000000" w:rsidR="00000000" w:rsidRPr="00000000">
          <w:rPr>
            <w:rFonts w:ascii="Open Sans" w:cs="Open Sans" w:eastAsia="Open Sans" w:hAnsi="Open Sans"/>
            <w:color w:val="0000ff"/>
            <w:sz w:val="22"/>
            <w:szCs w:val="22"/>
            <w:u w:val="single"/>
            <w:rtl w:val="0"/>
          </w:rPr>
          <w:t xml:space="preserve">Más información sobre Fotocasa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52A">
      <w:pPr>
        <w:spacing w:line="276" w:lineRule="auto"/>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Adevinta</w:t>
      </w:r>
    </w:p>
    <w:p w:rsidR="00000000" w:rsidDel="00000000" w:rsidP="00000000" w:rsidRDefault="00000000" w:rsidRPr="00000000" w14:paraId="0000052B">
      <w:pPr>
        <w:spacing w:after="200" w:before="143" w:lineRule="auto"/>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Adevinta es un grupo de empresas líder en marketplaces digitales y una de las principales empresas del sector tecnológico del país, con más de 18 millones de usuarios únicos al mes en sus plataformas de los sectores inmobiliario (</w:t>
      </w:r>
      <w:hyperlink r:id="rId15">
        <w:r w:rsidDel="00000000" w:rsidR="00000000" w:rsidRPr="00000000">
          <w:rPr>
            <w:rFonts w:ascii="Open Sans" w:cs="Open Sans" w:eastAsia="Open Sans" w:hAnsi="Open Sans"/>
            <w:color w:val="1155cc"/>
            <w:sz w:val="22"/>
            <w:szCs w:val="22"/>
            <w:u w:val="single"/>
            <w:rtl w:val="0"/>
          </w:rPr>
          <w:t xml:space="preserve">Fotocasa</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6">
        <w:r w:rsidDel="00000000" w:rsidR="00000000" w:rsidRPr="00000000">
          <w:rPr>
            <w:rFonts w:ascii="Open Sans" w:cs="Open Sans" w:eastAsia="Open Sans" w:hAnsi="Open Sans"/>
            <w:color w:val="1155cc"/>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17">
        <w:r w:rsidDel="00000000" w:rsidR="00000000" w:rsidRPr="00000000">
          <w:rPr>
            <w:rFonts w:ascii="Open Sans" w:cs="Open Sans" w:eastAsia="Open Sans" w:hAnsi="Open Sans"/>
            <w:color w:val="1155cc"/>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18">
        <w:r w:rsidDel="00000000" w:rsidR="00000000" w:rsidRPr="00000000">
          <w:rPr>
            <w:rFonts w:ascii="Open Sans" w:cs="Open Sans" w:eastAsia="Open Sans" w:hAnsi="Open Sans"/>
            <w:color w:val="1155cc"/>
            <w:sz w:val="22"/>
            <w:szCs w:val="22"/>
            <w:u w:val="single"/>
            <w:rtl w:val="0"/>
          </w:rPr>
          <w:t xml:space="preserve">coches.net</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9">
        <w:r w:rsidDel="00000000" w:rsidR="00000000" w:rsidRPr="00000000">
          <w:rPr>
            <w:rFonts w:ascii="Open Sans" w:cs="Open Sans" w:eastAsia="Open Sans" w:hAnsi="Open Sans"/>
            <w:color w:val="1155cc"/>
            <w:sz w:val="22"/>
            <w:szCs w:val="22"/>
            <w:u w:val="single"/>
            <w:rtl w:val="0"/>
          </w:rPr>
          <w:t xml:space="preserve">motos.net</w:t>
        </w:r>
      </w:hyperlink>
      <w:r w:rsidDel="00000000" w:rsidR="00000000" w:rsidRPr="00000000">
        <w:rPr>
          <w:rFonts w:ascii="Open Sans" w:cs="Open Sans" w:eastAsia="Open Sans" w:hAnsi="Open Sans"/>
          <w:sz w:val="22"/>
          <w:szCs w:val="22"/>
          <w:rtl w:val="0"/>
        </w:rPr>
        <w:t xml:space="preserve">) y compraventa de artículos de segunda mano (</w:t>
      </w:r>
      <w:hyperlink r:id="rId20">
        <w:r w:rsidDel="00000000" w:rsidR="00000000" w:rsidRPr="00000000">
          <w:rPr>
            <w:rFonts w:ascii="Open Sans" w:cs="Open Sans" w:eastAsia="Open Sans" w:hAnsi="Open Sans"/>
            <w:color w:val="1155cc"/>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52C">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Los negocios de Adevinta han evolucionado del papel al online a lo largo de más de 40 años de trayectoria en España, convirtiéndose en referentes de Internet. Con sede en Barcelona, la compañía cuenta con una plantilla comprometida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52D">
      <w:pPr>
        <w:spacing w:after="200" w:before="143"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Adevinta tiene presencia mundial en 10 países. El conjunto de sus plataformas locales recibe un promedio de 2.500 millones de visitas cada mes. </w:t>
      </w:r>
    </w:p>
    <w:p w:rsidR="00000000" w:rsidDel="00000000" w:rsidP="00000000" w:rsidRDefault="00000000" w:rsidRPr="00000000" w14:paraId="0000052E">
      <w:pPr>
        <w:spacing w:after="200" w:before="143" w:lineRule="auto"/>
        <w:jc w:val="both"/>
        <w:rPr/>
      </w:pPr>
      <w:r w:rsidDel="00000000" w:rsidR="00000000" w:rsidRPr="00000000">
        <w:rPr>
          <w:rFonts w:ascii="Open Sans" w:cs="Open Sans" w:eastAsia="Open Sans" w:hAnsi="Open Sans"/>
          <w:sz w:val="22"/>
          <w:szCs w:val="22"/>
          <w:rtl w:val="0"/>
        </w:rPr>
        <w:t xml:space="preserve">Más información en </w:t>
      </w:r>
      <w:hyperlink r:id="rId21">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52F">
      <w:pPr>
        <w:spacing w:after="200" w:before="143"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530">
      <w:pPr>
        <w:spacing w:line="276" w:lineRule="auto"/>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Departamento Comunicación Fotocasa</w:t>
      </w:r>
    </w:p>
    <w:p w:rsidR="00000000" w:rsidDel="00000000" w:rsidP="00000000" w:rsidRDefault="00000000" w:rsidRPr="00000000" w14:paraId="00000531">
      <w:pPr>
        <w:shd w:fill="ffffff" w:val="clear"/>
        <w:spacing w:line="276" w:lineRule="auto"/>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Anaïs López</w:t>
      </w:r>
    </w:p>
    <w:p w:rsidR="00000000" w:rsidDel="00000000" w:rsidP="00000000" w:rsidRDefault="00000000" w:rsidRPr="00000000" w14:paraId="00000532">
      <w:pPr>
        <w:shd w:fill="ffffff" w:val="clear"/>
        <w:spacing w:line="276" w:lineRule="auto"/>
        <w:rPr>
          <w:rFonts w:ascii="Open Sans" w:cs="Open Sans" w:eastAsia="Open Sans" w:hAnsi="Open Sans"/>
          <w:color w:val="0000ff"/>
          <w:sz w:val="22"/>
          <w:szCs w:val="22"/>
          <w:u w:val="single"/>
        </w:rPr>
      </w:pPr>
      <w:hyperlink r:id="rId22">
        <w:r w:rsidDel="00000000" w:rsidR="00000000" w:rsidRPr="00000000">
          <w:rPr>
            <w:rFonts w:ascii="Open Sans" w:cs="Open Sans" w:eastAsia="Open Sans" w:hAnsi="Open Sans"/>
            <w:color w:val="0000ff"/>
            <w:sz w:val="22"/>
            <w:szCs w:val="22"/>
            <w:u w:val="single"/>
            <w:rtl w:val="0"/>
          </w:rPr>
          <w:t xml:space="preserve">comunicacion@fotocasa.es</w:t>
        </w:r>
      </w:hyperlink>
      <w:r w:rsidDel="00000000" w:rsidR="00000000" w:rsidRPr="00000000">
        <w:rPr>
          <w:rtl w:val="0"/>
        </w:rPr>
      </w:r>
    </w:p>
    <w:p w:rsidR="00000000" w:rsidDel="00000000" w:rsidP="00000000" w:rsidRDefault="00000000" w:rsidRPr="00000000" w14:paraId="00000533">
      <w:pPr>
        <w:shd w:fill="ffffff" w:val="clear"/>
        <w:spacing w:line="276" w:lineRule="auto"/>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620 66 29 26</w:t>
      </w:r>
    </w:p>
    <w:sectPr>
      <w:footerReference r:id="rId23" w:type="default"/>
      <w:pgSz w:h="16840" w:w="11900" w:orient="portrait"/>
      <w:pgMar w:bottom="1417" w:top="1417" w:left="1701" w:right="112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4">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-1068040</wp:posOffset>
          </wp:positionH>
          <wp:positionV relativeFrom="paragraph">
            <wp:posOffset>174608</wp:posOffset>
          </wp:positionV>
          <wp:extent cx="7670550" cy="451315"/>
          <wp:effectExtent b="0" l="0" r="0" t="0"/>
          <wp:wrapNone/>
          <wp:docPr id="20668166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f7"/>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table" w:styleId="a0" w:customStyle="1">
    <w:basedOn w:val="TableNormalf7"/>
    <w:tblPr>
      <w:tblStyleRowBandSize w:val="1"/>
      <w:tblStyleColBandSize w:val="1"/>
      <w:tblCellMar>
        <w:left w:w="115.0" w:type="dxa"/>
        <w:right w:w="115.0" w:type="dxa"/>
      </w:tblCellMar>
    </w:tblPr>
    <w:tcPr>
      <w:shd w:color="auto" w:fill="ededed"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a5a5a5"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a5a5a5"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a5a5a5"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a5a5a5" w:val="clear"/>
      </w:tcPr>
    </w:tblStylePr>
    <w:tblStylePr w:type="band1Vert">
      <w:tblPr/>
      <w:tcPr>
        <w:shd w:color="auto" w:fill="dbdbdb" w:val="clear"/>
      </w:tcPr>
    </w:tblStylePr>
    <w:tblStylePr w:type="band1Horz">
      <w:tblPr/>
      <w:tcPr>
        <w:shd w:color="auto" w:fill="dbdbdb" w:val="clear"/>
      </w:tcPr>
    </w:tblStylePr>
  </w:style>
  <w:style w:type="character" w:styleId="Hipervnculo">
    <w:name w:val="Hyperlink"/>
    <w:basedOn w:val="Fuentedeprrafopredeter"/>
    <w:uiPriority w:val="99"/>
    <w:unhideWhenUsed w:val="1"/>
    <w:rsid w:val="00FE7DB6"/>
    <w:rPr>
      <w:color w:val="0000ff" w:themeColor="hyperlink"/>
      <w:u w:val="single"/>
    </w:rPr>
  </w:style>
  <w:style w:type="character" w:styleId="Mencinsinresolver">
    <w:name w:val="Unresolved Mention"/>
    <w:basedOn w:val="Fuentedeprrafopredeter"/>
    <w:uiPriority w:val="99"/>
    <w:semiHidden w:val="1"/>
    <w:unhideWhenUsed w:val="1"/>
    <w:rsid w:val="00FE7DB6"/>
    <w:rPr>
      <w:color w:val="605e5c"/>
      <w:shd w:color="auto" w:fill="e1dfdd" w:val="clear"/>
    </w:rPr>
  </w:style>
  <w:style w:type="paragraph" w:styleId="NormalWeb">
    <w:name w:val="Normal (Web)"/>
    <w:basedOn w:val="Normal"/>
    <w:uiPriority w:val="99"/>
    <w:unhideWhenUsed w:val="1"/>
    <w:rsid w:val="003D48F5"/>
    <w:pPr>
      <w:spacing w:after="100" w:afterAutospacing="1" w:before="100" w:beforeAutospacing="1"/>
    </w:pPr>
    <w:rPr>
      <w:rFonts w:ascii="Times New Roman" w:cs="Times New Roman" w:eastAsia="Times New Roman" w:hAnsi="Times New Roman"/>
    </w:rPr>
  </w:style>
  <w:style w:type="paragraph" w:styleId="Textocomentario">
    <w:name w:val="annotation text"/>
    <w:basedOn w:val="Normal"/>
    <w:link w:val="TextocomentarioCar"/>
    <w:uiPriority w:val="99"/>
    <w:unhideWhenUsed w:val="1"/>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val="1"/>
    <w:unhideWhenUsed w:val="1"/>
    <w:rPr>
      <w:sz w:val="16"/>
      <w:szCs w:val="16"/>
    </w:rPr>
  </w:style>
  <w:style w:type="character" w:styleId="normaltextrun" w:customStyle="1">
    <w:name w:val="normaltextrun"/>
    <w:basedOn w:val="Fuentedeprrafopredeter"/>
    <w:rsid w:val="00A35D58"/>
  </w:style>
  <w:style w:type="table" w:styleId="Tablaconcuadrcula">
    <w:name w:val="Table Grid"/>
    <w:basedOn w:val="Tablanormal"/>
    <w:uiPriority w:val="39"/>
    <w:rsid w:val="00A35D58"/>
    <w:rPr>
      <w:rFonts w:asciiTheme="minorHAnsi" w:cstheme="minorBidi" w:eastAsiaTheme="minorHAnsi" w:hAnsiTheme="minorHAnsi"/>
      <w:kern w:val="2"/>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1" w:customStyle="1">
    <w:basedOn w:val="TableNormalf4"/>
    <w:rPr>
      <w:rFonts w:ascii="Cambria" w:cs="Cambria" w:eastAsia="Cambria" w:hAnsi="Cambria"/>
      <w:sz w:val="22"/>
      <w:szCs w:val="22"/>
    </w:rPr>
    <w:tblPr>
      <w:tblStyleRowBandSize w:val="1"/>
      <w:tblStyleColBandSize w:val="1"/>
      <w:tblCellMar>
        <w:left w:w="108.0" w:type="dxa"/>
        <w:right w:w="108.0" w:type="dxa"/>
      </w:tblCellMar>
    </w:tblPr>
  </w:style>
  <w:style w:type="table" w:styleId="a2" w:customStyle="1">
    <w:basedOn w:val="TableNormalf4"/>
    <w:rPr>
      <w:rFonts w:ascii="Cambria" w:cs="Cambria" w:eastAsia="Cambria" w:hAnsi="Cambria"/>
      <w:sz w:val="22"/>
      <w:szCs w:val="22"/>
    </w:rPr>
    <w:tblPr>
      <w:tblStyleRowBandSize w:val="1"/>
      <w:tblStyleColBandSize w:val="1"/>
      <w:tblCellMar>
        <w:left w:w="108.0" w:type="dxa"/>
        <w:right w:w="108.0" w:type="dxa"/>
      </w:tblCellMar>
    </w:tblPr>
  </w:style>
  <w:style w:type="paragraph" w:styleId="Asuntodelcomentario">
    <w:name w:val="annotation subject"/>
    <w:basedOn w:val="Textocomentario"/>
    <w:next w:val="Textocomentario"/>
    <w:link w:val="AsuntodelcomentarioCar"/>
    <w:uiPriority w:val="99"/>
    <w:semiHidden w:val="1"/>
    <w:unhideWhenUsed w:val="1"/>
    <w:rsid w:val="00534008"/>
    <w:rPr>
      <w:b w:val="1"/>
      <w:bCs w:val="1"/>
    </w:rPr>
  </w:style>
  <w:style w:type="character" w:styleId="AsuntodelcomentarioCar" w:customStyle="1">
    <w:name w:val="Asunto del comentario Car"/>
    <w:basedOn w:val="TextocomentarioCar"/>
    <w:link w:val="Asuntodelcomentario"/>
    <w:uiPriority w:val="99"/>
    <w:semiHidden w:val="1"/>
    <w:rsid w:val="00534008"/>
    <w:rPr>
      <w:b w:val="1"/>
      <w:bCs w:val="1"/>
      <w:sz w:val="20"/>
      <w:szCs w:val="20"/>
    </w:rPr>
  </w:style>
  <w:style w:type="paragraph" w:styleId="Prrafodelista">
    <w:name w:val="List Paragraph"/>
    <w:basedOn w:val="Normal"/>
    <w:uiPriority w:val="34"/>
    <w:qFormat w:val="1"/>
    <w:rsid w:val="004C3974"/>
    <w:pPr>
      <w:ind w:left="720"/>
      <w:contextualSpacing w:val="1"/>
    </w:pPr>
  </w:style>
  <w:style w:type="character" w:styleId="Referenciaintensa">
    <w:name w:val="Intense Reference"/>
    <w:basedOn w:val="Fuentedeprrafopredeter"/>
    <w:uiPriority w:val="32"/>
    <w:qFormat w:val="1"/>
    <w:rsid w:val="00A775CB"/>
    <w:rPr>
      <w:b w:val="1"/>
      <w:bCs w:val="1"/>
      <w:smallCaps w:val="1"/>
      <w:color w:val="365f91" w:themeColor="accent1" w:themeShade="0000BF"/>
      <w:spacing w:val="5"/>
    </w:rPr>
  </w:style>
  <w:style w:type="table" w:styleId="a3" w:customStyle="1">
    <w:basedOn w:val="TableNormal9"/>
    <w:tblPr>
      <w:tblStyleRowBandSize w:val="1"/>
      <w:tblStyleColBandSize w:val="1"/>
      <w:tblCellMar>
        <w:left w:w="108.0" w:type="dxa"/>
        <w:right w:w="108.0" w:type="dxa"/>
      </w:tblCellMar>
    </w:tblPr>
    <w:tblStylePr w:type="firstRow">
      <w:rPr>
        <w:b w:val="1"/>
        <w:color w:val="ffffff"/>
      </w:rPr>
      <w:tblPr/>
      <w:tcPr>
        <w:tcBorders>
          <w:top w:color="39d9cd" w:space="0" w:sz="4" w:val="single"/>
          <w:left w:color="39d9cd" w:space="0" w:sz="4" w:val="single"/>
          <w:bottom w:color="39d9cd" w:space="0" w:sz="4" w:val="single"/>
          <w:right w:color="39d9cd" w:space="0" w:sz="4" w:val="single"/>
          <w:insideH w:space="0" w:sz="0" w:val="nil"/>
          <w:insideV w:space="0" w:sz="0" w:val="nil"/>
        </w:tcBorders>
        <w:shd w:color="auto" w:fill="39d9cd" w:val="clear"/>
      </w:tcPr>
    </w:tblStylePr>
    <w:tblStylePr w:type="lastRow">
      <w:rPr>
        <w:b w:val="1"/>
      </w:rPr>
      <w:tblPr/>
      <w:tcPr>
        <w:tcBorders>
          <w:top w:color="39d9cd" w:space="0" w:sz="4" w:val="single"/>
        </w:tcBorders>
      </w:tcPr>
    </w:tblStylePr>
    <w:tblStylePr w:type="firstCol">
      <w:rPr>
        <w:b w:val="1"/>
      </w:rPr>
    </w:tblStylePr>
    <w:tblStylePr w:type="lastCol">
      <w:rPr>
        <w:b w:val="1"/>
      </w:rPr>
    </w:tblStylePr>
    <w:tblStylePr w:type="band1Vert">
      <w:tblPr/>
      <w:tcPr>
        <w:shd w:color="auto" w:fill="d7f7f4" w:val="clear"/>
      </w:tcPr>
    </w:tblStylePr>
    <w:tblStylePr w:type="band1Horz">
      <w:tblPr/>
      <w:tcPr>
        <w:shd w:color="auto" w:fill="d7f7f4" w:val="clear"/>
      </w:tcPr>
    </w:tblStylePr>
  </w:style>
  <w:style w:type="character" w:styleId="Hipervnculovisitado">
    <w:name w:val="FollowedHyperlink"/>
    <w:basedOn w:val="Fuentedeprrafopredeter"/>
    <w:uiPriority w:val="99"/>
    <w:semiHidden w:val="1"/>
    <w:unhideWhenUsed w:val="1"/>
    <w:rsid w:val="009B09EE"/>
    <w:rPr>
      <w:color w:val="800080" w:themeColor="followedHyperlink"/>
      <w:u w:val="single"/>
    </w:rPr>
  </w:style>
  <w:style w:type="table" w:styleId="Tablaconcuadrcula5oscura-nfasis1">
    <w:name w:val="Grid Table 5 Dark Accent 1"/>
    <w:basedOn w:val="Tablanormal"/>
    <w:uiPriority w:val="50"/>
    <w:rsid w:val="00B77683"/>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Tablaconcuadrcula5oscura-nfasis5">
    <w:name w:val="Grid Table 5 Dark Accent 5"/>
    <w:basedOn w:val="Tablanormal"/>
    <w:uiPriority w:val="50"/>
    <w:rsid w:val="002827A1"/>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paragraph" w:styleId="msonormal0" w:customStyle="1">
    <w:name w:val="msonormal"/>
    <w:basedOn w:val="Normal"/>
    <w:rsid w:val="001E0627"/>
    <w:pPr>
      <w:spacing w:after="100" w:afterAutospacing="1" w:before="100" w:beforeAutospacing="1"/>
    </w:pPr>
    <w:rPr>
      <w:rFonts w:ascii="Times New Roman" w:cs="Times New Roman" w:eastAsia="Times New Roman" w:hAnsi="Times New Roman"/>
    </w:rPr>
  </w:style>
  <w:style w:type="paragraph" w:styleId="xl65" w:customStyle="1">
    <w:name w:val="xl65"/>
    <w:basedOn w:val="Normal"/>
    <w:rsid w:val="001E0627"/>
    <w:pPr>
      <w:pBdr>
        <w:bottom w:color="8ea9db" w:space="0" w:sz="4" w:val="single"/>
      </w:pBdr>
      <w:shd w:color="d9e1f2" w:fill="d9e1f2" w:val="clear"/>
      <w:spacing w:after="100" w:afterAutospacing="1" w:before="100" w:beforeAutospacing="1"/>
    </w:pPr>
    <w:rPr>
      <w:rFonts w:ascii="Open Sans" w:cs="Open Sans" w:eastAsia="Times New Roman" w:hAnsi="Open Sans"/>
    </w:rPr>
  </w:style>
  <w:style w:type="paragraph" w:styleId="xl66" w:customStyle="1">
    <w:name w:val="xl66"/>
    <w:basedOn w:val="Normal"/>
    <w:rsid w:val="001E0627"/>
    <w:pPr>
      <w:spacing w:after="100" w:afterAutospacing="1" w:before="100" w:beforeAutospacing="1"/>
    </w:pPr>
    <w:rPr>
      <w:rFonts w:ascii="Open Sans" w:cs="Open Sans" w:eastAsia="Times New Roman" w:hAnsi="Open Sans"/>
    </w:rPr>
  </w:style>
  <w:style w:type="paragraph" w:styleId="xl67" w:customStyle="1">
    <w:name w:val="xl67"/>
    <w:basedOn w:val="Normal"/>
    <w:rsid w:val="001E0627"/>
    <w:pPr>
      <w:spacing w:after="100" w:afterAutospacing="1" w:before="100" w:beforeAutospacing="1"/>
      <w:textAlignment w:val="center"/>
    </w:pPr>
    <w:rPr>
      <w:rFonts w:ascii="Open Sans" w:cs="Open Sans" w:eastAsia="Times New Roman" w:hAnsi="Open Sans"/>
    </w:rPr>
  </w:style>
  <w:style w:type="paragraph" w:styleId="xl68" w:customStyle="1">
    <w:name w:val="xl68"/>
    <w:basedOn w:val="Normal"/>
    <w:rsid w:val="001E0627"/>
    <w:pPr>
      <w:spacing w:after="100" w:afterAutospacing="1" w:before="100" w:beforeAutospacing="1"/>
    </w:pPr>
    <w:rPr>
      <w:rFonts w:ascii="Open Sans" w:cs="Open Sans" w:eastAsia="Times New Roman" w:hAnsi="Open Sans"/>
    </w:rPr>
  </w:style>
  <w:style w:type="paragraph" w:styleId="xl69" w:customStyle="1">
    <w:name w:val="xl69"/>
    <w:basedOn w:val="Normal"/>
    <w:rsid w:val="001E0627"/>
    <w:pPr>
      <w:spacing w:after="100" w:afterAutospacing="1" w:before="100" w:beforeAutospacing="1"/>
    </w:pPr>
    <w:rPr>
      <w:rFonts w:ascii="Open Sans" w:cs="Open Sans" w:eastAsia="Times New Roman" w:hAnsi="Open Sans"/>
    </w:rPr>
  </w:style>
  <w:style w:type="paragraph" w:styleId="xl70" w:customStyle="1">
    <w:name w:val="xl70"/>
    <w:basedOn w:val="Normal"/>
    <w:rsid w:val="001E0627"/>
    <w:pPr>
      <w:shd w:color="000000" w:fill="fce4d6" w:val="clear"/>
      <w:spacing w:after="100" w:afterAutospacing="1" w:before="100" w:beforeAutospacing="1"/>
    </w:pPr>
    <w:rPr>
      <w:rFonts w:ascii="Open Sans" w:cs="Open Sans" w:eastAsia="Times New Roman" w:hAnsi="Open Sans"/>
    </w:rPr>
  </w:style>
  <w:style w:type="paragraph" w:styleId="xl71" w:customStyle="1">
    <w:name w:val="xl71"/>
    <w:basedOn w:val="Normal"/>
    <w:rsid w:val="001E0627"/>
    <w:pPr>
      <w:spacing w:after="100" w:afterAutospacing="1" w:before="100" w:beforeAutospacing="1"/>
      <w:jc w:val="right"/>
    </w:pPr>
    <w:rPr>
      <w:rFonts w:ascii="Open Sans" w:cs="Open Sans" w:eastAsia="Times New Roman" w:hAnsi="Open Sans"/>
    </w:rPr>
  </w:style>
  <w:style w:type="paragraph" w:styleId="xl72" w:customStyle="1">
    <w:name w:val="xl72"/>
    <w:basedOn w:val="Normal"/>
    <w:rsid w:val="001E0627"/>
    <w:pPr>
      <w:shd w:color="000000" w:fill="fce4d6" w:val="clear"/>
      <w:spacing w:after="100" w:afterAutospacing="1" w:before="100" w:beforeAutospacing="1"/>
      <w:jc w:val="right"/>
    </w:pPr>
    <w:rPr>
      <w:rFonts w:ascii="Open Sans" w:cs="Open Sans" w:eastAsia="Times New Roman" w:hAnsi="Open Sans"/>
    </w:rPr>
  </w:style>
  <w:style w:type="paragraph" w:styleId="xl73" w:customStyle="1">
    <w:name w:val="xl73"/>
    <w:basedOn w:val="Normal"/>
    <w:rsid w:val="001E0627"/>
    <w:pPr>
      <w:pBdr>
        <w:bottom w:color="8ea9db" w:space="0" w:sz="4" w:val="single"/>
      </w:pBdr>
      <w:shd w:color="d9e1f2" w:fill="d9e1f2" w:val="clear"/>
      <w:spacing w:after="100" w:afterAutospacing="1" w:before="100" w:beforeAutospacing="1"/>
      <w:textAlignment w:val="center"/>
    </w:pPr>
    <w:rPr>
      <w:rFonts w:ascii="Open Sans" w:cs="Open Sans" w:eastAsia="Times New Roman" w:hAnsi="Open Sans"/>
    </w:rPr>
  </w:style>
  <w:style w:type="paragraph" w:styleId="xl74" w:customStyle="1">
    <w:name w:val="xl74"/>
    <w:basedOn w:val="Normal"/>
    <w:rsid w:val="001E0627"/>
    <w:pPr>
      <w:shd w:color="000000" w:fill="a5a5a5" w:val="clear"/>
      <w:spacing w:after="100" w:afterAutospacing="1" w:before="100" w:beforeAutospacing="1"/>
      <w:textAlignment w:val="center"/>
    </w:pPr>
    <w:rPr>
      <w:rFonts w:ascii="Open Sans" w:cs="Open Sans" w:eastAsia="Times New Roman" w:hAnsi="Open Sans"/>
    </w:rPr>
  </w:style>
  <w:style w:type="paragraph" w:styleId="xl75" w:customStyle="1">
    <w:name w:val="xl75"/>
    <w:basedOn w:val="Normal"/>
    <w:rsid w:val="001E0627"/>
    <w:pPr>
      <w:shd w:color="000000" w:fill="d9e1f2" w:val="clear"/>
      <w:spacing w:after="100" w:afterAutospacing="1" w:before="100" w:beforeAutospacing="1"/>
      <w:textAlignment w:val="center"/>
    </w:pPr>
    <w:rPr>
      <w:rFonts w:ascii="Open Sans" w:cs="Open Sans" w:eastAsia="Times New Roman" w:hAnsi="Open Sans"/>
    </w:rPr>
  </w:style>
  <w:style w:type="table" w:styleId="a4" w:customStyle="1">
    <w:basedOn w:val="TableNormal0"/>
    <w:tblPr>
      <w:tblStyleRowBandSize w:val="1"/>
      <w:tblStyleColBandSize w:val="1"/>
      <w:tblCellMar>
        <w:left w:w="70.0" w:type="dxa"/>
        <w:right w:w="70.0" w:type="dxa"/>
      </w:tblCellMar>
    </w:tblPr>
  </w:style>
  <w:style w:type="table" w:styleId="a5" w:customStyle="1">
    <w:basedOn w:val="TableNormal0"/>
    <w:tblPr>
      <w:tblStyleRowBandSize w:val="1"/>
      <w:tblStyleColBandSize w:val="1"/>
      <w:tblCellMar>
        <w:left w:w="70.0" w:type="dxa"/>
        <w:right w:w="70.0" w:type="dxa"/>
      </w:tblCellMar>
    </w:tblPr>
  </w:style>
  <w:style w:type="table" w:styleId="a6" w:customStyle="1">
    <w:basedOn w:val="TableNormal0"/>
    <w:rPr>
      <w:rFonts w:ascii="Cambria" w:cs="Cambria" w:eastAsia="Cambria" w:hAnsi="Cambria"/>
      <w:sz w:val="22"/>
      <w:szCs w:val="22"/>
    </w:rPr>
    <w:tblPr>
      <w:tblStyleRowBandSize w:val="1"/>
      <w:tblStyleColBandSize w:val="1"/>
      <w:tblCellMar>
        <w:left w:w="108.0" w:type="dxa"/>
        <w:right w:w="108.0" w:type="dxa"/>
      </w:tblCellMar>
    </w:tblPr>
  </w:style>
  <w:style w:type="table" w:styleId="a7" w:customStyle="1">
    <w:basedOn w:val="TableNormal0"/>
    <w:tblPr>
      <w:tblStyleRowBandSize w:val="1"/>
      <w:tblStyleColBandSize w:val="1"/>
      <w:tblCellMar>
        <w:left w:w="70.0" w:type="dxa"/>
        <w:right w:w="70.0" w:type="dxa"/>
      </w:tblCellMar>
    </w:tblPr>
  </w:style>
  <w:style w:type="table" w:styleId="a8"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ilanuncios.com/" TargetMode="External"/><Relationship Id="rId11" Type="http://schemas.openxmlformats.org/officeDocument/2006/relationships/chart" Target="charts/chart1.xml"/><Relationship Id="rId22" Type="http://schemas.openxmlformats.org/officeDocument/2006/relationships/hyperlink" Target="mailto:comunicacion@fotocasa.es" TargetMode="External"/><Relationship Id="rId10" Type="http://schemas.openxmlformats.org/officeDocument/2006/relationships/hyperlink" Target="https://www.fotocasa.es" TargetMode="External"/><Relationship Id="rId21" Type="http://schemas.openxmlformats.org/officeDocument/2006/relationships/hyperlink" Target="http://adevinta.es" TargetMode="External"/><Relationship Id="rId13" Type="http://schemas.openxmlformats.org/officeDocument/2006/relationships/hyperlink" Target="http://prensa.fotocasa.es" TargetMode="External"/><Relationship Id="rId12" Type="http://schemas.openxmlformats.org/officeDocument/2006/relationships/hyperlink" Target="https://www.fotocasa.es/indice/"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15" Type="http://schemas.openxmlformats.org/officeDocument/2006/relationships/hyperlink" Target="https://www.fotocasa.es/es/" TargetMode="External"/><Relationship Id="rId14" Type="http://schemas.openxmlformats.org/officeDocument/2006/relationships/hyperlink" Target="https://www.fotocasa.es/es/quienes-somos/" TargetMode="External"/><Relationship Id="rId17" Type="http://schemas.openxmlformats.org/officeDocument/2006/relationships/hyperlink" Target="https://www.infojobs.net/" TargetMode="External"/><Relationship Id="rId16" Type="http://schemas.openxmlformats.org/officeDocument/2006/relationships/hyperlink" Target="https://www.habitaclia.com/" TargetMode="External"/><Relationship Id="rId5" Type="http://schemas.openxmlformats.org/officeDocument/2006/relationships/styles" Target="styles.xml"/><Relationship Id="rId19" Type="http://schemas.openxmlformats.org/officeDocument/2006/relationships/hyperlink" Target="https://motos.coches.net/" TargetMode="External"/><Relationship Id="rId6" Type="http://schemas.openxmlformats.org/officeDocument/2006/relationships/customXml" Target="../customXML/item1.xml"/><Relationship Id="rId18" Type="http://schemas.openxmlformats.org/officeDocument/2006/relationships/hyperlink" Target="https://www.coches.net/" TargetMode="External"/><Relationship Id="rId7" Type="http://schemas.openxmlformats.org/officeDocument/2006/relationships/image" Target="media/image2.png"/><Relationship Id="rId8" Type="http://schemas.openxmlformats.org/officeDocument/2006/relationships/hyperlink" Target="http://www.fotocas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rtorn\OneDrive\Documents\Projectes\2025\250401_NdP%20evoluci&#243;n%20precio%20venta%2010%20a&#241;os\ACUMULATIVO%20VENTA%20mar2025.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themeOverride" Target="../theme/themeOverride1.xml"/><Relationship Id="rId4" Type="http://schemas.openxmlformats.org/officeDocument/2006/relationships/oleObject" Target="file:///C:\Users\rtorn\OneDrive\Documents\Projectes\2025\250401_NdP%20evoluci&#243;n%20precio%20venta%2010%20a&#241;os\ACUMULATIVO%20VENTA%20mar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j-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CCAA!$M$1:$R$1</c:f>
              <c:strCache>
                <c:ptCount val="6"/>
                <c:pt idx="0">
                  <c:v>2005</c:v>
                </c:pt>
                <c:pt idx="1">
                  <c:v>2010</c:v>
                </c:pt>
                <c:pt idx="2">
                  <c:v>2015</c:v>
                </c:pt>
                <c:pt idx="3">
                  <c:v>2020</c:v>
                </c:pt>
                <c:pt idx="4">
                  <c:v>2024</c:v>
                </c:pt>
                <c:pt idx="5">
                  <c:v>2025</c:v>
                </c:pt>
              </c:strCache>
            </c:strRef>
          </c:cat>
          <c:val>
            <c:numRef>
              <c:f>CCAA!$M$19:$R$19</c:f>
              <c:numCache>
                <c:formatCode>_-* #,##0\ "€"_-;\-* #,##0\ "€"_-;_-* "-"??\ "€"_-;_-@_-</c:formatCode>
                <c:ptCount val="6"/>
                <c:pt idx="0">
                  <c:v>197146.00884452631</c:v>
                </c:pt>
                <c:pt idx="1">
                  <c:v>187927.08570205863</c:v>
                </c:pt>
                <c:pt idx="2">
                  <c:v>129420.368</c:v>
                </c:pt>
                <c:pt idx="3">
                  <c:v>147539.79962387521</c:v>
                </c:pt>
                <c:pt idx="4">
                  <c:v>180717.59999999998</c:v>
                </c:pt>
                <c:pt idx="5">
                  <c:v>199113.60000000001</c:v>
                </c:pt>
              </c:numCache>
            </c:numRef>
          </c:val>
          <c:extLst>
            <c:ext xmlns:c16="http://schemas.microsoft.com/office/drawing/2014/chart" uri="{C3380CC4-5D6E-409C-BE32-E72D297353CC}">
              <c16:uniqueId val="{00000000-3603-4504-9A4A-E1AE21AFDEBC}"/>
            </c:ext>
          </c:extLst>
        </c:ser>
        <c:dLbls>
          <c:showLegendKey val="0"/>
          <c:showVal val="0"/>
          <c:showCatName val="0"/>
          <c:showSerName val="0"/>
          <c:showPercent val="0"/>
          <c:showBubbleSize val="0"/>
        </c:dLbls>
        <c:gapWidth val="100"/>
        <c:overlap val="-24"/>
        <c:axId val="660419648"/>
        <c:axId val="660424448"/>
      </c:barChart>
      <c:catAx>
        <c:axId val="66041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s-ES"/>
          </a:p>
        </c:txPr>
        <c:crossAx val="660424448"/>
        <c:crosses val="autoZero"/>
        <c:auto val="1"/>
        <c:lblAlgn val="ctr"/>
        <c:lblOffset val="100"/>
        <c:noMultiLvlLbl val="0"/>
      </c:catAx>
      <c:valAx>
        <c:axId val="660424448"/>
        <c:scaling>
          <c:orientation val="minMax"/>
        </c:scaling>
        <c:delete val="1"/>
        <c:axPos val="l"/>
        <c:numFmt formatCode="_-* #,##0\ &quot;€&quot;_-;\-* #,##0\ &quot;€&quot;_-;_-* &quot;-&quot;??\ &quot;€&quot;_-;_-@_-" sourceLinked="1"/>
        <c:majorTickMark val="none"/>
        <c:minorTickMark val="none"/>
        <c:tickLblPos val="nextTo"/>
        <c:crossAx val="660419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[ACUMULATIVO VENTA mar2025.xlsx]Gráfica!TablaDinámica1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spPr>
          <a:solidFill>
            <a:schemeClr val="accent1"/>
          </a:solidFill>
          <a:ln>
            <a:noFill/>
          </a:ln>
          <a:effectLst/>
        </c:spPr>
        <c:marker>
          <c:symbol val="circle"/>
          <c:size val="6"/>
          <c:spPr>
            <a:solidFill>
              <a:schemeClr val="accent1">
                <a:alpha val="70000"/>
              </a:schemeClr>
            </a:solidFill>
            <a:ln>
              <a:noFill/>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8"/>
        <c:spPr>
          <a:solidFill>
            <a:srgbClr val="44546A">
              <a:lumMod val="60000"/>
              <a:lumOff val="40000"/>
            </a:srgbClr>
          </a:solidFill>
          <a:ln>
            <a:no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9"/>
        <c:spPr>
          <a:solidFill>
            <a:schemeClr val="accent1">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rgbClr val="44546A">
              <a:lumMod val="60000"/>
              <a:lumOff val="4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1"/>
        <c:spPr>
          <a:solidFill>
            <a:schemeClr val="accent1">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rgbClr val="44546A">
              <a:lumMod val="60000"/>
              <a:lumOff val="4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3"/>
        <c:spPr>
          <a:solidFill>
            <a:srgbClr val="44546A">
              <a:lumMod val="60000"/>
              <a:lumOff val="4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44546A">
              <a:lumMod val="60000"/>
              <a:lumOff val="40000"/>
            </a:srgb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3.6877077077032548E-2"/>
          <c:y val="5.6030467323224323E-2"/>
          <c:w val="0.94302372369239651"/>
          <c:h val="0.6997504337381556"/>
        </c:manualLayout>
      </c:layout>
      <c:barChart>
        <c:barDir val="col"/>
        <c:grouping val="clustered"/>
        <c:varyColors val="0"/>
        <c:ser>
          <c:idx val="0"/>
          <c:order val="0"/>
          <c:tx>
            <c:strRef>
              <c:f>Gráfica!$B$3</c:f>
              <c:strCache>
                <c:ptCount val="1"/>
                <c:pt idx="0">
                  <c:v>Total</c:v>
                </c:pt>
              </c:strCache>
            </c:strRef>
          </c:tx>
          <c:spPr>
            <a:solidFill>
              <a:srgbClr val="44546A">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Gráfica!$A$4:$A$8</c:f>
              <c:strCache>
                <c:ptCount val="5"/>
                <c:pt idx="0">
                  <c:v>  20 AÑOS               (2025 VS 2005)</c:v>
                </c:pt>
                <c:pt idx="1">
                  <c:v>   15 AÑOS               (2025 VS 2010)</c:v>
                </c:pt>
                <c:pt idx="2">
                  <c:v>  10 AÑOS              (2025 VS 2015)</c:v>
                </c:pt>
                <c:pt idx="3">
                  <c:v> 5 AÑOS                 (2025 VS 2020)</c:v>
                </c:pt>
                <c:pt idx="4">
                  <c:v>  1 AÑO                 (2025 VS 2024)</c:v>
                </c:pt>
              </c:strCache>
            </c:strRef>
          </c:cat>
          <c:val>
            <c:numRef>
              <c:f>Gráfica!$B$4:$B$8</c:f>
              <c:numCache>
                <c:formatCode>0.0%</c:formatCode>
                <c:ptCount val="5"/>
                <c:pt idx="0">
                  <c:v>9.9803752914186371E-3</c:v>
                </c:pt>
                <c:pt idx="1">
                  <c:v>5.9525822241912482E-2</c:v>
                </c:pt>
                <c:pt idx="2">
                  <c:v>0.53850281124219956</c:v>
                </c:pt>
                <c:pt idx="3">
                  <c:v>0.34955856323244605</c:v>
                </c:pt>
                <c:pt idx="4">
                  <c:v>0.10179418053360616</c:v>
                </c:pt>
              </c:numCache>
            </c:numRef>
          </c:val>
          <c:extLst>
            <c:ext xmlns:c16="http://schemas.microsoft.com/office/drawing/2014/chart" uri="{C3380CC4-5D6E-409C-BE32-E72D297353CC}">
              <c16:uniqueId val="{00000000-6EF6-4BCC-8321-A42693383A7B}"/>
            </c:ext>
          </c:extLst>
        </c:ser>
        <c:dLbls>
          <c:showLegendKey val="0"/>
          <c:showVal val="0"/>
          <c:showCatName val="0"/>
          <c:showSerName val="0"/>
          <c:showPercent val="0"/>
          <c:showBubbleSize val="0"/>
        </c:dLbls>
        <c:gapWidth val="80"/>
        <c:overlap val="25"/>
        <c:axId val="425153663"/>
        <c:axId val="424963199"/>
      </c:barChart>
      <c:catAx>
        <c:axId val="425153663"/>
        <c:scaling>
          <c:orientation val="minMax"/>
        </c:scaling>
        <c:delete val="0"/>
        <c:axPos val="b"/>
        <c:numFmt formatCode="[$-C0A]mmmm\-yy;@" sourceLinked="0"/>
        <c:majorTickMark val="out"/>
        <c:minorTickMark val="none"/>
        <c:tickLblPos val="low"/>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es-ES"/>
          </a:p>
        </c:txPr>
        <c:crossAx val="424963199"/>
        <c:crosses val="autoZero"/>
        <c:auto val="1"/>
        <c:lblAlgn val="ctr"/>
        <c:lblOffset val="100"/>
        <c:noMultiLvlLbl val="0"/>
      </c:catAx>
      <c:valAx>
        <c:axId val="424963199"/>
        <c:scaling>
          <c:orientation val="minMax"/>
        </c:scaling>
        <c:delete val="1"/>
        <c:axPos val="l"/>
        <c:numFmt formatCode="0.0%" sourceLinked="1"/>
        <c:majorTickMark val="out"/>
        <c:minorTickMark val="none"/>
        <c:tickLblPos val="nextTo"/>
        <c:crossAx val="425153663"/>
        <c:crosses val="autoZero"/>
        <c:crossBetween val="between"/>
      </c:valAx>
      <c:spPr>
        <a:noFill/>
        <a:ln w="25400">
          <a:noFill/>
        </a:ln>
        <a:effectLst/>
      </c:spPr>
    </c:plotArea>
    <c:plotVisOnly val="1"/>
    <c:dispBlanksAs val="gap"/>
    <c:showDLblsOverMax val="0"/>
    <c:extLst/>
  </c:chart>
  <c:spPr>
    <a:solidFill>
      <a:schemeClr val="lt1"/>
    </a:solidFill>
    <a:ln w="9525" cap="flat" cmpd="sng" algn="ctr">
      <a:noFill/>
      <a:round/>
    </a:ln>
    <a:effectLst/>
  </c:spPr>
  <c:txPr>
    <a:bodyPr/>
    <a:lstStyle/>
    <a:p>
      <a:pPr>
        <a:defRPr>
          <a:solidFill>
            <a:sysClr val="windowText" lastClr="000000"/>
          </a:solidFill>
        </a:defRPr>
      </a:pPr>
      <a:endParaRPr lang="es-E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WIz5P3ZqmC2Q29W3nukedQK0sQ==">CgMxLjAyCWguMnM4ZXlvMTgAciExdUE1NVc5c0hicEVfRjA2Q3NBajU0VnNSVUUtSDZEbjg=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2024-02-06T13:46:00Z</dcterms:created>
</cp:coreProperties>
</file>